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7FB" w:rsidRPr="00184260" w:rsidRDefault="004977FB" w:rsidP="004977FB">
      <w:pPr>
        <w:spacing w:after="0"/>
        <w:jc w:val="both"/>
        <w:rPr>
          <w:rFonts w:ascii="Calibri" w:hAnsi="Calibri"/>
          <w:b/>
          <w:bCs/>
        </w:rPr>
      </w:pPr>
      <w:r w:rsidRPr="00184260">
        <w:rPr>
          <w:rFonts w:ascii="Calibri" w:hAnsi="Calibri"/>
          <w:b/>
          <w:bCs/>
        </w:rPr>
        <w:t>18/457:  Government Response to Auditor-General’s Report 8/2018: Assembly of rural land west of Canberra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16"/>
      </w:tblGrid>
      <w:tr w:rsidR="004977FB" w:rsidRPr="00184260" w:rsidTr="00647CB8">
        <w:trPr>
          <w:jc w:val="center"/>
        </w:trPr>
        <w:tc>
          <w:tcPr>
            <w:tcW w:w="9105" w:type="dxa"/>
          </w:tcPr>
          <w:p w:rsidR="004977FB" w:rsidRPr="00184260" w:rsidRDefault="004977FB" w:rsidP="00647CB8">
            <w:pPr>
              <w:spacing w:after="0"/>
              <w:jc w:val="both"/>
              <w:rPr>
                <w:rFonts w:ascii="Calibri" w:hAnsi="Calibri"/>
                <w:b/>
                <w:bCs/>
              </w:rPr>
            </w:pPr>
            <w:r w:rsidRPr="00184260">
              <w:rPr>
                <w:rFonts w:ascii="Calibri" w:hAnsi="Calibri"/>
                <w:b/>
                <w:bCs/>
              </w:rPr>
              <w:t>Summary of Impacts</w:t>
            </w:r>
          </w:p>
        </w:tc>
      </w:tr>
      <w:tr w:rsidR="004977FB" w:rsidRPr="00184260" w:rsidTr="00647CB8">
        <w:trPr>
          <w:jc w:val="center"/>
        </w:trPr>
        <w:tc>
          <w:tcPr>
            <w:tcW w:w="9105" w:type="dxa"/>
          </w:tcPr>
          <w:p w:rsidR="004977FB" w:rsidRPr="00184260" w:rsidRDefault="004977FB" w:rsidP="00647CB8">
            <w:pPr>
              <w:numPr>
                <w:ilvl w:val="0"/>
                <w:numId w:val="1"/>
              </w:numPr>
              <w:spacing w:after="0" w:line="240" w:lineRule="auto"/>
              <w:ind w:left="360"/>
              <w:rPr>
                <w:rFonts w:ascii="Calibri" w:hAnsi="Calibri" w:cs="Calibri"/>
              </w:rPr>
            </w:pPr>
            <w:r w:rsidRPr="00184260">
              <w:rPr>
                <w:rFonts w:ascii="Calibri" w:hAnsi="Calibri" w:cs="Calibri"/>
              </w:rPr>
              <w:t>The proposal seeks to provide a Government Response to the recommendations outlined in Auditor-General’s Report 8/2018 on the assembly of rural land west of Canberra.</w:t>
            </w:r>
          </w:p>
          <w:p w:rsidR="004977FB" w:rsidRPr="00184260" w:rsidRDefault="004977FB" w:rsidP="00647CB8">
            <w:pPr>
              <w:numPr>
                <w:ilvl w:val="0"/>
                <w:numId w:val="1"/>
              </w:numPr>
              <w:spacing w:after="0" w:line="240" w:lineRule="auto"/>
              <w:ind w:left="360"/>
              <w:rPr>
                <w:rFonts w:ascii="Calibri" w:hAnsi="Calibri"/>
              </w:rPr>
            </w:pPr>
            <w:r w:rsidRPr="00184260">
              <w:rPr>
                <w:rFonts w:ascii="Calibri" w:hAnsi="Calibri" w:cs="Calibri"/>
              </w:rPr>
              <w:t>In agreeing to and implementing the recommendations the Government will ensure transparency and promote administrative efficiency. Delivery of ongoing and new governance initiatives will enhance community trust and confidence in probity of decision-making regarding land transactions. There are no known implementation risks associated with this proposal.</w:t>
            </w:r>
          </w:p>
        </w:tc>
      </w:tr>
    </w:tbl>
    <w:p w:rsidR="004977FB" w:rsidRPr="00184260" w:rsidRDefault="004977FB" w:rsidP="004977FB">
      <w:pPr>
        <w:spacing w:after="0"/>
        <w:rPr>
          <w:rFonts w:ascii="Calibri" w:hAnsi="Calibri"/>
          <w:i/>
        </w:rPr>
      </w:pPr>
      <w:r w:rsidRPr="00184260">
        <w:rPr>
          <w:rFonts w:ascii="Calibri" w:hAnsi="Calibri"/>
          <w:i/>
        </w:rPr>
        <w:t xml:space="preserve">Key to impacts: Red – negative, </w:t>
      </w:r>
      <w:proofErr w:type="gramStart"/>
      <w:r w:rsidRPr="00184260">
        <w:rPr>
          <w:rFonts w:ascii="Calibri" w:hAnsi="Calibri"/>
          <w:i/>
        </w:rPr>
        <w:t>Blue</w:t>
      </w:r>
      <w:proofErr w:type="gramEnd"/>
      <w:r w:rsidRPr="00184260">
        <w:rPr>
          <w:rFonts w:ascii="Calibri" w:hAnsi="Calibri"/>
          <w:i/>
        </w:rPr>
        <w:t xml:space="preserve"> - neutral and Green - positive.</w:t>
      </w:r>
    </w:p>
    <w:p w:rsidR="004977FB" w:rsidRPr="00184260" w:rsidRDefault="004977FB" w:rsidP="004977FB">
      <w:pPr>
        <w:spacing w:before="120" w:after="0"/>
        <w:jc w:val="both"/>
        <w:rPr>
          <w:rFonts w:ascii="Calibri" w:hAnsi="Calibri"/>
          <w:b/>
          <w:bCs/>
        </w:rPr>
      </w:pPr>
      <w:r w:rsidRPr="00184260">
        <w:rPr>
          <w:rFonts w:ascii="Calibri" w:hAnsi="Calibri"/>
          <w:b/>
          <w:bCs/>
        </w:rPr>
        <w:t>Social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7513"/>
      </w:tblGrid>
      <w:tr w:rsidR="004977FB" w:rsidRPr="00184260" w:rsidTr="00647CB8">
        <w:trPr>
          <w:jc w:val="center"/>
        </w:trPr>
        <w:tc>
          <w:tcPr>
            <w:tcW w:w="1526" w:type="dxa"/>
            <w:shd w:val="clear" w:color="auto" w:fill="0070C0"/>
          </w:tcPr>
          <w:p w:rsidR="004977FB" w:rsidRPr="00184260" w:rsidRDefault="004977FB" w:rsidP="00647CB8">
            <w:pPr>
              <w:spacing w:after="0"/>
              <w:jc w:val="both"/>
              <w:rPr>
                <w:rFonts w:ascii="Calibri" w:hAnsi="Calibri"/>
              </w:rPr>
            </w:pPr>
            <w:r w:rsidRPr="00184260">
              <w:rPr>
                <w:rFonts w:ascii="Calibri" w:hAnsi="Calibri"/>
                <w:b/>
                <w:bCs/>
              </w:rPr>
              <w:t>Human rights</w:t>
            </w:r>
          </w:p>
        </w:tc>
        <w:tc>
          <w:tcPr>
            <w:tcW w:w="7716" w:type="dxa"/>
          </w:tcPr>
          <w:p w:rsidR="004977FB" w:rsidRPr="00184260" w:rsidRDefault="004977FB" w:rsidP="00647CB8">
            <w:pPr>
              <w:numPr>
                <w:ilvl w:val="0"/>
                <w:numId w:val="1"/>
              </w:numPr>
              <w:spacing w:after="0" w:line="240" w:lineRule="auto"/>
              <w:ind w:left="360"/>
              <w:rPr>
                <w:rFonts w:ascii="Calibri" w:hAnsi="Calibri" w:cs="Calibri"/>
              </w:rPr>
            </w:pPr>
            <w:r w:rsidRPr="00184260">
              <w:rPr>
                <w:rFonts w:ascii="Calibri" w:hAnsi="Calibri" w:cs="Calibri"/>
              </w:rPr>
              <w:t>Not applicable. Strong governance arrangements will ensure probity and accountability to the Government and the community.</w:t>
            </w:r>
          </w:p>
        </w:tc>
      </w:tr>
    </w:tbl>
    <w:p w:rsidR="004977FB" w:rsidRPr="00184260" w:rsidRDefault="004977FB" w:rsidP="004977FB">
      <w:pPr>
        <w:spacing w:before="120" w:after="0"/>
        <w:jc w:val="both"/>
        <w:rPr>
          <w:rFonts w:ascii="Calibri" w:hAnsi="Calibri"/>
          <w:b/>
          <w:bCs/>
        </w:rPr>
      </w:pPr>
      <w:r w:rsidRPr="00184260">
        <w:rPr>
          <w:rFonts w:ascii="Calibri" w:hAnsi="Calibri"/>
          <w:b/>
          <w:bCs/>
        </w:rPr>
        <w:t>Economic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18"/>
        <w:gridCol w:w="7498"/>
      </w:tblGrid>
      <w:tr w:rsidR="004977FB" w:rsidRPr="00184260" w:rsidTr="00647CB8">
        <w:trPr>
          <w:jc w:val="center"/>
        </w:trPr>
        <w:tc>
          <w:tcPr>
            <w:tcW w:w="1518" w:type="dxa"/>
            <w:shd w:val="clear" w:color="auto" w:fill="0070C0"/>
          </w:tcPr>
          <w:p w:rsidR="004977FB" w:rsidRPr="00184260" w:rsidRDefault="004977FB" w:rsidP="00647CB8">
            <w:pPr>
              <w:spacing w:after="0"/>
              <w:jc w:val="both"/>
              <w:rPr>
                <w:rFonts w:ascii="Calibri" w:hAnsi="Calibri"/>
              </w:rPr>
            </w:pPr>
            <w:r w:rsidRPr="00184260">
              <w:rPr>
                <w:rFonts w:ascii="Calibri" w:hAnsi="Calibri"/>
                <w:b/>
                <w:bCs/>
              </w:rPr>
              <w:t>ACT Government Budget</w:t>
            </w:r>
          </w:p>
        </w:tc>
        <w:tc>
          <w:tcPr>
            <w:tcW w:w="7498" w:type="dxa"/>
          </w:tcPr>
          <w:p w:rsidR="004977FB" w:rsidRPr="00184260" w:rsidRDefault="004977FB" w:rsidP="00647CB8">
            <w:pPr>
              <w:numPr>
                <w:ilvl w:val="0"/>
                <w:numId w:val="2"/>
              </w:numPr>
              <w:spacing w:before="120" w:after="0" w:line="240" w:lineRule="auto"/>
              <w:ind w:left="317" w:hanging="283"/>
              <w:rPr>
                <w:rFonts w:ascii="Calibri" w:hAnsi="Calibri"/>
                <w:bCs/>
              </w:rPr>
            </w:pPr>
            <w:r w:rsidRPr="00184260">
              <w:rPr>
                <w:rFonts w:ascii="Calibri" w:hAnsi="Calibri"/>
                <w:bCs/>
              </w:rPr>
              <w:t>Implementation of the Government Response will use existing funding. No additional funding is being sought.</w:t>
            </w:r>
          </w:p>
        </w:tc>
      </w:tr>
      <w:tr w:rsidR="004977FB" w:rsidRPr="00184260" w:rsidTr="00647CB8">
        <w:trPr>
          <w:jc w:val="center"/>
        </w:trPr>
        <w:tc>
          <w:tcPr>
            <w:tcW w:w="1518" w:type="dxa"/>
            <w:shd w:val="clear" w:color="auto" w:fill="0070C0"/>
          </w:tcPr>
          <w:p w:rsidR="004977FB" w:rsidRPr="00184260" w:rsidRDefault="004977FB" w:rsidP="00647CB8">
            <w:pPr>
              <w:spacing w:after="0"/>
              <w:jc w:val="both"/>
              <w:rPr>
                <w:rFonts w:ascii="Calibri" w:hAnsi="Calibri"/>
              </w:rPr>
            </w:pPr>
            <w:r w:rsidRPr="00184260">
              <w:rPr>
                <w:rFonts w:ascii="Calibri" w:hAnsi="Calibri"/>
                <w:b/>
                <w:bCs/>
              </w:rPr>
              <w:t>Productivity and innovation</w:t>
            </w:r>
          </w:p>
        </w:tc>
        <w:tc>
          <w:tcPr>
            <w:tcW w:w="7498" w:type="dxa"/>
          </w:tcPr>
          <w:p w:rsidR="004977FB" w:rsidRPr="00184260" w:rsidRDefault="004977FB" w:rsidP="00647CB8">
            <w:pPr>
              <w:numPr>
                <w:ilvl w:val="0"/>
                <w:numId w:val="2"/>
              </w:numPr>
              <w:spacing w:before="120" w:after="0" w:line="240" w:lineRule="auto"/>
              <w:ind w:left="317" w:hanging="283"/>
              <w:rPr>
                <w:rFonts w:ascii="Calibri" w:hAnsi="Calibri"/>
                <w:bCs/>
              </w:rPr>
            </w:pPr>
            <w:r w:rsidRPr="00184260">
              <w:rPr>
                <w:rFonts w:ascii="Calibri" w:hAnsi="Calibri"/>
                <w:bCs/>
              </w:rPr>
              <w:t xml:space="preserve">The implementation of recommendations as to improved documentation and management of procurement and contract processes will realise a number of efficiency benefits in connection with future rural land acquisitions.  </w:t>
            </w:r>
          </w:p>
          <w:p w:rsidR="004977FB" w:rsidRPr="00184260" w:rsidRDefault="004977FB" w:rsidP="00647CB8">
            <w:pPr>
              <w:spacing w:after="0"/>
              <w:ind w:left="360"/>
              <w:rPr>
                <w:rFonts w:ascii="Calibri" w:hAnsi="Calibri"/>
              </w:rPr>
            </w:pPr>
          </w:p>
        </w:tc>
      </w:tr>
      <w:tr w:rsidR="004977FB" w:rsidRPr="00184260" w:rsidTr="00647CB8">
        <w:trPr>
          <w:jc w:val="center"/>
        </w:trPr>
        <w:tc>
          <w:tcPr>
            <w:tcW w:w="1526" w:type="dxa"/>
            <w:shd w:val="clear" w:color="auto" w:fill="92D050"/>
          </w:tcPr>
          <w:p w:rsidR="004977FB" w:rsidRPr="00184260" w:rsidRDefault="004977FB" w:rsidP="00647CB8">
            <w:pPr>
              <w:spacing w:after="0"/>
              <w:rPr>
                <w:rFonts w:ascii="Calibri" w:hAnsi="Calibri"/>
              </w:rPr>
            </w:pPr>
            <w:r w:rsidRPr="00184260">
              <w:rPr>
                <w:rFonts w:ascii="Calibri" w:hAnsi="Calibri"/>
                <w:b/>
                <w:bCs/>
              </w:rPr>
              <w:t>Investment and Economic Impacts</w:t>
            </w:r>
          </w:p>
        </w:tc>
        <w:tc>
          <w:tcPr>
            <w:tcW w:w="7716" w:type="dxa"/>
          </w:tcPr>
          <w:p w:rsidR="004977FB" w:rsidRPr="00184260" w:rsidRDefault="004977FB" w:rsidP="00647CB8">
            <w:pPr>
              <w:numPr>
                <w:ilvl w:val="0"/>
                <w:numId w:val="1"/>
              </w:numPr>
              <w:spacing w:after="0" w:line="240" w:lineRule="auto"/>
              <w:ind w:left="360"/>
              <w:rPr>
                <w:rFonts w:ascii="Calibri" w:hAnsi="Calibri" w:cs="Calibri"/>
              </w:rPr>
            </w:pPr>
            <w:r w:rsidRPr="00184260">
              <w:rPr>
                <w:rFonts w:ascii="Calibri" w:hAnsi="Calibri" w:cs="Calibri"/>
              </w:rPr>
              <w:t>Robust governance arrangements will be in place to ensure value for money for any future rural land acquisitions.</w:t>
            </w:r>
          </w:p>
          <w:p w:rsidR="004977FB" w:rsidRPr="00184260" w:rsidRDefault="004977FB" w:rsidP="00647CB8">
            <w:pPr>
              <w:spacing w:after="0"/>
              <w:ind w:left="360"/>
              <w:rPr>
                <w:rFonts w:ascii="Calibri" w:hAnsi="Calibri"/>
              </w:rPr>
            </w:pPr>
          </w:p>
        </w:tc>
      </w:tr>
    </w:tbl>
    <w:p w:rsidR="004977FB" w:rsidRPr="00184260" w:rsidRDefault="004977FB" w:rsidP="004977FB">
      <w:pPr>
        <w:spacing w:before="120" w:after="0"/>
        <w:jc w:val="both"/>
        <w:rPr>
          <w:rFonts w:ascii="Calibri" w:hAnsi="Calibri"/>
          <w:b/>
          <w:bCs/>
        </w:rPr>
      </w:pPr>
      <w:r w:rsidRPr="00184260">
        <w:rPr>
          <w:rFonts w:ascii="Calibri" w:hAnsi="Calibri"/>
          <w:b/>
          <w:bCs/>
        </w:rPr>
        <w:t>Environmental</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25"/>
        <w:gridCol w:w="7491"/>
      </w:tblGrid>
      <w:tr w:rsidR="004977FB" w:rsidRPr="00184260" w:rsidTr="00647CB8">
        <w:trPr>
          <w:jc w:val="center"/>
        </w:trPr>
        <w:tc>
          <w:tcPr>
            <w:tcW w:w="1526" w:type="dxa"/>
            <w:shd w:val="clear" w:color="auto" w:fill="92D050"/>
          </w:tcPr>
          <w:p w:rsidR="004977FB" w:rsidRPr="00184260" w:rsidRDefault="004977FB" w:rsidP="00647CB8">
            <w:pPr>
              <w:spacing w:after="0"/>
              <w:jc w:val="both"/>
              <w:rPr>
                <w:rFonts w:ascii="Calibri" w:hAnsi="Calibri"/>
              </w:rPr>
            </w:pPr>
            <w:r w:rsidRPr="00184260">
              <w:rPr>
                <w:rFonts w:ascii="Calibri" w:hAnsi="Calibri"/>
                <w:b/>
                <w:bCs/>
              </w:rPr>
              <w:t>Biodiversity</w:t>
            </w:r>
          </w:p>
        </w:tc>
        <w:tc>
          <w:tcPr>
            <w:tcW w:w="7716" w:type="dxa"/>
          </w:tcPr>
          <w:p w:rsidR="004977FB" w:rsidRPr="00184260" w:rsidRDefault="004977FB" w:rsidP="00647CB8">
            <w:pPr>
              <w:numPr>
                <w:ilvl w:val="0"/>
                <w:numId w:val="1"/>
              </w:numPr>
              <w:spacing w:after="0" w:line="240" w:lineRule="auto"/>
              <w:ind w:left="360"/>
              <w:rPr>
                <w:rFonts w:ascii="Calibri" w:hAnsi="Calibri"/>
              </w:rPr>
            </w:pPr>
            <w:r w:rsidRPr="00184260">
              <w:rPr>
                <w:rFonts w:ascii="Calibri" w:hAnsi="Calibri" w:cs="Calibri"/>
              </w:rPr>
              <w:t>The Suburban Land Agency will be working with the Conservator of Flora and Fauna to ensure sustainable land management practices are in place and given effect to via approved Land Management Agreements.</w:t>
            </w:r>
          </w:p>
        </w:tc>
      </w:tr>
      <w:tr w:rsidR="004977FB" w:rsidRPr="00184260" w:rsidTr="00647CB8">
        <w:trPr>
          <w:jc w:val="center"/>
        </w:trPr>
        <w:tc>
          <w:tcPr>
            <w:tcW w:w="1526" w:type="dxa"/>
            <w:shd w:val="clear" w:color="auto" w:fill="92D050"/>
          </w:tcPr>
          <w:p w:rsidR="004977FB" w:rsidRPr="00184260" w:rsidRDefault="004977FB" w:rsidP="00647CB8">
            <w:pPr>
              <w:spacing w:after="0"/>
              <w:jc w:val="both"/>
              <w:rPr>
                <w:rFonts w:ascii="Calibri" w:hAnsi="Calibri"/>
              </w:rPr>
            </w:pPr>
            <w:r w:rsidRPr="00184260">
              <w:rPr>
                <w:rFonts w:ascii="Calibri" w:hAnsi="Calibri"/>
                <w:b/>
                <w:bCs/>
              </w:rPr>
              <w:t>Environmental quality</w:t>
            </w:r>
          </w:p>
        </w:tc>
        <w:tc>
          <w:tcPr>
            <w:tcW w:w="7716" w:type="dxa"/>
          </w:tcPr>
          <w:p w:rsidR="004977FB" w:rsidRPr="00184260" w:rsidRDefault="004977FB" w:rsidP="00647CB8">
            <w:pPr>
              <w:numPr>
                <w:ilvl w:val="0"/>
                <w:numId w:val="1"/>
              </w:numPr>
              <w:spacing w:after="0" w:line="240" w:lineRule="auto"/>
              <w:ind w:left="360"/>
              <w:rPr>
                <w:rFonts w:ascii="Calibri" w:hAnsi="Calibri"/>
              </w:rPr>
            </w:pPr>
            <w:bookmarkStart w:id="0" w:name="OLE_LINK1"/>
            <w:bookmarkStart w:id="1" w:name="OLE_LINK2"/>
            <w:r w:rsidRPr="00184260">
              <w:rPr>
                <w:rFonts w:ascii="Calibri" w:hAnsi="Calibri" w:cs="Calibri"/>
              </w:rPr>
              <w:t>The Suburban Land Agency will be working with the Conservator of Flora and Fauna to ensure sustainable land management practices are in place and given effect to via approved Land Management Agreements.</w:t>
            </w:r>
            <w:bookmarkEnd w:id="0"/>
            <w:bookmarkEnd w:id="1"/>
          </w:p>
        </w:tc>
      </w:tr>
    </w:tbl>
    <w:p w:rsidR="004977FB" w:rsidRPr="00184260" w:rsidRDefault="004977FB" w:rsidP="004977FB">
      <w:pPr>
        <w:spacing w:after="0"/>
        <w:rPr>
          <w:rFonts w:ascii="Calibri" w:hAnsi="Calibri"/>
        </w:rPr>
      </w:pPr>
    </w:p>
    <w:p w:rsidR="00187A74" w:rsidRDefault="00187A74" w:rsidP="004977FB">
      <w:bookmarkStart w:id="2" w:name="_GoBack"/>
      <w:bookmarkEnd w:id="2"/>
    </w:p>
    <w:sectPr w:rsidR="00187A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F4730"/>
    <w:multiLevelType w:val="hybridMultilevel"/>
    <w:tmpl w:val="93ACB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3D6461B"/>
    <w:multiLevelType w:val="hybridMultilevel"/>
    <w:tmpl w:val="DD6043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A3F"/>
    <w:rsid w:val="00187A74"/>
    <w:rsid w:val="004977FB"/>
    <w:rsid w:val="00770A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3F5C5F-79EA-49C8-908B-5180400D5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7FB"/>
    <w:pPr>
      <w:spacing w:after="200" w:line="276" w:lineRule="auto"/>
    </w:pPr>
    <w:rPr>
      <w:rFonts w:ascii="Arial" w:eastAsia="Times New Roman" w:hAnsi="Arial" w:cs="Arial"/>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FFE35A-BAFD-4938-A576-33AB01BD2ED0}"/>
</file>

<file path=customXml/itemProps2.xml><?xml version="1.0" encoding="utf-8"?>
<ds:datastoreItem xmlns:ds="http://schemas.openxmlformats.org/officeDocument/2006/customXml" ds:itemID="{B6172545-2A61-42CB-B565-AD9DCC24D91D}"/>
</file>

<file path=customXml/itemProps3.xml><?xml version="1.0" encoding="utf-8"?>
<ds:datastoreItem xmlns:ds="http://schemas.openxmlformats.org/officeDocument/2006/customXml" ds:itemID="{8616B490-2AD8-48D8-B729-665E599256F9}"/>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1580</Characters>
  <Application>Microsoft Office Word</Application>
  <DocSecurity>0</DocSecurity>
  <Lines>13</Lines>
  <Paragraphs>3</Paragraphs>
  <ScaleCrop>false</ScaleCrop>
  <Company>ACT Government</Company>
  <LinksUpToDate>false</LinksUpToDate>
  <CharactersWithSpaces>1854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Hood, Amy</dc:creator>
  <cp:keywords/>
  <dc:description/>
  <cp:lastModifiedBy>Hood, Amy</cp:lastModifiedBy>
  <cp:revision>2</cp:revision>
  <dcterms:created xsi:type="dcterms:W3CDTF">2018-11-02T03:42:00Z</dcterms:created>
  <dcterms:modified xsi:type="dcterms:W3CDTF">2018-11-02T03:43:00Z</dcterms:modified>
</cp:coreProperties>
</file>