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872" w:rsidRPr="00D21BEA" w:rsidRDefault="008D2872" w:rsidP="008D2872">
      <w:pPr>
        <w:spacing w:after="120"/>
        <w:jc w:val="both"/>
        <w:rPr>
          <w:rFonts w:asciiTheme="minorHAnsi" w:hAnsiTheme="minorHAnsi"/>
          <w:b/>
          <w:sz w:val="22"/>
          <w:szCs w:val="22"/>
          <w:lang w:val="en-US"/>
        </w:rPr>
      </w:pPr>
      <w:r w:rsidRPr="00D21BEA">
        <w:rPr>
          <w:rFonts w:asciiTheme="minorHAnsi" w:hAnsiTheme="minorHAnsi"/>
          <w:b/>
          <w:sz w:val="22"/>
          <w:szCs w:val="22"/>
          <w:lang w:val="en-US"/>
        </w:rPr>
        <w:t>Directorate:</w:t>
      </w:r>
      <w:r w:rsidRPr="00D21BEA">
        <w:rPr>
          <w:rFonts w:asciiTheme="minorHAnsi" w:hAnsiTheme="minorHAnsi"/>
          <w:b/>
          <w:sz w:val="22"/>
          <w:szCs w:val="22"/>
          <w:lang w:val="en-US"/>
        </w:rPr>
        <w:tab/>
        <w:t>Chief Minister, Treasury and Economic Development</w:t>
      </w:r>
    </w:p>
    <w:p w:rsidR="008D2872" w:rsidRPr="00D21BEA" w:rsidRDefault="008D2872" w:rsidP="008D2872">
      <w:pPr>
        <w:spacing w:after="120"/>
        <w:jc w:val="both"/>
        <w:rPr>
          <w:rFonts w:asciiTheme="minorHAnsi" w:hAnsiTheme="minorHAnsi"/>
          <w:b/>
          <w:sz w:val="22"/>
          <w:szCs w:val="22"/>
          <w:lang w:val="en-US"/>
        </w:rPr>
      </w:pPr>
      <w:bookmarkStart w:id="0" w:name="_GoBack"/>
      <w:r w:rsidRPr="00D21BEA">
        <w:rPr>
          <w:rFonts w:asciiTheme="minorHAnsi" w:hAnsiTheme="minorHAnsi"/>
          <w:b/>
          <w:sz w:val="22"/>
          <w:szCs w:val="22"/>
          <w:lang w:val="en-US"/>
        </w:rPr>
        <w:t>18/121 Council of Australian Governments: out-of-session items February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D2872" w:rsidRPr="003A180B" w:rsidTr="00EC635C">
        <w:trPr>
          <w:jc w:val="center"/>
        </w:trPr>
        <w:tc>
          <w:tcPr>
            <w:tcW w:w="9016" w:type="dxa"/>
          </w:tcPr>
          <w:bookmarkEnd w:id="0"/>
          <w:p w:rsidR="008D2872" w:rsidRPr="003A180B" w:rsidRDefault="008D2872" w:rsidP="00EC635C">
            <w:pPr>
              <w:spacing w:before="60" w:after="0"/>
              <w:jc w:val="both"/>
              <w:rPr>
                <w:rFonts w:asciiTheme="minorHAnsi" w:hAnsiTheme="minorHAnsi"/>
                <w:b/>
                <w:bCs/>
                <w:sz w:val="22"/>
                <w:szCs w:val="22"/>
              </w:rPr>
            </w:pPr>
            <w:r w:rsidRPr="003A180B">
              <w:rPr>
                <w:rFonts w:asciiTheme="minorHAnsi" w:hAnsiTheme="minorHAnsi"/>
                <w:b/>
                <w:bCs/>
                <w:sz w:val="22"/>
                <w:szCs w:val="22"/>
              </w:rPr>
              <w:t>Summary of Impacts</w:t>
            </w:r>
          </w:p>
        </w:tc>
      </w:tr>
      <w:tr w:rsidR="008D2872" w:rsidRPr="003A180B" w:rsidTr="00EC635C">
        <w:trPr>
          <w:jc w:val="center"/>
        </w:trPr>
        <w:tc>
          <w:tcPr>
            <w:tcW w:w="9016" w:type="dxa"/>
          </w:tcPr>
          <w:p w:rsidR="008D2872" w:rsidRPr="003A180B" w:rsidRDefault="008D2872"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Three of the seven Out Of Session COAG papers concern proposals which may have social, economic or environmental impacts if they progress. These are summarised below, however the precise impacts are unknown until the proposals have been further developed. </w:t>
            </w:r>
          </w:p>
          <w:p w:rsidR="008D2872" w:rsidRPr="003A180B" w:rsidRDefault="008D2872"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COAG is asked only to </w:t>
            </w:r>
            <w:r w:rsidRPr="003A180B">
              <w:rPr>
                <w:rFonts w:asciiTheme="minorHAnsi" w:hAnsiTheme="minorHAnsi"/>
                <w:sz w:val="22"/>
                <w:szCs w:val="22"/>
                <w:u w:val="single"/>
              </w:rPr>
              <w:t>note</w:t>
            </w:r>
            <w:r w:rsidRPr="003A180B">
              <w:rPr>
                <w:rFonts w:asciiTheme="minorHAnsi" w:hAnsiTheme="minorHAnsi"/>
                <w:sz w:val="22"/>
                <w:szCs w:val="22"/>
              </w:rPr>
              <w:t xml:space="preserve"> these items at this stage. </w:t>
            </w:r>
          </w:p>
        </w:tc>
      </w:tr>
    </w:tbl>
    <w:p w:rsidR="008D2872" w:rsidRPr="003A180B" w:rsidRDefault="008D2872" w:rsidP="008D2872">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8D2872" w:rsidRPr="003A180B" w:rsidRDefault="008D2872" w:rsidP="008D2872">
      <w:pPr>
        <w:spacing w:after="0"/>
        <w:jc w:val="both"/>
        <w:rPr>
          <w:rFonts w:asciiTheme="minorHAnsi" w:hAnsiTheme="minorHAnsi"/>
          <w:b/>
          <w:bCs/>
          <w:sz w:val="22"/>
          <w:szCs w:val="22"/>
        </w:rPr>
      </w:pPr>
      <w:r w:rsidRPr="003A180B">
        <w:rPr>
          <w:rFonts w:asciiTheme="minorHAnsi" w:hAnsiTheme="minorHAnsi"/>
          <w:b/>
          <w:bCs/>
          <w:sz w:val="22"/>
          <w:szCs w:val="22"/>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7509"/>
      </w:tblGrid>
      <w:tr w:rsidR="008D2872" w:rsidRPr="00D21BEA" w:rsidTr="00EC635C">
        <w:trPr>
          <w:jc w:val="center"/>
        </w:trPr>
        <w:tc>
          <w:tcPr>
            <w:tcW w:w="1507" w:type="dxa"/>
            <w:shd w:val="clear" w:color="auto" w:fill="92D050"/>
          </w:tcPr>
          <w:p w:rsidR="008D2872" w:rsidRPr="00D21BEA" w:rsidRDefault="008D2872" w:rsidP="00EC635C">
            <w:pPr>
              <w:jc w:val="both"/>
              <w:rPr>
                <w:rFonts w:asciiTheme="minorHAnsi" w:hAnsiTheme="minorHAnsi"/>
                <w:b/>
                <w:bCs/>
                <w:sz w:val="22"/>
                <w:szCs w:val="22"/>
              </w:rPr>
            </w:pPr>
            <w:r w:rsidRPr="00D21BEA">
              <w:rPr>
                <w:rFonts w:asciiTheme="minorHAnsi" w:hAnsiTheme="minorHAnsi"/>
                <w:b/>
                <w:bCs/>
                <w:sz w:val="22"/>
                <w:szCs w:val="22"/>
              </w:rPr>
              <w:t>Individual and Community Health</w:t>
            </w:r>
          </w:p>
        </w:tc>
        <w:tc>
          <w:tcPr>
            <w:tcW w:w="7509" w:type="dxa"/>
          </w:tcPr>
          <w:p w:rsidR="008D2872" w:rsidRPr="00D21BEA" w:rsidRDefault="008D2872"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options outlined in the </w:t>
            </w:r>
            <w:r w:rsidRPr="00D21BEA">
              <w:rPr>
                <w:rFonts w:asciiTheme="minorHAnsi" w:hAnsiTheme="minorHAnsi"/>
                <w:sz w:val="22"/>
                <w:szCs w:val="22"/>
                <w:u w:val="single"/>
              </w:rPr>
              <w:t>COAG Health and Education Council paper, ‘Options for a national Approach to Increasing Immunisation Rates in Early Childhood Education and Care Services’</w:t>
            </w:r>
            <w:r w:rsidRPr="00D21BEA">
              <w:rPr>
                <w:rFonts w:asciiTheme="minorHAnsi" w:hAnsiTheme="minorHAnsi"/>
                <w:sz w:val="22"/>
                <w:szCs w:val="22"/>
              </w:rPr>
              <w:t xml:space="preserve"> seek to improve immunisation rates in order to increase communal immunity and prevent disease outbreaks. As a specific approach has not yet been identified, the exact impacts are unclear. </w:t>
            </w:r>
          </w:p>
        </w:tc>
      </w:tr>
      <w:tr w:rsidR="008D2872" w:rsidRPr="00D21BEA" w:rsidTr="00EC635C">
        <w:trPr>
          <w:jc w:val="center"/>
        </w:trPr>
        <w:tc>
          <w:tcPr>
            <w:tcW w:w="1507" w:type="dxa"/>
            <w:shd w:val="clear" w:color="auto" w:fill="92D050"/>
          </w:tcPr>
          <w:p w:rsidR="008D2872" w:rsidRPr="00D21BEA" w:rsidRDefault="008D2872" w:rsidP="00EC635C">
            <w:pPr>
              <w:jc w:val="both"/>
              <w:rPr>
                <w:rFonts w:asciiTheme="minorHAnsi" w:hAnsiTheme="minorHAnsi"/>
                <w:b/>
                <w:bCs/>
                <w:sz w:val="22"/>
                <w:szCs w:val="22"/>
              </w:rPr>
            </w:pPr>
            <w:r w:rsidRPr="00D21BEA">
              <w:rPr>
                <w:rFonts w:asciiTheme="minorHAnsi" w:hAnsiTheme="minorHAnsi"/>
                <w:b/>
                <w:bCs/>
                <w:sz w:val="22"/>
                <w:szCs w:val="22"/>
              </w:rPr>
              <w:t>Individual and Community Health</w:t>
            </w:r>
          </w:p>
        </w:tc>
        <w:tc>
          <w:tcPr>
            <w:tcW w:w="7509" w:type="dxa"/>
          </w:tcPr>
          <w:p w:rsidR="008D2872" w:rsidRPr="00D21BEA" w:rsidRDefault="008D2872"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proposal for a national </w:t>
            </w:r>
            <w:r w:rsidRPr="00D21BEA">
              <w:rPr>
                <w:rFonts w:asciiTheme="minorHAnsi" w:hAnsiTheme="minorHAnsi"/>
                <w:sz w:val="22"/>
                <w:szCs w:val="22"/>
                <w:u w:val="single"/>
              </w:rPr>
              <w:t>Public Safety Mobile Broadband</w:t>
            </w:r>
            <w:r w:rsidRPr="00D21BEA">
              <w:rPr>
                <w:rFonts w:asciiTheme="minorHAnsi" w:hAnsiTheme="minorHAnsi"/>
                <w:sz w:val="22"/>
                <w:szCs w:val="22"/>
              </w:rPr>
              <w:t xml:space="preserve"> will provide a dedicated mobile broadband for emergency communications, improving all Australian Governments</w:t>
            </w:r>
            <w:r>
              <w:rPr>
                <w:rFonts w:asciiTheme="minorHAnsi" w:hAnsiTheme="minorHAnsi"/>
                <w:sz w:val="22"/>
                <w:szCs w:val="22"/>
              </w:rPr>
              <w:t>’</w:t>
            </w:r>
            <w:r w:rsidRPr="00D21BEA">
              <w:rPr>
                <w:rFonts w:asciiTheme="minorHAnsi" w:hAnsiTheme="minorHAnsi"/>
                <w:sz w:val="22"/>
                <w:szCs w:val="22"/>
              </w:rPr>
              <w:t xml:space="preserve"> capacity to communicate with the public during emergencies.</w:t>
            </w:r>
          </w:p>
        </w:tc>
      </w:tr>
      <w:tr w:rsidR="008D2872" w:rsidRPr="00D21BEA" w:rsidTr="00EC635C">
        <w:trPr>
          <w:jc w:val="center"/>
        </w:trPr>
        <w:tc>
          <w:tcPr>
            <w:tcW w:w="1507" w:type="dxa"/>
            <w:shd w:val="clear" w:color="auto" w:fill="ED7D31" w:themeFill="accent2"/>
          </w:tcPr>
          <w:p w:rsidR="008D2872" w:rsidRPr="00D21BEA" w:rsidRDefault="008D2872" w:rsidP="00EC635C">
            <w:pPr>
              <w:jc w:val="both"/>
              <w:rPr>
                <w:rFonts w:asciiTheme="minorHAnsi" w:hAnsiTheme="minorHAnsi"/>
                <w:b/>
                <w:bCs/>
                <w:sz w:val="22"/>
                <w:szCs w:val="22"/>
              </w:rPr>
            </w:pPr>
            <w:r w:rsidRPr="00D21BEA">
              <w:rPr>
                <w:rFonts w:asciiTheme="minorHAnsi" w:hAnsiTheme="minorHAnsi"/>
                <w:b/>
                <w:bCs/>
                <w:sz w:val="22"/>
                <w:szCs w:val="22"/>
              </w:rPr>
              <w:t>Human Rights</w:t>
            </w:r>
          </w:p>
        </w:tc>
        <w:tc>
          <w:tcPr>
            <w:tcW w:w="7509" w:type="dxa"/>
          </w:tcPr>
          <w:p w:rsidR="008D2872" w:rsidRPr="00D21BEA" w:rsidRDefault="008D2872"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options outlined in the </w:t>
            </w:r>
            <w:r w:rsidRPr="00D21BEA">
              <w:rPr>
                <w:rFonts w:asciiTheme="minorHAnsi" w:hAnsiTheme="minorHAnsi"/>
                <w:sz w:val="22"/>
                <w:szCs w:val="22"/>
                <w:u w:val="single"/>
              </w:rPr>
              <w:t>COAG Health and Education Council paper, ‘Options for a national Approach to Increasing Immunisation Rates in Early Childhood Education and Care Services’</w:t>
            </w:r>
            <w:r w:rsidRPr="00D21BEA">
              <w:rPr>
                <w:rFonts w:asciiTheme="minorHAnsi" w:hAnsiTheme="minorHAnsi"/>
                <w:sz w:val="22"/>
                <w:szCs w:val="22"/>
              </w:rPr>
              <w:t xml:space="preserve"> may have legislative and human rights implications, which will need to be assessed by COAG as the proposal progresses.  </w:t>
            </w:r>
          </w:p>
        </w:tc>
      </w:tr>
    </w:tbl>
    <w:p w:rsidR="008D2872" w:rsidRPr="003A180B" w:rsidRDefault="008D2872" w:rsidP="008D2872">
      <w:pPr>
        <w:spacing w:before="120" w:after="0"/>
        <w:jc w:val="both"/>
        <w:rPr>
          <w:rFonts w:asciiTheme="minorHAnsi" w:hAnsiTheme="minorHAnsi"/>
          <w:b/>
          <w:bCs/>
          <w:sz w:val="22"/>
          <w:szCs w:val="22"/>
        </w:rPr>
      </w:pPr>
      <w:r w:rsidRPr="003A180B">
        <w:rPr>
          <w:rFonts w:asciiTheme="minorHAnsi" w:hAnsiTheme="minorHAnsi"/>
          <w:b/>
          <w:bCs/>
          <w:sz w:val="22"/>
          <w:szCs w:val="22"/>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7496"/>
      </w:tblGrid>
      <w:tr w:rsidR="008D2872" w:rsidRPr="003A180B" w:rsidTr="00EC635C">
        <w:trPr>
          <w:jc w:val="center"/>
        </w:trPr>
        <w:tc>
          <w:tcPr>
            <w:tcW w:w="1526" w:type="dxa"/>
            <w:shd w:val="clear" w:color="auto" w:fill="ED7D31" w:themeFill="accent2"/>
          </w:tcPr>
          <w:p w:rsidR="008D2872" w:rsidRPr="003A180B" w:rsidRDefault="008D2872" w:rsidP="00EC635C">
            <w:pPr>
              <w:jc w:val="both"/>
              <w:rPr>
                <w:rFonts w:asciiTheme="minorHAnsi" w:hAnsiTheme="minorHAnsi"/>
                <w:sz w:val="22"/>
                <w:szCs w:val="22"/>
              </w:rPr>
            </w:pPr>
            <w:r w:rsidRPr="003A180B">
              <w:rPr>
                <w:rFonts w:asciiTheme="minorHAnsi" w:hAnsiTheme="minorHAnsi"/>
                <w:b/>
                <w:bCs/>
                <w:sz w:val="22"/>
                <w:szCs w:val="22"/>
              </w:rPr>
              <w:t>ACT Government Budget</w:t>
            </w:r>
          </w:p>
        </w:tc>
        <w:tc>
          <w:tcPr>
            <w:tcW w:w="7716" w:type="dxa"/>
          </w:tcPr>
          <w:p w:rsidR="008D2872" w:rsidRPr="003A180B" w:rsidRDefault="008D2872"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The proposal for a national </w:t>
            </w:r>
            <w:r w:rsidRPr="003A180B">
              <w:rPr>
                <w:rFonts w:asciiTheme="minorHAnsi" w:hAnsiTheme="minorHAnsi"/>
                <w:sz w:val="22"/>
                <w:szCs w:val="22"/>
                <w:u w:val="single"/>
              </w:rPr>
              <w:t>Public Safety Mobile Broadband</w:t>
            </w:r>
            <w:r w:rsidRPr="003A180B">
              <w:rPr>
                <w:rFonts w:asciiTheme="minorHAnsi" w:hAnsiTheme="minorHAnsi"/>
                <w:sz w:val="22"/>
                <w:szCs w:val="22"/>
              </w:rPr>
              <w:t xml:space="preserve"> may have cost implications for the ACT. The market exercise being led by NSW will help to inform potential costs, which will be assessed by COAG if the proposal progresses.</w:t>
            </w:r>
          </w:p>
        </w:tc>
      </w:tr>
    </w:tbl>
    <w:p w:rsidR="008D2872" w:rsidRPr="003A180B" w:rsidRDefault="008D2872" w:rsidP="008D2872">
      <w:pPr>
        <w:spacing w:before="120" w:after="0"/>
        <w:jc w:val="both"/>
        <w:rPr>
          <w:rFonts w:asciiTheme="minorHAnsi" w:hAnsiTheme="minorHAnsi"/>
          <w:b/>
          <w:bCs/>
          <w:sz w:val="22"/>
          <w:szCs w:val="22"/>
        </w:rPr>
      </w:pPr>
      <w:r w:rsidRPr="003A180B">
        <w:rPr>
          <w:rFonts w:asciiTheme="minorHAnsi" w:hAnsiTheme="minorHAnsi"/>
          <w:b/>
          <w:bCs/>
          <w:sz w:val="22"/>
          <w:szCs w:val="22"/>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7455"/>
      </w:tblGrid>
      <w:tr w:rsidR="008D2872" w:rsidRPr="003A180B" w:rsidTr="00EC635C">
        <w:trPr>
          <w:jc w:val="center"/>
        </w:trPr>
        <w:tc>
          <w:tcPr>
            <w:tcW w:w="1526" w:type="dxa"/>
            <w:shd w:val="clear" w:color="auto" w:fill="92D050"/>
          </w:tcPr>
          <w:p w:rsidR="008D2872" w:rsidRPr="003A180B" w:rsidRDefault="008D2872" w:rsidP="00EC635C">
            <w:pPr>
              <w:jc w:val="both"/>
              <w:rPr>
                <w:rFonts w:asciiTheme="minorHAnsi" w:hAnsiTheme="minorHAnsi"/>
                <w:sz w:val="22"/>
                <w:szCs w:val="22"/>
              </w:rPr>
            </w:pPr>
            <w:r w:rsidRPr="003A180B">
              <w:rPr>
                <w:rFonts w:asciiTheme="minorHAnsi" w:hAnsiTheme="minorHAnsi"/>
                <w:b/>
                <w:bCs/>
                <w:sz w:val="22"/>
                <w:szCs w:val="22"/>
              </w:rPr>
              <w:t>Environmental Quality</w:t>
            </w:r>
          </w:p>
        </w:tc>
        <w:tc>
          <w:tcPr>
            <w:tcW w:w="7716" w:type="dxa"/>
          </w:tcPr>
          <w:p w:rsidR="008D2872" w:rsidRPr="003A180B" w:rsidRDefault="008D2872"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The </w:t>
            </w:r>
            <w:r w:rsidRPr="003A180B">
              <w:rPr>
                <w:rFonts w:asciiTheme="minorHAnsi" w:hAnsiTheme="minorHAnsi"/>
                <w:sz w:val="22"/>
                <w:szCs w:val="22"/>
                <w:u w:val="single"/>
              </w:rPr>
              <w:t>PFAS IGA</w:t>
            </w:r>
            <w:r w:rsidRPr="003A180B">
              <w:rPr>
                <w:rFonts w:asciiTheme="minorHAnsi" w:hAnsiTheme="minorHAnsi"/>
                <w:sz w:val="22"/>
                <w:szCs w:val="22"/>
              </w:rPr>
              <w:t xml:space="preserve"> will support better communication and a more collaborative approach between governments and industry regarding PFAS contamination nationwide. The implementation of the Contamination Response Protocol and the PFAS Natural Environment Management Plan will result in quicker and more effective response to contamination, thus reducing impact on human and environmental health. </w:t>
            </w:r>
          </w:p>
        </w:tc>
      </w:tr>
    </w:tbl>
    <w:p w:rsidR="008D2872" w:rsidRPr="00D21BEA" w:rsidRDefault="008D2872" w:rsidP="008D2872">
      <w:pPr>
        <w:rPr>
          <w:rFonts w:asciiTheme="minorHAnsi" w:hAnsiTheme="minorHAnsi"/>
          <w:sz w:val="22"/>
          <w:szCs w:val="22"/>
        </w:rPr>
      </w:pPr>
    </w:p>
    <w:p w:rsidR="004B5ACA" w:rsidRDefault="004B5ACA"/>
    <w:sectPr w:rsidR="004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72"/>
    <w:rsid w:val="004B5ACA"/>
    <w:rsid w:val="008D2872"/>
    <w:rsid w:val="00BF3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7DBF5-DE75-492F-A5DD-FCD65EE6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872"/>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18/121 Council of Australian Governments: out-of-session items February 2018</dc:title>
  <dc:subject>18/121 Council of Australian Governments: out-of-session items February 2018</dc:subject>
  <dc:creator>ACT Government</dc:creator>
  <cp:keywords/>
  <dc:description/>
  <cp:lastModifiedBy>Maniacherry, Ponnu</cp:lastModifiedBy>
  <cp:revision>2</cp:revision>
  <dcterms:created xsi:type="dcterms:W3CDTF">2018-06-04T00:21:00Z</dcterms:created>
  <dcterms:modified xsi:type="dcterms:W3CDTF">2018-06-04T07:02:00Z</dcterms:modified>
</cp:coreProperties>
</file>