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8123F" w14:textId="77777777" w:rsidR="00EB0495" w:rsidRDefault="00EB0495" w:rsidP="00EB0495">
      <w:pPr>
        <w:spacing w:after="120"/>
        <w:jc w:val="both"/>
        <w:rPr>
          <w:b/>
          <w:bCs/>
          <w:color w:val="000000"/>
          <w:sz w:val="21"/>
          <w:szCs w:val="21"/>
        </w:rPr>
      </w:pPr>
      <w:bookmarkStart w:id="0" w:name="_GoBack"/>
      <w:bookmarkEnd w:id="0"/>
      <w:r>
        <w:rPr>
          <w:b/>
          <w:bCs/>
          <w:color w:val="000000"/>
          <w:sz w:val="21"/>
          <w:szCs w:val="21"/>
        </w:rPr>
        <w:t xml:space="preserve">18/318 - </w:t>
      </w:r>
      <w:r w:rsidRPr="00D03C1B">
        <w:rPr>
          <w:b/>
          <w:bCs/>
          <w:color w:val="000000"/>
          <w:sz w:val="21"/>
          <w:szCs w:val="21"/>
        </w:rPr>
        <w:t>Government Position on PMB – Hanson – Magistrates Court (Retirement Age of Magistrates) Amendment Bill 2018</w:t>
      </w:r>
    </w:p>
    <w:p w14:paraId="19381240" w14:textId="77777777" w:rsidR="00EB0495" w:rsidRPr="00D03C1B" w:rsidRDefault="00EB0495" w:rsidP="00EB0495">
      <w:pPr>
        <w:spacing w:after="120"/>
        <w:jc w:val="both"/>
        <w:rPr>
          <w:b/>
          <w:bCs/>
          <w:color w:val="000000"/>
          <w:sz w:val="21"/>
          <w:szCs w:val="21"/>
        </w:rPr>
      </w:pPr>
      <w:r>
        <w:rPr>
          <w:b/>
          <w:bCs/>
          <w:color w:val="000000"/>
          <w:sz w:val="21"/>
          <w:szCs w:val="21"/>
        </w:rPr>
        <w:t>(refers to 18/349 Crimes and Other Justice Amendment Bill 2018 (No 2) – agreement to introduce)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EB0495" w:rsidRPr="00D03C1B" w14:paraId="19381242" w14:textId="77777777" w:rsidTr="00BC512C">
        <w:trPr>
          <w:jc w:val="center"/>
        </w:trPr>
        <w:tc>
          <w:tcPr>
            <w:tcW w:w="9105" w:type="dxa"/>
          </w:tcPr>
          <w:p w14:paraId="19381241" w14:textId="77777777" w:rsidR="00EB0495" w:rsidRPr="00D03C1B" w:rsidRDefault="00EB0495" w:rsidP="00EE75C8">
            <w:pPr>
              <w:spacing w:before="120" w:after="120" w:line="240" w:lineRule="auto"/>
              <w:jc w:val="both"/>
              <w:rPr>
                <w:b/>
                <w:bCs/>
                <w:color w:val="000000"/>
                <w:sz w:val="21"/>
                <w:szCs w:val="21"/>
              </w:rPr>
            </w:pPr>
            <w:r w:rsidRPr="00D03C1B">
              <w:rPr>
                <w:b/>
                <w:bCs/>
                <w:color w:val="000000"/>
                <w:sz w:val="21"/>
                <w:szCs w:val="21"/>
              </w:rPr>
              <w:t>Summary of Impacts</w:t>
            </w:r>
          </w:p>
        </w:tc>
      </w:tr>
      <w:tr w:rsidR="00EB0495" w:rsidRPr="00D03C1B" w14:paraId="19381247" w14:textId="77777777" w:rsidTr="00BC512C">
        <w:trPr>
          <w:trHeight w:val="2048"/>
          <w:jc w:val="center"/>
        </w:trPr>
        <w:tc>
          <w:tcPr>
            <w:tcW w:w="9105" w:type="dxa"/>
          </w:tcPr>
          <w:p w14:paraId="19381243" w14:textId="77777777" w:rsidR="00EB0495" w:rsidRPr="00D03C1B" w:rsidRDefault="00EB0495" w:rsidP="00EE75C8">
            <w:pPr>
              <w:numPr>
                <w:ilvl w:val="0"/>
                <w:numId w:val="1"/>
              </w:numPr>
              <w:spacing w:before="120" w:after="120" w:line="240" w:lineRule="auto"/>
              <w:ind w:left="360"/>
              <w:rPr>
                <w:color w:val="000000"/>
                <w:sz w:val="21"/>
                <w:szCs w:val="21"/>
              </w:rPr>
            </w:pPr>
            <w:r w:rsidRPr="00D03C1B">
              <w:rPr>
                <w:color w:val="000000"/>
                <w:sz w:val="21"/>
                <w:szCs w:val="21"/>
              </w:rPr>
              <w:t>Reducing age discrimination, by supporting inclusion of older Canberrans as magistrates, ACT Civil and Administrative Tribunal presidential members and the Director of Public Prosecutions (DPP).</w:t>
            </w:r>
          </w:p>
          <w:p w14:paraId="19381244" w14:textId="77777777" w:rsidR="00EB0495" w:rsidRPr="00D03C1B" w:rsidRDefault="00EB0495" w:rsidP="00EE75C8">
            <w:pPr>
              <w:numPr>
                <w:ilvl w:val="0"/>
                <w:numId w:val="1"/>
              </w:numPr>
              <w:spacing w:before="120" w:after="120" w:line="240" w:lineRule="auto"/>
              <w:ind w:left="360"/>
              <w:rPr>
                <w:color w:val="000000"/>
                <w:sz w:val="21"/>
                <w:szCs w:val="21"/>
              </w:rPr>
            </w:pPr>
            <w:r w:rsidRPr="00D03C1B">
              <w:rPr>
                <w:color w:val="000000"/>
                <w:sz w:val="21"/>
                <w:szCs w:val="21"/>
              </w:rPr>
              <w:t>Supporting justice by increasing the independence of the Associate Judge position.</w:t>
            </w:r>
          </w:p>
          <w:p w14:paraId="19381245" w14:textId="77777777" w:rsidR="00EB0495" w:rsidRPr="00D03C1B" w:rsidRDefault="00EB0495" w:rsidP="00EE75C8">
            <w:pPr>
              <w:numPr>
                <w:ilvl w:val="0"/>
                <w:numId w:val="1"/>
              </w:numPr>
              <w:spacing w:before="120" w:after="120" w:line="240" w:lineRule="auto"/>
              <w:ind w:left="360"/>
              <w:rPr>
                <w:color w:val="000000"/>
                <w:sz w:val="21"/>
                <w:szCs w:val="21"/>
              </w:rPr>
            </w:pPr>
            <w:r w:rsidRPr="00D03C1B">
              <w:rPr>
                <w:color w:val="000000"/>
                <w:sz w:val="21"/>
                <w:szCs w:val="21"/>
              </w:rPr>
              <w:t xml:space="preserve">Productivity improvements due to less time overall spent inducting Magistrates and justice office holders into their positions and greater retention and use of expertise and experience.  </w:t>
            </w:r>
          </w:p>
          <w:p w14:paraId="19381246" w14:textId="77777777" w:rsidR="00EB0495" w:rsidRPr="00D03C1B" w:rsidRDefault="00EB0495" w:rsidP="00EE75C8">
            <w:pPr>
              <w:numPr>
                <w:ilvl w:val="0"/>
                <w:numId w:val="1"/>
              </w:numPr>
              <w:spacing w:before="120" w:after="120" w:line="240" w:lineRule="auto"/>
              <w:ind w:left="360"/>
              <w:rPr>
                <w:color w:val="000000"/>
                <w:sz w:val="21"/>
                <w:szCs w:val="21"/>
              </w:rPr>
            </w:pPr>
            <w:r w:rsidRPr="00D03C1B">
              <w:rPr>
                <w:color w:val="000000"/>
                <w:sz w:val="21"/>
                <w:szCs w:val="21"/>
              </w:rPr>
              <w:t>Enabling the efficient administration of the ACT Courts and Tribunal by strengthening the governance arrangements for the independent statutory off</w:t>
            </w:r>
            <w:r w:rsidR="00EE75C8">
              <w:rPr>
                <w:color w:val="000000"/>
                <w:sz w:val="21"/>
                <w:szCs w:val="21"/>
              </w:rPr>
              <w:t>ice of the Principal Registrar.</w:t>
            </w:r>
          </w:p>
        </w:tc>
      </w:tr>
    </w:tbl>
    <w:p w14:paraId="19381248" w14:textId="77777777" w:rsidR="00EB0495" w:rsidRPr="00D03C1B" w:rsidRDefault="00EB0495" w:rsidP="00EB0495">
      <w:pPr>
        <w:spacing w:after="120"/>
        <w:rPr>
          <w:i/>
          <w:color w:val="000000"/>
          <w:sz w:val="21"/>
          <w:szCs w:val="21"/>
        </w:rPr>
      </w:pPr>
      <w:r w:rsidRPr="00D03C1B">
        <w:rPr>
          <w:i/>
          <w:color w:val="000000"/>
          <w:sz w:val="21"/>
          <w:szCs w:val="21"/>
        </w:rPr>
        <w:t>Key to impacts: Red – negative, Blue – neutral and Green – positive.</w:t>
      </w:r>
    </w:p>
    <w:p w14:paraId="19381249" w14:textId="77777777" w:rsidR="00EB0495" w:rsidRPr="00D03C1B" w:rsidRDefault="00EB0495" w:rsidP="00EB0495">
      <w:pPr>
        <w:spacing w:after="0"/>
        <w:jc w:val="both"/>
        <w:rPr>
          <w:b/>
          <w:bCs/>
          <w:color w:val="000000"/>
          <w:sz w:val="21"/>
          <w:szCs w:val="21"/>
        </w:rPr>
      </w:pPr>
      <w:r w:rsidRPr="00D03C1B">
        <w:rPr>
          <w:b/>
          <w:bCs/>
          <w:color w:val="000000"/>
          <w:sz w:val="21"/>
          <w:szCs w:val="21"/>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2"/>
        <w:gridCol w:w="7514"/>
      </w:tblGrid>
      <w:tr w:rsidR="00EB0495" w:rsidRPr="00D03C1B" w14:paraId="1938124F" w14:textId="77777777" w:rsidTr="00BC512C">
        <w:trPr>
          <w:jc w:val="center"/>
        </w:trPr>
        <w:tc>
          <w:tcPr>
            <w:tcW w:w="1526" w:type="dxa"/>
            <w:shd w:val="clear" w:color="auto" w:fill="92D050"/>
          </w:tcPr>
          <w:p w14:paraId="1938124A" w14:textId="77777777" w:rsidR="00EB0495" w:rsidRPr="00D03C1B" w:rsidRDefault="00EB0495" w:rsidP="00EE75C8">
            <w:pPr>
              <w:spacing w:before="120" w:after="120" w:line="240" w:lineRule="auto"/>
              <w:rPr>
                <w:color w:val="000000"/>
                <w:sz w:val="21"/>
                <w:szCs w:val="21"/>
              </w:rPr>
            </w:pPr>
            <w:r w:rsidRPr="00D03C1B">
              <w:rPr>
                <w:b/>
                <w:bCs/>
                <w:color w:val="000000"/>
                <w:sz w:val="21"/>
                <w:szCs w:val="21"/>
              </w:rPr>
              <w:t>Justice and rights</w:t>
            </w:r>
          </w:p>
        </w:tc>
        <w:tc>
          <w:tcPr>
            <w:tcW w:w="7716" w:type="dxa"/>
          </w:tcPr>
          <w:p w14:paraId="1938124B" w14:textId="77777777" w:rsidR="00EB0495" w:rsidRPr="00D03C1B" w:rsidRDefault="00EB0495" w:rsidP="00EE75C8">
            <w:pPr>
              <w:numPr>
                <w:ilvl w:val="0"/>
                <w:numId w:val="1"/>
              </w:numPr>
              <w:spacing w:before="120" w:after="120" w:line="240" w:lineRule="auto"/>
              <w:ind w:left="229" w:hanging="229"/>
              <w:rPr>
                <w:color w:val="000000"/>
                <w:sz w:val="21"/>
                <w:szCs w:val="21"/>
              </w:rPr>
            </w:pPr>
            <w:r w:rsidRPr="00D03C1B">
              <w:rPr>
                <w:color w:val="000000"/>
                <w:sz w:val="21"/>
                <w:szCs w:val="21"/>
              </w:rPr>
              <w:t>Supporting an increased retirement age for magistrates and ACAT presidential members and DPP will support the inclusion of a broader range of Canberrans as in these roles.</w:t>
            </w:r>
          </w:p>
          <w:p w14:paraId="1938124C" w14:textId="77777777" w:rsidR="00EB0495" w:rsidRPr="00D03C1B" w:rsidRDefault="00EB0495" w:rsidP="00EE75C8">
            <w:pPr>
              <w:numPr>
                <w:ilvl w:val="0"/>
                <w:numId w:val="1"/>
              </w:numPr>
              <w:spacing w:before="120" w:after="120" w:line="240" w:lineRule="auto"/>
              <w:ind w:left="229" w:hanging="229"/>
              <w:rPr>
                <w:color w:val="000000"/>
                <w:sz w:val="21"/>
                <w:szCs w:val="21"/>
              </w:rPr>
            </w:pPr>
            <w:r w:rsidRPr="00D03C1B">
              <w:rPr>
                <w:color w:val="000000"/>
                <w:sz w:val="21"/>
                <w:szCs w:val="21"/>
              </w:rPr>
              <w:t>Setting a compulsory retirement age of 65, which is inconsistent with comparable retirement ages in the ACT and interstate, can be seen as discriminatory and out-of-step with trends in the broader workforce.</w:t>
            </w:r>
          </w:p>
          <w:p w14:paraId="1938124D" w14:textId="77777777" w:rsidR="00EB0495" w:rsidRPr="00D03C1B" w:rsidRDefault="00EB0495" w:rsidP="00EE75C8">
            <w:pPr>
              <w:numPr>
                <w:ilvl w:val="0"/>
                <w:numId w:val="1"/>
              </w:numPr>
              <w:spacing w:before="120" w:after="120" w:line="240" w:lineRule="auto"/>
              <w:ind w:left="229" w:hanging="229"/>
              <w:rPr>
                <w:color w:val="000000"/>
                <w:sz w:val="21"/>
                <w:szCs w:val="21"/>
              </w:rPr>
            </w:pPr>
            <w:r w:rsidRPr="00D03C1B">
              <w:rPr>
                <w:color w:val="000000"/>
                <w:sz w:val="21"/>
                <w:szCs w:val="21"/>
              </w:rPr>
              <w:t>Supporting part-time arrangements for magistrates will also support the inclusion of a broader range of Canberrans as magistrates.</w:t>
            </w:r>
          </w:p>
          <w:p w14:paraId="1938124E" w14:textId="77777777" w:rsidR="00EB0495" w:rsidRPr="00D03C1B" w:rsidRDefault="00EB0495" w:rsidP="00EE75C8">
            <w:pPr>
              <w:numPr>
                <w:ilvl w:val="0"/>
                <w:numId w:val="1"/>
              </w:numPr>
              <w:spacing w:before="120" w:after="120" w:line="240" w:lineRule="auto"/>
              <w:ind w:left="229" w:hanging="229"/>
              <w:rPr>
                <w:color w:val="000000"/>
                <w:sz w:val="21"/>
                <w:szCs w:val="21"/>
              </w:rPr>
            </w:pPr>
            <w:r w:rsidRPr="00D03C1B">
              <w:rPr>
                <w:color w:val="000000"/>
                <w:sz w:val="21"/>
                <w:szCs w:val="21"/>
              </w:rPr>
              <w:t xml:space="preserve">Removing the term limit on the appointment of the Associate Judge will support justice by increasing the independence of that position. </w:t>
            </w:r>
          </w:p>
        </w:tc>
      </w:tr>
    </w:tbl>
    <w:p w14:paraId="19381250" w14:textId="77777777" w:rsidR="00EB0495" w:rsidRPr="00D03C1B" w:rsidRDefault="00EB0495" w:rsidP="00EB0495">
      <w:pPr>
        <w:spacing w:before="120" w:after="0"/>
        <w:jc w:val="both"/>
        <w:rPr>
          <w:b/>
          <w:bCs/>
          <w:color w:val="000000"/>
          <w:sz w:val="21"/>
          <w:szCs w:val="21"/>
        </w:rPr>
      </w:pPr>
      <w:r w:rsidRPr="00D03C1B">
        <w:rPr>
          <w:b/>
          <w:bCs/>
          <w:color w:val="000000"/>
          <w:sz w:val="21"/>
          <w:szCs w:val="21"/>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7"/>
        <w:gridCol w:w="7499"/>
      </w:tblGrid>
      <w:tr w:rsidR="00EB0495" w:rsidRPr="00D03C1B" w14:paraId="19381255" w14:textId="77777777" w:rsidTr="00BC512C">
        <w:trPr>
          <w:jc w:val="center"/>
        </w:trPr>
        <w:tc>
          <w:tcPr>
            <w:tcW w:w="1526" w:type="dxa"/>
            <w:shd w:val="clear" w:color="auto" w:fill="92D050"/>
          </w:tcPr>
          <w:p w14:paraId="19381251" w14:textId="77777777" w:rsidR="00EB0495" w:rsidRPr="00D03C1B" w:rsidRDefault="00EB0495" w:rsidP="00EE75C8">
            <w:pPr>
              <w:spacing w:before="120" w:after="120" w:line="240" w:lineRule="auto"/>
              <w:jc w:val="both"/>
              <w:rPr>
                <w:b/>
                <w:bCs/>
                <w:color w:val="000000"/>
                <w:sz w:val="21"/>
                <w:szCs w:val="21"/>
              </w:rPr>
            </w:pPr>
            <w:r w:rsidRPr="00D03C1B">
              <w:rPr>
                <w:b/>
                <w:bCs/>
                <w:color w:val="000000"/>
                <w:sz w:val="21"/>
                <w:szCs w:val="21"/>
              </w:rPr>
              <w:t>Productivity</w:t>
            </w:r>
          </w:p>
        </w:tc>
        <w:tc>
          <w:tcPr>
            <w:tcW w:w="7716" w:type="dxa"/>
          </w:tcPr>
          <w:p w14:paraId="19381252" w14:textId="77777777" w:rsidR="00EB0495" w:rsidRPr="00D03C1B" w:rsidRDefault="00EB0495" w:rsidP="00EE75C8">
            <w:pPr>
              <w:numPr>
                <w:ilvl w:val="0"/>
                <w:numId w:val="1"/>
              </w:numPr>
              <w:spacing w:before="120" w:after="120" w:line="240" w:lineRule="auto"/>
              <w:ind w:left="213" w:hanging="213"/>
              <w:rPr>
                <w:color w:val="000000"/>
                <w:sz w:val="21"/>
                <w:szCs w:val="21"/>
              </w:rPr>
            </w:pPr>
            <w:r w:rsidRPr="00D03C1B">
              <w:rPr>
                <w:color w:val="000000"/>
                <w:sz w:val="21"/>
                <w:szCs w:val="21"/>
              </w:rPr>
              <w:t xml:space="preserve">The increased compulsory retirement age, and removing the term cap for the Associate Judge position, will help to retain high-performing officials for a longer period of time. </w:t>
            </w:r>
          </w:p>
          <w:p w14:paraId="19381253" w14:textId="77777777" w:rsidR="00EB0495" w:rsidRPr="00D03C1B" w:rsidRDefault="00EB0495" w:rsidP="00EE75C8">
            <w:pPr>
              <w:numPr>
                <w:ilvl w:val="0"/>
                <w:numId w:val="1"/>
              </w:numPr>
              <w:spacing w:before="120" w:after="120" w:line="240" w:lineRule="auto"/>
              <w:ind w:left="213" w:hanging="213"/>
              <w:rPr>
                <w:color w:val="000000"/>
                <w:sz w:val="21"/>
                <w:szCs w:val="21"/>
              </w:rPr>
            </w:pPr>
            <w:r w:rsidRPr="00D03C1B">
              <w:rPr>
                <w:color w:val="000000"/>
                <w:sz w:val="21"/>
                <w:szCs w:val="21"/>
              </w:rPr>
              <w:t xml:space="preserve">This will lead to increased productivity, as less time overall will be taken up by recent appointees who are still gaining corporate knowledge and building professional experience in their new roles. </w:t>
            </w:r>
          </w:p>
          <w:p w14:paraId="19381254" w14:textId="77777777" w:rsidR="00EB0495" w:rsidRPr="00D03C1B" w:rsidRDefault="00EB0495" w:rsidP="00EE75C8">
            <w:pPr>
              <w:numPr>
                <w:ilvl w:val="0"/>
                <w:numId w:val="1"/>
              </w:numPr>
              <w:spacing w:before="120" w:after="120" w:line="240" w:lineRule="auto"/>
              <w:ind w:left="213" w:hanging="213"/>
              <w:rPr>
                <w:color w:val="000000"/>
                <w:sz w:val="21"/>
                <w:szCs w:val="21"/>
              </w:rPr>
            </w:pPr>
            <w:r w:rsidRPr="00D03C1B">
              <w:rPr>
                <w:color w:val="000000"/>
                <w:sz w:val="21"/>
                <w:szCs w:val="21"/>
              </w:rPr>
              <w:t>Providing increased clarity about the governance arrangements for the principal registrar position will enable government to more efficiently resolve any future employment issues in relation to that statutory office.</w:t>
            </w:r>
          </w:p>
        </w:tc>
      </w:tr>
    </w:tbl>
    <w:p w14:paraId="19381256" w14:textId="77777777" w:rsidR="00EB0495" w:rsidRPr="00D03C1B" w:rsidRDefault="00EB0495" w:rsidP="00EB0495">
      <w:pPr>
        <w:spacing w:before="120" w:after="0"/>
        <w:jc w:val="both"/>
        <w:rPr>
          <w:b/>
          <w:bCs/>
          <w:color w:val="000000"/>
          <w:sz w:val="21"/>
          <w:szCs w:val="21"/>
        </w:rPr>
      </w:pPr>
      <w:r w:rsidRPr="00D03C1B">
        <w:rPr>
          <w:b/>
          <w:bCs/>
          <w:color w:val="000000"/>
          <w:sz w:val="21"/>
          <w:szCs w:val="21"/>
        </w:rPr>
        <w:t>Environmental</w:t>
      </w:r>
    </w:p>
    <w:p w14:paraId="19381257" w14:textId="77777777" w:rsidR="00EB0495" w:rsidRPr="00D03C1B" w:rsidRDefault="00EB0495" w:rsidP="00EB0495">
      <w:pPr>
        <w:spacing w:before="120" w:after="0"/>
        <w:jc w:val="both"/>
        <w:rPr>
          <w:bCs/>
          <w:sz w:val="21"/>
          <w:szCs w:val="21"/>
        </w:rPr>
      </w:pPr>
      <w:r w:rsidRPr="00D03C1B">
        <w:rPr>
          <w:bCs/>
          <w:sz w:val="21"/>
          <w:szCs w:val="21"/>
        </w:rPr>
        <w:t>Nil Impact</w:t>
      </w:r>
    </w:p>
    <w:p w14:paraId="19381258" w14:textId="77777777" w:rsidR="009E72D8" w:rsidRDefault="009E72D8"/>
    <w:sectPr w:rsidR="009E7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B2643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95"/>
    <w:rsid w:val="009E72D8"/>
    <w:rsid w:val="00D646AE"/>
    <w:rsid w:val="00EB0495"/>
    <w:rsid w:val="00EE75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123F"/>
  <w15:chartTrackingRefBased/>
  <w15:docId w15:val="{9DBB2174-9BA7-4CD2-B29F-FE01C42D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2A3F1-08B3-4598-8537-B34D530FEFBD}">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66CEF28-51A2-47C9-B85A-11996B9101B1}">
  <ds:schemaRefs>
    <ds:schemaRef ds:uri="http://schemas.microsoft.com/sharepoint/v3/contenttype/forms"/>
  </ds:schemaRefs>
</ds:datastoreItem>
</file>

<file path=customXml/itemProps3.xml><?xml version="1.0" encoding="utf-8"?>
<ds:datastoreItem xmlns:ds="http://schemas.openxmlformats.org/officeDocument/2006/customXml" ds:itemID="{73817C17-7B7E-4DF8-AD4D-8DB0CA18C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Tenzin, Yangkyi</cp:lastModifiedBy>
  <cp:revision>2</cp:revision>
  <dcterms:created xsi:type="dcterms:W3CDTF">2018-08-29T05:58:00Z</dcterms:created>
  <dcterms:modified xsi:type="dcterms:W3CDTF">2018-08-29T05:58:00Z</dcterms:modified>
</cp:coreProperties>
</file>