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F41" w:rsidRPr="008A05CF" w:rsidRDefault="00B85F41" w:rsidP="00B85F41">
      <w:pPr>
        <w:spacing w:after="120"/>
        <w:jc w:val="both"/>
        <w:rPr>
          <w:rFonts w:ascii="Calibri" w:hAnsi="Calibri"/>
          <w:b/>
          <w:bCs/>
        </w:rPr>
      </w:pPr>
      <w:r w:rsidRPr="008A05CF">
        <w:rPr>
          <w:rFonts w:ascii="Calibri" w:hAnsi="Calibri"/>
          <w:b/>
          <w:bCs/>
        </w:rPr>
        <w:t xml:space="preserve">18/430:  </w:t>
      </w:r>
      <w:r w:rsidRPr="008A05CF">
        <w:rPr>
          <w:rFonts w:ascii="Calibri" w:hAnsi="Calibri"/>
          <w:b/>
          <w:bCs/>
          <w:i/>
        </w:rPr>
        <w:t>Disability Services Amendment Bill 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B85F41" w:rsidRPr="00C82609" w:rsidTr="005442CD">
        <w:trPr>
          <w:jc w:val="center"/>
        </w:trPr>
        <w:tc>
          <w:tcPr>
            <w:tcW w:w="9105" w:type="dxa"/>
            <w:shd w:val="clear" w:color="auto" w:fill="auto"/>
          </w:tcPr>
          <w:p w:rsidR="00B85F41" w:rsidRPr="008A05CF" w:rsidRDefault="00B85F41" w:rsidP="005442CD">
            <w:pPr>
              <w:spacing w:before="60" w:after="0"/>
              <w:jc w:val="both"/>
              <w:rPr>
                <w:rFonts w:ascii="Calibri" w:hAnsi="Calibri"/>
                <w:b/>
                <w:bCs/>
              </w:rPr>
            </w:pPr>
            <w:r w:rsidRPr="008A05CF">
              <w:rPr>
                <w:rFonts w:ascii="Calibri" w:hAnsi="Calibri"/>
                <w:b/>
                <w:bCs/>
              </w:rPr>
              <w:t>Summary of Impacts</w:t>
            </w:r>
          </w:p>
        </w:tc>
      </w:tr>
      <w:tr w:rsidR="00B85F41" w:rsidRPr="00C82609" w:rsidTr="005442CD">
        <w:trPr>
          <w:jc w:val="center"/>
        </w:trPr>
        <w:tc>
          <w:tcPr>
            <w:tcW w:w="9105" w:type="dxa"/>
            <w:shd w:val="clear" w:color="auto" w:fill="auto"/>
          </w:tcPr>
          <w:p w:rsidR="00B85F41" w:rsidRPr="008A05CF" w:rsidRDefault="00B85F41" w:rsidP="005442CD">
            <w:pPr>
              <w:numPr>
                <w:ilvl w:val="0"/>
                <w:numId w:val="1"/>
              </w:numPr>
              <w:spacing w:after="0" w:line="240" w:lineRule="auto"/>
              <w:ind w:left="360"/>
              <w:rPr>
                <w:rFonts w:ascii="Calibri" w:hAnsi="Calibri"/>
              </w:rPr>
            </w:pPr>
            <w:r w:rsidRPr="008A05CF">
              <w:rPr>
                <w:rFonts w:ascii="Calibri" w:hAnsi="Calibri"/>
              </w:rPr>
              <w:t xml:space="preserve">Since the transition to the </w:t>
            </w:r>
            <w:r w:rsidRPr="00460F6C">
              <w:rPr>
                <w:rFonts w:ascii="Calibri" w:hAnsi="Calibri"/>
              </w:rPr>
              <w:t>National Disability Insurance Scheme (</w:t>
            </w:r>
            <w:r w:rsidRPr="008A05CF">
              <w:rPr>
                <w:rFonts w:ascii="Calibri" w:hAnsi="Calibri"/>
              </w:rPr>
              <w:t>NDIS</w:t>
            </w:r>
            <w:r w:rsidRPr="00460F6C">
              <w:rPr>
                <w:rFonts w:ascii="Calibri" w:hAnsi="Calibri"/>
              </w:rPr>
              <w:t>)</w:t>
            </w:r>
            <w:r w:rsidRPr="008A05CF">
              <w:rPr>
                <w:rFonts w:ascii="Calibri" w:hAnsi="Calibri"/>
              </w:rPr>
              <w:t xml:space="preserve"> in the ACT, management of disability accommodation services previously funded or provided by the ACT government has moved to non-government providers. Amendments to the </w:t>
            </w:r>
            <w:r w:rsidRPr="009A1F18">
              <w:rPr>
                <w:rFonts w:ascii="Calibri" w:hAnsi="Calibri"/>
              </w:rPr>
              <w:t xml:space="preserve">Disability Services Act 1991 </w:t>
            </w:r>
            <w:r w:rsidRPr="008A05CF">
              <w:rPr>
                <w:rFonts w:ascii="Calibri" w:hAnsi="Calibri"/>
              </w:rPr>
              <w:t>(the Act) are required to enable the Official Visitor for Disability Services (OVDS) to continue to deliver on the intent of the Official Visitor scheme in the current service context. The amendments will also seek to address compliance issues raised by the OVDS in recent times about aged care facilities in the ACT where a person with disability resides</w:t>
            </w:r>
            <w:r w:rsidRPr="009A1F18">
              <w:rPr>
                <w:rFonts w:ascii="Calibri" w:hAnsi="Calibri"/>
              </w:rPr>
              <w:t>.</w:t>
            </w:r>
          </w:p>
        </w:tc>
      </w:tr>
    </w:tbl>
    <w:p w:rsidR="00B85F41" w:rsidRPr="008A05CF" w:rsidRDefault="00B85F41" w:rsidP="00B85F41">
      <w:pPr>
        <w:spacing w:after="120"/>
        <w:rPr>
          <w:rFonts w:ascii="Calibri" w:hAnsi="Calibri"/>
          <w:b/>
          <w:bCs/>
        </w:rPr>
      </w:pPr>
      <w:r w:rsidRPr="008A05CF">
        <w:rPr>
          <w:rFonts w:ascii="Calibri" w:hAnsi="Calibri"/>
          <w:i/>
        </w:rPr>
        <w:t xml:space="preserve">Key to impacts: Red – negative, </w:t>
      </w:r>
      <w:proofErr w:type="gramStart"/>
      <w:r w:rsidRPr="008A05CF">
        <w:rPr>
          <w:rFonts w:ascii="Calibri" w:hAnsi="Calibri"/>
          <w:i/>
        </w:rPr>
        <w:t>Blue</w:t>
      </w:r>
      <w:proofErr w:type="gramEnd"/>
      <w:r w:rsidRPr="008A05CF">
        <w:rPr>
          <w:rFonts w:ascii="Calibri" w:hAnsi="Calibri"/>
          <w:i/>
        </w:rPr>
        <w:t xml:space="preserve"> - neutral and Green - positive.</w:t>
      </w:r>
    </w:p>
    <w:p w:rsidR="00B85F41" w:rsidRPr="008A05CF" w:rsidRDefault="00B85F41" w:rsidP="00B85F41">
      <w:pPr>
        <w:spacing w:before="120" w:after="0"/>
        <w:rPr>
          <w:rFonts w:ascii="Calibri" w:hAnsi="Calibri"/>
          <w:b/>
          <w:bCs/>
        </w:rPr>
      </w:pPr>
      <w:r w:rsidRPr="008A05CF">
        <w:rPr>
          <w:rFonts w:ascii="Calibri" w:hAnsi="Calibri"/>
          <w:b/>
          <w:bCs/>
        </w:rPr>
        <w:t>Social</w:t>
      </w:r>
    </w:p>
    <w:tbl>
      <w:tblPr>
        <w:tblW w:w="8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67"/>
      </w:tblGrid>
      <w:tr w:rsidR="00B85F41" w:rsidRPr="00C82609" w:rsidTr="005442CD">
        <w:trPr>
          <w:jc w:val="center"/>
        </w:trPr>
        <w:tc>
          <w:tcPr>
            <w:tcW w:w="1696" w:type="dxa"/>
            <w:shd w:val="clear" w:color="auto" w:fill="92D050"/>
          </w:tcPr>
          <w:p w:rsidR="00B85F41" w:rsidRPr="009A1F18" w:rsidRDefault="00B85F41" w:rsidP="005442CD">
            <w:pPr>
              <w:numPr>
                <w:ilvl w:val="0"/>
                <w:numId w:val="1"/>
              </w:numPr>
              <w:spacing w:after="40" w:line="240" w:lineRule="auto"/>
              <w:ind w:left="360"/>
              <w:rPr>
                <w:rFonts w:ascii="Calibri" w:hAnsi="Calibri"/>
              </w:rPr>
            </w:pPr>
            <w:r w:rsidRPr="009A1F18">
              <w:rPr>
                <w:rFonts w:ascii="Calibri" w:hAnsi="Calibri"/>
              </w:rPr>
              <w:t>Justice and rights</w:t>
            </w:r>
          </w:p>
        </w:tc>
        <w:tc>
          <w:tcPr>
            <w:tcW w:w="7267" w:type="dxa"/>
          </w:tcPr>
          <w:p w:rsidR="00B85F41" w:rsidRPr="008A05CF" w:rsidRDefault="00B85F41" w:rsidP="005442CD">
            <w:pPr>
              <w:numPr>
                <w:ilvl w:val="0"/>
                <w:numId w:val="1"/>
              </w:numPr>
              <w:spacing w:after="40" w:line="240" w:lineRule="auto"/>
              <w:ind w:left="360"/>
              <w:rPr>
                <w:rFonts w:ascii="Calibri" w:hAnsi="Calibri"/>
              </w:rPr>
            </w:pPr>
            <w:r w:rsidRPr="008A05CF">
              <w:rPr>
                <w:rFonts w:ascii="Calibri" w:hAnsi="Calibri"/>
              </w:rPr>
              <w:t>The Bill will enable persons with disabilities in a visitable place under the Act to be better monitored and protected.</w:t>
            </w:r>
          </w:p>
          <w:p w:rsidR="00B85F41" w:rsidRPr="008A05CF" w:rsidRDefault="00B85F41" w:rsidP="005442CD">
            <w:pPr>
              <w:numPr>
                <w:ilvl w:val="0"/>
                <w:numId w:val="1"/>
              </w:numPr>
              <w:spacing w:after="40" w:line="240" w:lineRule="auto"/>
              <w:ind w:left="360"/>
              <w:rPr>
                <w:rFonts w:ascii="Calibri" w:hAnsi="Calibri"/>
              </w:rPr>
            </w:pPr>
            <w:r w:rsidRPr="008A05CF">
              <w:rPr>
                <w:rFonts w:ascii="Calibri" w:hAnsi="Calibri"/>
              </w:rPr>
              <w:t xml:space="preserve">Improved access and oversight by the Official Visitor will safeguard and uphold the rights of the vulnerable people in the ACT community and minimise the incidence of harm and abuse. </w:t>
            </w:r>
          </w:p>
        </w:tc>
      </w:tr>
    </w:tbl>
    <w:p w:rsidR="00B85F41" w:rsidRPr="009A1F18" w:rsidRDefault="00B85F41" w:rsidP="00B85F41">
      <w:pPr>
        <w:numPr>
          <w:ilvl w:val="0"/>
          <w:numId w:val="1"/>
        </w:numPr>
        <w:spacing w:after="40" w:line="240" w:lineRule="auto"/>
        <w:ind w:left="360"/>
        <w:rPr>
          <w:rFonts w:ascii="Calibri" w:hAnsi="Calibri"/>
        </w:rPr>
      </w:pPr>
      <w:r w:rsidRPr="009A1F18">
        <w:rPr>
          <w:rFonts w:ascii="Calibri" w:hAnsi="Calibri"/>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320"/>
      </w:tblGrid>
      <w:tr w:rsidR="00B85F41" w:rsidRPr="00C82609" w:rsidTr="005442CD">
        <w:trPr>
          <w:jc w:val="center"/>
        </w:trPr>
        <w:tc>
          <w:tcPr>
            <w:tcW w:w="1696" w:type="dxa"/>
            <w:shd w:val="clear" w:color="auto" w:fill="00B0F0"/>
          </w:tcPr>
          <w:p w:rsidR="00B85F41" w:rsidRPr="008A05CF" w:rsidRDefault="00B85F41" w:rsidP="005442CD">
            <w:pPr>
              <w:rPr>
                <w:rFonts w:ascii="Calibri" w:hAnsi="Calibri"/>
                <w:b/>
                <w:bCs/>
              </w:rPr>
            </w:pPr>
            <w:r w:rsidRPr="008A05CF">
              <w:rPr>
                <w:rFonts w:ascii="Calibri" w:hAnsi="Calibri"/>
                <w:b/>
                <w:bCs/>
              </w:rPr>
              <w:t>ACT Government Budget</w:t>
            </w:r>
          </w:p>
        </w:tc>
        <w:tc>
          <w:tcPr>
            <w:tcW w:w="7320" w:type="dxa"/>
          </w:tcPr>
          <w:p w:rsidR="00B85F41" w:rsidRPr="008A05CF" w:rsidRDefault="00B85F41" w:rsidP="005442CD">
            <w:pPr>
              <w:numPr>
                <w:ilvl w:val="0"/>
                <w:numId w:val="1"/>
              </w:numPr>
              <w:spacing w:after="40" w:line="240" w:lineRule="auto"/>
              <w:ind w:left="360"/>
              <w:rPr>
                <w:rFonts w:ascii="Calibri" w:hAnsi="Calibri"/>
              </w:rPr>
            </w:pPr>
            <w:r w:rsidRPr="008A05CF">
              <w:rPr>
                <w:rFonts w:ascii="Calibri" w:hAnsi="Calibri"/>
              </w:rPr>
              <w:t>Nil impact</w:t>
            </w:r>
          </w:p>
        </w:tc>
      </w:tr>
      <w:tr w:rsidR="00B85F41" w:rsidRPr="00C82609" w:rsidTr="005442CD">
        <w:trPr>
          <w:jc w:val="center"/>
        </w:trPr>
        <w:tc>
          <w:tcPr>
            <w:tcW w:w="1696" w:type="dxa"/>
            <w:shd w:val="clear" w:color="auto" w:fill="00B0F0"/>
          </w:tcPr>
          <w:p w:rsidR="00B85F41" w:rsidRPr="008A05CF" w:rsidRDefault="00B85F41" w:rsidP="005442CD">
            <w:pPr>
              <w:rPr>
                <w:rFonts w:ascii="Calibri" w:hAnsi="Calibri"/>
                <w:b/>
                <w:bCs/>
              </w:rPr>
            </w:pPr>
            <w:r w:rsidRPr="008A05CF">
              <w:rPr>
                <w:rFonts w:ascii="Calibri" w:hAnsi="Calibri"/>
                <w:b/>
                <w:bCs/>
              </w:rPr>
              <w:t>Productivity</w:t>
            </w:r>
          </w:p>
        </w:tc>
        <w:tc>
          <w:tcPr>
            <w:tcW w:w="7320" w:type="dxa"/>
          </w:tcPr>
          <w:p w:rsidR="00B85F41" w:rsidRPr="008A05CF" w:rsidRDefault="00B85F41" w:rsidP="005442CD">
            <w:pPr>
              <w:numPr>
                <w:ilvl w:val="0"/>
                <w:numId w:val="1"/>
              </w:numPr>
              <w:spacing w:after="40" w:line="240" w:lineRule="auto"/>
              <w:ind w:left="360"/>
              <w:rPr>
                <w:rFonts w:ascii="Calibri" w:hAnsi="Calibri"/>
              </w:rPr>
            </w:pPr>
            <w:r w:rsidRPr="008A05CF">
              <w:rPr>
                <w:rFonts w:ascii="Calibri" w:hAnsi="Calibri"/>
              </w:rPr>
              <w:t>The amendments will impose some minor regulatory burden on service providers. This will be outweighed, however, by the benefit to persons with a disability, and to the broader community, of allowing the Official Visitor to have better access to monitor and investigate the welfare of vulnerable persons in disability accommodation.</w:t>
            </w:r>
          </w:p>
        </w:tc>
      </w:tr>
      <w:tr w:rsidR="00B85F41" w:rsidRPr="00C82609" w:rsidTr="005442CD">
        <w:trPr>
          <w:jc w:val="center"/>
        </w:trPr>
        <w:tc>
          <w:tcPr>
            <w:tcW w:w="1696" w:type="dxa"/>
            <w:shd w:val="clear" w:color="auto" w:fill="00B0F0"/>
          </w:tcPr>
          <w:p w:rsidR="00B85F41" w:rsidRPr="008A05CF" w:rsidRDefault="00B85F41" w:rsidP="005442CD">
            <w:pPr>
              <w:rPr>
                <w:rFonts w:ascii="Calibri" w:hAnsi="Calibri"/>
              </w:rPr>
            </w:pPr>
            <w:r w:rsidRPr="008A05CF">
              <w:rPr>
                <w:rFonts w:ascii="Calibri" w:hAnsi="Calibri"/>
                <w:b/>
                <w:bCs/>
              </w:rPr>
              <w:t>Investment</w:t>
            </w:r>
          </w:p>
        </w:tc>
        <w:tc>
          <w:tcPr>
            <w:tcW w:w="7320" w:type="dxa"/>
          </w:tcPr>
          <w:p w:rsidR="00B85F41" w:rsidRPr="008A05CF" w:rsidRDefault="00B85F41" w:rsidP="005442CD">
            <w:pPr>
              <w:numPr>
                <w:ilvl w:val="0"/>
                <w:numId w:val="1"/>
              </w:numPr>
              <w:spacing w:after="40" w:line="240" w:lineRule="auto"/>
              <w:ind w:left="360"/>
              <w:rPr>
                <w:rFonts w:ascii="Calibri" w:hAnsi="Calibri"/>
              </w:rPr>
            </w:pPr>
            <w:r w:rsidRPr="008A05CF">
              <w:rPr>
                <w:rFonts w:ascii="Calibri" w:hAnsi="Calibri"/>
              </w:rPr>
              <w:t>Nil impact</w:t>
            </w:r>
          </w:p>
        </w:tc>
      </w:tr>
      <w:tr w:rsidR="00B85F41" w:rsidRPr="00C82609" w:rsidTr="005442CD">
        <w:trPr>
          <w:jc w:val="center"/>
        </w:trPr>
        <w:tc>
          <w:tcPr>
            <w:tcW w:w="1696" w:type="dxa"/>
            <w:shd w:val="clear" w:color="auto" w:fill="00B0F0"/>
          </w:tcPr>
          <w:p w:rsidR="00B85F41" w:rsidRPr="008A05CF" w:rsidRDefault="00B85F41" w:rsidP="005442CD">
            <w:pPr>
              <w:rPr>
                <w:rFonts w:ascii="Calibri" w:hAnsi="Calibri"/>
                <w:b/>
                <w:bCs/>
              </w:rPr>
            </w:pPr>
            <w:r w:rsidRPr="008A05CF">
              <w:rPr>
                <w:rFonts w:ascii="Calibri" w:hAnsi="Calibri"/>
                <w:b/>
                <w:bCs/>
              </w:rPr>
              <w:t>Competition</w:t>
            </w:r>
          </w:p>
        </w:tc>
        <w:tc>
          <w:tcPr>
            <w:tcW w:w="7320" w:type="dxa"/>
          </w:tcPr>
          <w:p w:rsidR="00B85F41" w:rsidRPr="008A05CF" w:rsidRDefault="00B85F41" w:rsidP="005442CD">
            <w:pPr>
              <w:numPr>
                <w:ilvl w:val="0"/>
                <w:numId w:val="1"/>
              </w:numPr>
              <w:spacing w:after="40" w:line="240" w:lineRule="auto"/>
              <w:ind w:left="360"/>
              <w:rPr>
                <w:rFonts w:ascii="Calibri" w:hAnsi="Calibri"/>
              </w:rPr>
            </w:pPr>
            <w:r w:rsidRPr="008A05CF">
              <w:rPr>
                <w:rFonts w:ascii="Calibri" w:hAnsi="Calibri"/>
              </w:rPr>
              <w:t xml:space="preserve">The proposed Bill is expected to have no impact on the competitiveness of the ACT Economy. These amendments will impose only minor added regulatory burden to service providers. </w:t>
            </w:r>
          </w:p>
        </w:tc>
      </w:tr>
    </w:tbl>
    <w:p w:rsidR="00B85F41" w:rsidRPr="008A05CF" w:rsidRDefault="00B85F41" w:rsidP="00B85F41">
      <w:pPr>
        <w:spacing w:before="120" w:after="0"/>
        <w:jc w:val="both"/>
        <w:rPr>
          <w:rFonts w:ascii="Calibri" w:hAnsi="Calibri"/>
          <w:b/>
          <w:bCs/>
        </w:rPr>
      </w:pPr>
      <w:r w:rsidRPr="008A05CF">
        <w:rPr>
          <w:rFonts w:ascii="Calibri" w:hAnsi="Calibri"/>
          <w:b/>
          <w:bCs/>
        </w:rPr>
        <w:t>Environmental</w:t>
      </w:r>
    </w:p>
    <w:p w:rsidR="00B85F41" w:rsidRPr="008A05CF" w:rsidRDefault="00B85F41" w:rsidP="00B85F41">
      <w:pPr>
        <w:pStyle w:val="ListParagraph"/>
        <w:spacing w:after="0" w:line="240" w:lineRule="auto"/>
        <w:ind w:left="0"/>
        <w:contextualSpacing w:val="0"/>
        <w:rPr>
          <w:rFonts w:ascii="Calibri" w:hAnsi="Calibri"/>
        </w:rPr>
      </w:pPr>
      <w:r w:rsidRPr="008A05CF">
        <w:rPr>
          <w:rFonts w:ascii="Calibri" w:hAnsi="Calibri"/>
        </w:rPr>
        <w:t>Nil impact</w:t>
      </w:r>
    </w:p>
    <w:p w:rsidR="00AC016A" w:rsidRDefault="00AC016A">
      <w:bookmarkStart w:id="0" w:name="_GoBack"/>
      <w:bookmarkEnd w:id="0"/>
    </w:p>
    <w:sectPr w:rsidR="00AC0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41"/>
    <w:rsid w:val="00AC016A"/>
    <w:rsid w:val="00B85F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2BD66-6005-4FFA-899D-C0CD20BC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F41"/>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1st level - Bullet List Paragraph,Lettre d'introduction,Paragrafo elenco,Colorful List - Accent 11,Paragraph,Body Text Numbered,Recommendation,List Paragraph11,Heading 2.,List Paragraph111,L,列出段,?"/>
    <w:basedOn w:val="Normal"/>
    <w:link w:val="ListParagraphChar"/>
    <w:uiPriority w:val="34"/>
    <w:qFormat/>
    <w:rsid w:val="00B85F41"/>
    <w:pPr>
      <w:ind w:left="720"/>
      <w:contextualSpacing/>
    </w:pPr>
  </w:style>
  <w:style w:type="character" w:customStyle="1" w:styleId="ListParagraphChar">
    <w:name w:val="List Paragraph Char"/>
    <w:aliases w:val="Normal bullet 2 Char,Bullet list Char,List Paragraph1 Char,1st level - Bullet List Paragraph Char,Lettre d'introduction Char,Paragrafo elenco Char,Colorful List - Accent 11 Char,Paragraph Char,Body Text Numbered Char,Heading 2. Char"/>
    <w:link w:val="ListParagraph"/>
    <w:uiPriority w:val="34"/>
    <w:rsid w:val="00B85F41"/>
    <w:rPr>
      <w:rFonts w:ascii="Arial" w:eastAsia="Times New Roman" w:hAnsi="Arial" w:cs="Arial"/>
      <w:sz w:val="21"/>
      <w:szCs w:val="2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1CA4FB-26BD-479E-951B-1514DDA4CF92}"/>
</file>

<file path=customXml/itemProps2.xml><?xml version="1.0" encoding="utf-8"?>
<ds:datastoreItem xmlns:ds="http://schemas.openxmlformats.org/officeDocument/2006/customXml" ds:itemID="{81EE1436-794A-453B-AC54-1DA4BE06EAC4}"/>
</file>

<file path=customXml/itemProps3.xml><?xml version="1.0" encoding="utf-8"?>
<ds:datastoreItem xmlns:ds="http://schemas.openxmlformats.org/officeDocument/2006/customXml" ds:itemID="{B6F23324-421D-46A0-BC6B-B3D3CA1821AF}"/>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Dorena</dc:creator>
  <cp:keywords/>
  <dc:description/>
  <cp:lastModifiedBy>Morris, Dorena</cp:lastModifiedBy>
  <cp:revision>1</cp:revision>
  <dcterms:created xsi:type="dcterms:W3CDTF">2018-11-21T23:21:00Z</dcterms:created>
  <dcterms:modified xsi:type="dcterms:W3CDTF">2018-11-21T23:21:00Z</dcterms:modified>
</cp:coreProperties>
</file>