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8BB4" w14:textId="7E81502D" w:rsidR="00A23C4E" w:rsidRPr="00F77EE7" w:rsidRDefault="00F77EE7" w:rsidP="00785A0C">
      <w:pPr>
        <w:pStyle w:val="Title"/>
      </w:pPr>
      <w:r w:rsidRPr="00F77EE7">
        <w:t>Senior Executive Service Handbook</w:t>
      </w:r>
    </w:p>
    <w:p w14:paraId="2C4DC43D" w14:textId="77777777" w:rsidR="00B863D6" w:rsidRDefault="00B863D6" w:rsidP="00B863D6">
      <w:pPr>
        <w:rPr>
          <w:lang w:val="en-GB" w:eastAsia="en-AU"/>
        </w:rPr>
      </w:pPr>
    </w:p>
    <w:p w14:paraId="231F6B95" w14:textId="77777777" w:rsidR="00B863D6" w:rsidRPr="00B863D6" w:rsidRDefault="00B863D6" w:rsidP="00B863D6">
      <w:pPr>
        <w:rPr>
          <w:lang w:val="en-GB" w:eastAsia="en-AU"/>
        </w:rPr>
      </w:pPr>
    </w:p>
    <w:p w14:paraId="0237950E" w14:textId="77777777" w:rsidR="00B84320" w:rsidRDefault="00B84320" w:rsidP="00B84320">
      <w:pPr>
        <w:rPr>
          <w:lang w:val="en-GB" w:eastAsia="en-AU"/>
        </w:rPr>
      </w:pPr>
    </w:p>
    <w:p w14:paraId="104AA333" w14:textId="77777777" w:rsidR="00B84320" w:rsidRPr="00B863D6" w:rsidRDefault="00B84320" w:rsidP="00B863D6"/>
    <w:p w14:paraId="7C461EEF" w14:textId="77777777" w:rsidR="00B84320" w:rsidRDefault="00B84320" w:rsidP="00B84320">
      <w:pPr>
        <w:rPr>
          <w:lang w:val="en-GB" w:eastAsia="en-AU"/>
        </w:rPr>
      </w:pPr>
    </w:p>
    <w:p w14:paraId="7051A3C3" w14:textId="77777777" w:rsidR="00B84320" w:rsidRDefault="00B84320" w:rsidP="00B84320">
      <w:pPr>
        <w:rPr>
          <w:lang w:val="en-GB" w:eastAsia="en-AU"/>
        </w:rPr>
      </w:pPr>
    </w:p>
    <w:p w14:paraId="4C713407" w14:textId="77777777" w:rsidR="00B84320" w:rsidRDefault="00B84320" w:rsidP="00B84320">
      <w:pPr>
        <w:rPr>
          <w:lang w:val="en-GB" w:eastAsia="en-AU"/>
        </w:rPr>
      </w:pPr>
    </w:p>
    <w:p w14:paraId="5835F8E8" w14:textId="77777777" w:rsidR="009D6BF6" w:rsidRDefault="009D6BF6" w:rsidP="00B84320">
      <w:pPr>
        <w:rPr>
          <w:lang w:val="en-GB" w:eastAsia="en-AU"/>
        </w:rPr>
      </w:pPr>
    </w:p>
    <w:p w14:paraId="3015ABC1" w14:textId="77777777" w:rsidR="009D6BF6" w:rsidRDefault="009D6BF6" w:rsidP="00B84320">
      <w:pPr>
        <w:rPr>
          <w:lang w:val="en-GB" w:eastAsia="en-AU"/>
        </w:rPr>
      </w:pPr>
    </w:p>
    <w:p w14:paraId="7E324099" w14:textId="77777777" w:rsidR="009D6BF6" w:rsidRDefault="009D6BF6" w:rsidP="00B84320">
      <w:pPr>
        <w:rPr>
          <w:lang w:val="en-GB" w:eastAsia="en-AU"/>
        </w:rPr>
      </w:pPr>
    </w:p>
    <w:p w14:paraId="59ADA47D" w14:textId="77777777" w:rsidR="009D6BF6" w:rsidRDefault="009D6BF6" w:rsidP="00B84320">
      <w:pPr>
        <w:rPr>
          <w:lang w:val="en-GB" w:eastAsia="en-AU"/>
        </w:rPr>
      </w:pPr>
    </w:p>
    <w:p w14:paraId="1E565F92" w14:textId="54861BD3" w:rsidR="009D6BF6" w:rsidRDefault="009D6BF6" w:rsidP="00B84320">
      <w:pPr>
        <w:rPr>
          <w:lang w:val="en-GB" w:eastAsia="en-AU"/>
        </w:rPr>
      </w:pPr>
    </w:p>
    <w:p w14:paraId="629D8E44" w14:textId="77777777" w:rsidR="00B84320" w:rsidRDefault="00B84320" w:rsidP="00B84320">
      <w:pPr>
        <w:rPr>
          <w:lang w:val="en-GB" w:eastAsia="en-AU"/>
        </w:rPr>
      </w:pPr>
    </w:p>
    <w:p w14:paraId="7E099AFB" w14:textId="0A45709B" w:rsidR="00B84320" w:rsidRDefault="00B84320" w:rsidP="00B84320">
      <w:pPr>
        <w:rPr>
          <w:lang w:val="en-GB" w:eastAsia="en-AU"/>
        </w:rPr>
      </w:pPr>
    </w:p>
    <w:p w14:paraId="70A9EA7D" w14:textId="470A617A" w:rsidR="00B84320" w:rsidRDefault="00B84320" w:rsidP="00B84320">
      <w:pPr>
        <w:rPr>
          <w:lang w:val="en-GB" w:eastAsia="en-AU"/>
        </w:rPr>
      </w:pPr>
    </w:p>
    <w:p w14:paraId="251A53FB" w14:textId="76E58661" w:rsidR="00B84320" w:rsidRPr="00B84320" w:rsidRDefault="00B84320" w:rsidP="00B84320">
      <w:pPr>
        <w:rPr>
          <w:lang w:val="en-GB" w:eastAsia="en-AU"/>
        </w:rPr>
        <w:sectPr w:rsidR="00B84320" w:rsidRPr="00B84320" w:rsidSect="0045223D">
          <w:footerReference w:type="even" r:id="rId11"/>
          <w:footerReference w:type="default" r:id="rId12"/>
          <w:headerReference w:type="first" r:id="rId13"/>
          <w:footerReference w:type="first" r:id="rId14"/>
          <w:pgSz w:w="11906" w:h="16838"/>
          <w:pgMar w:top="1440" w:right="1961" w:bottom="1440" w:left="1440" w:header="708" w:footer="708" w:gutter="0"/>
          <w:cols w:space="708"/>
          <w:titlePg/>
          <w:docGrid w:linePitch="360"/>
        </w:sectPr>
      </w:pPr>
    </w:p>
    <w:p w14:paraId="0DD4CFF4" w14:textId="24FD9073" w:rsidR="00D31DBA" w:rsidRDefault="00322377" w:rsidP="00BA666E">
      <w:pPr>
        <w:rPr>
          <w:lang w:val="en-GB" w:eastAsia="en-AU"/>
        </w:rPr>
      </w:pPr>
      <w:r>
        <w:rPr>
          <w:noProof/>
          <w:lang w:val="en-GB" w:eastAsia="en-AU"/>
          <w14:ligatures w14:val="standardContextual"/>
        </w:rPr>
        <w:drawing>
          <wp:anchor distT="0" distB="0" distL="114300" distR="114300" simplePos="0" relativeHeight="251658240" behindDoc="0" locked="0" layoutInCell="1" allowOverlap="1" wp14:anchorId="6BA07B52" wp14:editId="1C012FB5">
            <wp:simplePos x="0" y="0"/>
            <wp:positionH relativeFrom="column">
              <wp:posOffset>0</wp:posOffset>
            </wp:positionH>
            <wp:positionV relativeFrom="page">
              <wp:posOffset>8851747</wp:posOffset>
            </wp:positionV>
            <wp:extent cx="1574800" cy="801370"/>
            <wp:effectExtent l="0" t="0" r="0" b="0"/>
            <wp:wrapNone/>
            <wp:docPr id="83144833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8331"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4800" cy="801370"/>
                    </a:xfrm>
                    <a:prstGeom prst="rect">
                      <a:avLst/>
                    </a:prstGeom>
                  </pic:spPr>
                </pic:pic>
              </a:graphicData>
            </a:graphic>
            <wp14:sizeRelH relativeFrom="page">
              <wp14:pctWidth>0</wp14:pctWidth>
            </wp14:sizeRelH>
            <wp14:sizeRelV relativeFrom="page">
              <wp14:pctHeight>0</wp14:pctHeight>
            </wp14:sizeRelV>
          </wp:anchor>
        </w:drawing>
      </w:r>
      <w:r w:rsidR="00D31DBA">
        <w:rPr>
          <w:lang w:val="en-GB" w:eastAsia="en-AU"/>
        </w:rPr>
        <w:br w:type="page"/>
      </w:r>
    </w:p>
    <w:p w14:paraId="594837F1" w14:textId="77777777" w:rsidR="0045223D" w:rsidRDefault="0045223D" w:rsidP="00BA666E"/>
    <w:p w14:paraId="332B8005" w14:textId="77777777" w:rsidR="0045223D" w:rsidRDefault="0045223D" w:rsidP="00BA666E"/>
    <w:p w14:paraId="3C6EAAFB" w14:textId="77777777" w:rsidR="0045223D" w:rsidRDefault="0045223D" w:rsidP="00BA666E"/>
    <w:p w14:paraId="784F9761" w14:textId="77777777" w:rsidR="0045223D" w:rsidRDefault="0045223D" w:rsidP="00BA666E"/>
    <w:p w14:paraId="6D530A73" w14:textId="77777777" w:rsidR="0045223D" w:rsidRDefault="0045223D" w:rsidP="00BA666E"/>
    <w:p w14:paraId="0A14F3EC" w14:textId="77777777" w:rsidR="0045223D" w:rsidRDefault="0045223D" w:rsidP="00BA666E"/>
    <w:p w14:paraId="4EA2AD80" w14:textId="77777777" w:rsidR="0045223D" w:rsidRDefault="0045223D" w:rsidP="00BA666E"/>
    <w:p w14:paraId="248D13AE" w14:textId="77777777" w:rsidR="0045223D" w:rsidRDefault="0045223D" w:rsidP="00BA666E"/>
    <w:p w14:paraId="43CD43AF" w14:textId="77777777" w:rsidR="0045223D" w:rsidRDefault="0045223D" w:rsidP="00BA666E"/>
    <w:p w14:paraId="06C46D13" w14:textId="77777777" w:rsidR="0045223D" w:rsidRPr="00D31DBA" w:rsidRDefault="0045223D" w:rsidP="00BA666E"/>
    <w:tbl>
      <w:tblPr>
        <w:tblStyle w:val="Breakoutbox"/>
        <w:tblW w:w="8415" w:type="dxa"/>
        <w:tblLook w:val="04A0" w:firstRow="1" w:lastRow="0" w:firstColumn="1" w:lastColumn="0" w:noHBand="0" w:noVBand="1"/>
      </w:tblPr>
      <w:tblGrid>
        <w:gridCol w:w="8415"/>
      </w:tblGrid>
      <w:tr w:rsidR="001E7A46" w14:paraId="69DB2BE5" w14:textId="77777777" w:rsidTr="201CA269">
        <w:tc>
          <w:tcPr>
            <w:tcW w:w="8415" w:type="dxa"/>
          </w:tcPr>
          <w:p w14:paraId="5E434817" w14:textId="6E64FA8A" w:rsidR="001E7A46" w:rsidRPr="00EC1B3C" w:rsidRDefault="001E7A46" w:rsidP="00D579D3">
            <w:pPr>
              <w:rPr>
                <w:rFonts w:ascii="Montserrat SemiBold" w:hAnsi="Montserrat SemiBold"/>
                <w:b/>
                <w:color w:val="404040" w:themeColor="text1" w:themeTint="BF"/>
                <w:sz w:val="28"/>
                <w:szCs w:val="28"/>
              </w:rPr>
            </w:pPr>
            <w:r w:rsidRPr="00EC1B3C">
              <w:rPr>
                <w:rFonts w:ascii="Montserrat SemiBold" w:hAnsi="Montserrat SemiBold"/>
                <w:b/>
                <w:color w:val="404040" w:themeColor="text1" w:themeTint="BF"/>
                <w:sz w:val="28"/>
                <w:szCs w:val="28"/>
              </w:rPr>
              <w:t>Acknowledgement of</w:t>
            </w:r>
            <w:r w:rsidR="00A720D7" w:rsidRPr="00EC1B3C">
              <w:rPr>
                <w:rFonts w:ascii="Montserrat SemiBold" w:hAnsi="Montserrat SemiBold"/>
                <w:b/>
                <w:color w:val="404040" w:themeColor="text1" w:themeTint="BF"/>
                <w:sz w:val="28"/>
                <w:szCs w:val="28"/>
              </w:rPr>
              <w:t> </w:t>
            </w:r>
            <w:r w:rsidRPr="00EC1B3C">
              <w:rPr>
                <w:rFonts w:ascii="Montserrat SemiBold" w:hAnsi="Montserrat SemiBold"/>
                <w:b/>
                <w:color w:val="404040" w:themeColor="text1" w:themeTint="BF"/>
                <w:sz w:val="28"/>
                <w:szCs w:val="28"/>
              </w:rPr>
              <w:t>Country</w:t>
            </w:r>
          </w:p>
          <w:p w14:paraId="56317671" w14:textId="58ADC0FC" w:rsidR="001E7A46" w:rsidRPr="00472915" w:rsidRDefault="001E7A46" w:rsidP="00BA666E">
            <w:pPr>
              <w:rPr>
                <w:rFonts w:eastAsiaTheme="majorEastAsia"/>
                <w:lang w:val="en-GB" w:eastAsia="en-AU"/>
              </w:rPr>
            </w:pPr>
            <w:r w:rsidRPr="00A231F3">
              <w:rPr>
                <w:rFonts w:eastAsiaTheme="majorEastAsia"/>
                <w:lang w:val="en-GB" w:eastAsia="en-AU"/>
              </w:rPr>
              <w:t xml:space="preserve">The </w:t>
            </w:r>
            <w:r w:rsidR="00F77EE7" w:rsidRPr="00A231F3">
              <w:rPr>
                <w:rFonts w:eastAsiaTheme="majorEastAsia"/>
                <w:lang w:val="en-GB" w:eastAsia="en-AU"/>
              </w:rPr>
              <w:t>Chief Minister, Treasury and Economic Development</w:t>
            </w:r>
            <w:r w:rsidRPr="00A231F3">
              <w:rPr>
                <w:rFonts w:eastAsiaTheme="majorEastAsia"/>
                <w:lang w:val="en-GB" w:eastAsia="en-AU"/>
              </w:rPr>
              <w:t xml:space="preserve"> Directorate acknowledges the Ngunnawal people as traditional custodians of the ACT and recognise</w:t>
            </w:r>
            <w:r w:rsidRPr="00472915">
              <w:rPr>
                <w:rFonts w:eastAsiaTheme="majorEastAsia"/>
                <w:lang w:val="en-GB" w:eastAsia="en-AU"/>
              </w:rPr>
              <w:t xml:space="preserve"> any other people or families with connection to the lands of the ACT and region.</w:t>
            </w:r>
          </w:p>
          <w:p w14:paraId="4C295CD5" w14:textId="00E30AB4" w:rsidR="001E7A46" w:rsidRPr="001E7A46" w:rsidRDefault="001E7A46" w:rsidP="00BA666E">
            <w:pPr>
              <w:rPr>
                <w:rFonts w:eastAsiaTheme="majorEastAsia"/>
                <w:lang w:val="en-GB" w:eastAsia="en-AU"/>
              </w:rPr>
            </w:pPr>
            <w:r w:rsidRPr="00472915">
              <w:rPr>
                <w:rFonts w:eastAsiaTheme="majorEastAsia"/>
                <w:lang w:val="en-GB" w:eastAsia="en-AU"/>
              </w:rPr>
              <w:t>We respect the Aboriginal and Torres Strait Islander people, particularly our Aboriginal and Torres Strait Islander staff, and their continuing culture and contribution they make to the Canberra region and the life of our</w:t>
            </w:r>
            <w:r w:rsidR="0085272F">
              <w:rPr>
                <w:rFonts w:eastAsiaTheme="majorEastAsia"/>
                <w:lang w:val="en-GB" w:eastAsia="en-AU"/>
              </w:rPr>
              <w:t> </w:t>
            </w:r>
            <w:r w:rsidRPr="00472915">
              <w:rPr>
                <w:rFonts w:eastAsiaTheme="majorEastAsia"/>
                <w:lang w:val="en-GB" w:eastAsia="en-AU"/>
              </w:rPr>
              <w:t xml:space="preserve">city. </w:t>
            </w:r>
          </w:p>
        </w:tc>
      </w:tr>
    </w:tbl>
    <w:p w14:paraId="1A77F94E" w14:textId="77777777" w:rsidR="00A720D7" w:rsidRDefault="00A720D7" w:rsidP="00BA666E"/>
    <w:p w14:paraId="32C6DB0D" w14:textId="3F52B114" w:rsidR="001D1A8A" w:rsidRDefault="001D1A8A" w:rsidP="00BA666E">
      <w:r>
        <w:t xml:space="preserve">© Australian Capital Territory, </w:t>
      </w:r>
      <w:r w:rsidRPr="00A231F3">
        <w:t>Canberra 20</w:t>
      </w:r>
      <w:r w:rsidR="00F77EE7" w:rsidRPr="00A231F3">
        <w:t>26</w:t>
      </w:r>
    </w:p>
    <w:p w14:paraId="30720FAD" w14:textId="42D2580E" w:rsidR="00A720D7" w:rsidRDefault="001D1A8A" w:rsidP="00BA666E">
      <w:r>
        <w:t>Material in this publication may be reproduced provided due acknowledgement is made.</w:t>
      </w:r>
    </w:p>
    <w:p w14:paraId="24315CF5" w14:textId="419DCB33" w:rsidR="001D1A8A" w:rsidRDefault="001D1A8A" w:rsidP="00BA666E">
      <w:r>
        <w:t xml:space="preserve">Produced by the </w:t>
      </w:r>
      <w:r w:rsidR="00F77EE7">
        <w:t>Chief Minister, Treasury and Economic Development Directorate</w:t>
      </w:r>
      <w:r>
        <w:t xml:space="preserve">. Enquiries about this publication should be directed to the </w:t>
      </w:r>
      <w:r w:rsidR="00F77EE7">
        <w:t>Chief Minister, Treasury and Economic Development Directorate.</w:t>
      </w:r>
    </w:p>
    <w:p w14:paraId="30589199" w14:textId="59043A42" w:rsidR="001E7A46" w:rsidRDefault="001D1A8A" w:rsidP="00BA666E">
      <w:r>
        <w:t>GPO Box 158, Canberra City 2601</w:t>
      </w:r>
      <w:r>
        <w:br/>
      </w:r>
      <w:r w:rsidRPr="001D1A8A">
        <w:rPr>
          <w:b/>
        </w:rPr>
        <w:t>act.gov.au</w:t>
      </w:r>
      <w:r>
        <w:rPr>
          <w:b/>
        </w:rPr>
        <w:br/>
      </w:r>
      <w:r>
        <w:t>Telephone: Access Canberra – 13</w:t>
      </w:r>
      <w:r w:rsidR="00A720D7">
        <w:t> </w:t>
      </w:r>
      <w:r>
        <w:t>22</w:t>
      </w:r>
      <w:r w:rsidR="00A720D7">
        <w:t> </w:t>
      </w:r>
      <w:r>
        <w:t>81</w:t>
      </w:r>
    </w:p>
    <w:p w14:paraId="0BDE566D" w14:textId="1AE1F8CC" w:rsidR="00B000A2" w:rsidRPr="00472915" w:rsidRDefault="00B000A2" w:rsidP="00BA666E">
      <w:pPr>
        <w:rPr>
          <w:rFonts w:eastAsiaTheme="majorEastAsia"/>
          <w:lang w:val="en-GB" w:eastAsia="en-AU"/>
        </w:rPr>
      </w:pPr>
      <w:r w:rsidRPr="00472915">
        <w:rPr>
          <w:rFonts w:eastAsiaTheme="majorEastAsia"/>
          <w:lang w:val="en-GB" w:eastAsia="en-AU"/>
        </w:rPr>
        <w:t>If you are deaf, or have a hearing or speech impairment, and need the telephone typewriter (TTY) service, please phone 13</w:t>
      </w:r>
      <w:r w:rsidR="00A720D7">
        <w:rPr>
          <w:rFonts w:eastAsiaTheme="majorEastAsia"/>
          <w:lang w:val="en-GB" w:eastAsia="en-AU"/>
        </w:rPr>
        <w:t> </w:t>
      </w:r>
      <w:r w:rsidRPr="00472915">
        <w:rPr>
          <w:rFonts w:eastAsiaTheme="majorEastAsia"/>
          <w:lang w:val="en-GB" w:eastAsia="en-AU"/>
        </w:rPr>
        <w:t>36</w:t>
      </w:r>
      <w:r w:rsidR="00A720D7">
        <w:rPr>
          <w:rFonts w:eastAsiaTheme="majorEastAsia"/>
          <w:lang w:val="en-GB" w:eastAsia="en-AU"/>
        </w:rPr>
        <w:t> </w:t>
      </w:r>
      <w:r w:rsidRPr="00472915">
        <w:rPr>
          <w:rFonts w:eastAsiaTheme="majorEastAsia"/>
          <w:lang w:val="en-GB" w:eastAsia="en-AU"/>
        </w:rPr>
        <w:t>77 and ask for 13</w:t>
      </w:r>
      <w:r w:rsidR="00163361">
        <w:rPr>
          <w:rFonts w:eastAsiaTheme="majorEastAsia"/>
          <w:lang w:val="en-GB" w:eastAsia="en-AU"/>
        </w:rPr>
        <w:t> </w:t>
      </w:r>
      <w:r w:rsidRPr="00472915">
        <w:rPr>
          <w:rFonts w:eastAsiaTheme="majorEastAsia"/>
          <w:lang w:val="en-GB" w:eastAsia="en-AU"/>
        </w:rPr>
        <w:t>22</w:t>
      </w:r>
      <w:r w:rsidR="00163361">
        <w:rPr>
          <w:rFonts w:eastAsiaTheme="majorEastAsia"/>
          <w:lang w:val="en-GB" w:eastAsia="en-AU"/>
        </w:rPr>
        <w:t> </w:t>
      </w:r>
      <w:r w:rsidRPr="00472915">
        <w:rPr>
          <w:rFonts w:eastAsiaTheme="majorEastAsia"/>
          <w:lang w:val="en-GB" w:eastAsia="en-AU"/>
        </w:rPr>
        <w:t>81.</w:t>
      </w:r>
    </w:p>
    <w:p w14:paraId="6BA651B6" w14:textId="1468B2C8" w:rsidR="00B000A2" w:rsidRPr="00472915" w:rsidRDefault="00B000A2" w:rsidP="00BA666E">
      <w:pPr>
        <w:rPr>
          <w:rFonts w:eastAsiaTheme="majorEastAsia"/>
          <w:lang w:val="en-GB" w:eastAsia="en-AU"/>
        </w:rPr>
      </w:pPr>
      <w:r w:rsidRPr="00472915">
        <w:rPr>
          <w:rFonts w:eastAsiaTheme="majorEastAsia"/>
          <w:lang w:val="en-GB" w:eastAsia="en-AU"/>
        </w:rPr>
        <w:t>For speak and listen users, please phone 1300</w:t>
      </w:r>
      <w:r w:rsidR="00A720D7">
        <w:rPr>
          <w:rFonts w:eastAsiaTheme="majorEastAsia"/>
          <w:lang w:val="en-GB" w:eastAsia="en-AU"/>
        </w:rPr>
        <w:t> </w:t>
      </w:r>
      <w:r w:rsidRPr="00472915">
        <w:rPr>
          <w:rFonts w:eastAsiaTheme="majorEastAsia"/>
          <w:lang w:val="en-GB" w:eastAsia="en-AU"/>
        </w:rPr>
        <w:t>555</w:t>
      </w:r>
      <w:r w:rsidR="00A720D7">
        <w:rPr>
          <w:rFonts w:eastAsiaTheme="majorEastAsia"/>
          <w:lang w:val="en-GB" w:eastAsia="en-AU"/>
        </w:rPr>
        <w:t> </w:t>
      </w:r>
      <w:r w:rsidRPr="00472915">
        <w:rPr>
          <w:rFonts w:eastAsiaTheme="majorEastAsia"/>
          <w:lang w:val="en-GB" w:eastAsia="en-AU"/>
        </w:rPr>
        <w:t>727.</w:t>
      </w:r>
    </w:p>
    <w:p w14:paraId="6699A335" w14:textId="772C6165" w:rsidR="00B000A2" w:rsidRPr="00472915" w:rsidRDefault="00B000A2" w:rsidP="00BA666E">
      <w:pPr>
        <w:rPr>
          <w:rFonts w:eastAsiaTheme="majorEastAsia"/>
          <w:lang w:val="en-GB" w:eastAsia="en-AU"/>
        </w:rPr>
      </w:pPr>
      <w:r w:rsidRPr="00472915">
        <w:rPr>
          <w:rFonts w:eastAsiaTheme="majorEastAsia"/>
          <w:lang w:val="en-GB" w:eastAsia="en-AU"/>
        </w:rPr>
        <w:t xml:space="preserve">For more information on these services, contact us through the National Relay Service: </w:t>
      </w:r>
      <w:hyperlink r:id="rId16" w:history="1">
        <w:r w:rsidR="001169FA" w:rsidRPr="00310D0D">
          <w:rPr>
            <w:rStyle w:val="Hyperlink"/>
            <w:rFonts w:eastAsiaTheme="majorEastAsia" w:cs="Calibri"/>
            <w:bCs w:val="0"/>
            <w:iCs w:val="0"/>
            <w:lang w:val="en-GB" w:eastAsia="en-AU"/>
          </w:rPr>
          <w:t>www.accesshub.gov.au</w:t>
        </w:r>
      </w:hyperlink>
      <w:r w:rsidRPr="00472915">
        <w:rPr>
          <w:rFonts w:eastAsiaTheme="majorEastAsia"/>
          <w:lang w:val="en-GB" w:eastAsia="en-AU"/>
        </w:rPr>
        <w:t>.</w:t>
      </w:r>
    </w:p>
    <w:p w14:paraId="2F171E44" w14:textId="3B024BF1" w:rsidR="00B000A2" w:rsidRPr="00472915" w:rsidRDefault="00B000A2" w:rsidP="00BA666E">
      <w:pPr>
        <w:rPr>
          <w:rFonts w:eastAsiaTheme="majorEastAsia"/>
          <w:lang w:val="en-GB" w:eastAsia="en-AU"/>
        </w:rPr>
      </w:pPr>
      <w:r w:rsidRPr="00472915">
        <w:rPr>
          <w:rFonts w:eastAsiaTheme="majorEastAsia"/>
          <w:lang w:val="en-GB" w:eastAsia="en-AU"/>
        </w:rPr>
        <w:t>If English is not your first language and you require a translating and interpreting service, please telephone Access Canberra on 13</w:t>
      </w:r>
      <w:r w:rsidR="00A720D7">
        <w:rPr>
          <w:rFonts w:eastAsiaTheme="majorEastAsia"/>
          <w:lang w:val="en-GB" w:eastAsia="en-AU"/>
        </w:rPr>
        <w:t> </w:t>
      </w:r>
      <w:r w:rsidRPr="00472915">
        <w:rPr>
          <w:rFonts w:eastAsiaTheme="majorEastAsia"/>
          <w:lang w:val="en-GB" w:eastAsia="en-AU"/>
        </w:rPr>
        <w:t>22</w:t>
      </w:r>
      <w:r w:rsidR="00A720D7">
        <w:rPr>
          <w:rFonts w:eastAsiaTheme="majorEastAsia"/>
          <w:lang w:val="en-GB" w:eastAsia="en-AU"/>
        </w:rPr>
        <w:t> </w:t>
      </w:r>
      <w:r w:rsidRPr="00472915">
        <w:rPr>
          <w:rFonts w:eastAsiaTheme="majorEastAsia"/>
          <w:lang w:val="en-GB" w:eastAsia="en-AU"/>
        </w:rPr>
        <w:t>81.</w:t>
      </w:r>
    </w:p>
    <w:p w14:paraId="3DC4AD0A" w14:textId="1BCDD092" w:rsidR="00FD38BD" w:rsidRPr="005705E2" w:rsidRDefault="00906D82" w:rsidP="00D579D3">
      <w:pPr>
        <w:rPr>
          <w:rFonts w:ascii="Montserrat" w:hAnsi="Montserrat"/>
          <w:sz w:val="48"/>
          <w:szCs w:val="48"/>
        </w:rPr>
      </w:pPr>
      <w:r>
        <w:rPr>
          <w:lang w:val="en-GB" w:eastAsia="en-AU"/>
        </w:rPr>
        <w:br w:type="column"/>
      </w:r>
      <w:r w:rsidR="00FD38BD" w:rsidRPr="005705E2">
        <w:rPr>
          <w:rFonts w:ascii="Montserrat" w:hAnsi="Montserrat"/>
          <w:color w:val="6E46E0"/>
          <w:sz w:val="48"/>
          <w:szCs w:val="48"/>
        </w:rPr>
        <w:lastRenderedPageBreak/>
        <w:t>Contents</w:t>
      </w:r>
    </w:p>
    <w:p w14:paraId="27841D8A" w14:textId="1F72EF53" w:rsidR="0079357B" w:rsidRDefault="00FD38BD">
      <w:pPr>
        <w:pStyle w:val="TOC2"/>
        <w:rPr>
          <w:rFonts w:asciiTheme="minorHAnsi" w:eastAsiaTheme="minorEastAsia" w:hAnsiTheme="minorHAnsi" w:cstheme="minorBidi"/>
          <w:bCs w:val="0"/>
          <w:iCs w:val="0"/>
          <w:color w:val="auto"/>
          <w:kern w:val="2"/>
          <w:sz w:val="24"/>
          <w:szCs w:val="24"/>
          <w:lang w:eastAsia="en-AU"/>
          <w14:ligatures w14:val="standardContextual"/>
        </w:rPr>
      </w:pPr>
      <w:r w:rsidRPr="005378CD">
        <w:fldChar w:fldCharType="begin"/>
      </w:r>
      <w:r w:rsidRPr="005378CD">
        <w:instrText xml:space="preserve"> TOC \o "1-3" \h \z </w:instrText>
      </w:r>
      <w:r w:rsidRPr="005378CD">
        <w:fldChar w:fldCharType="separate"/>
      </w:r>
      <w:hyperlink w:anchor="_Toc233626517" w:history="1">
        <w:r w:rsidR="0079357B" w:rsidRPr="00942B4E">
          <w:rPr>
            <w:rStyle w:val="Hyperlink"/>
          </w:rPr>
          <w:t>1.</w:t>
        </w:r>
        <w:r w:rsidR="0079357B">
          <w:rPr>
            <w:rFonts w:asciiTheme="minorHAnsi" w:eastAsiaTheme="minorEastAsia" w:hAnsiTheme="minorHAnsi" w:cstheme="minorBidi"/>
            <w:bCs w:val="0"/>
            <w:iCs w:val="0"/>
            <w:color w:val="auto"/>
            <w:kern w:val="2"/>
            <w:sz w:val="24"/>
            <w:szCs w:val="24"/>
            <w:lang w:eastAsia="en-AU"/>
            <w14:ligatures w14:val="standardContextual"/>
          </w:rPr>
          <w:tab/>
        </w:r>
        <w:r w:rsidR="0079357B" w:rsidRPr="00942B4E">
          <w:rPr>
            <w:rStyle w:val="Hyperlink"/>
          </w:rPr>
          <w:t>Senior Executive Service</w:t>
        </w:r>
        <w:r w:rsidR="0079357B">
          <w:rPr>
            <w:webHidden/>
          </w:rPr>
          <w:tab/>
        </w:r>
        <w:r w:rsidR="0079357B">
          <w:rPr>
            <w:webHidden/>
          </w:rPr>
          <w:fldChar w:fldCharType="begin"/>
        </w:r>
        <w:r w:rsidR="0079357B">
          <w:rPr>
            <w:webHidden/>
          </w:rPr>
          <w:instrText xml:space="preserve"> PAGEREF _Toc233626517 \h </w:instrText>
        </w:r>
        <w:r w:rsidR="0079357B">
          <w:rPr>
            <w:webHidden/>
          </w:rPr>
        </w:r>
        <w:r w:rsidR="0079357B">
          <w:rPr>
            <w:webHidden/>
          </w:rPr>
          <w:fldChar w:fldCharType="separate"/>
        </w:r>
        <w:r w:rsidR="0079357B">
          <w:rPr>
            <w:webHidden/>
          </w:rPr>
          <w:t>5</w:t>
        </w:r>
        <w:r w:rsidR="0079357B">
          <w:rPr>
            <w:webHidden/>
          </w:rPr>
          <w:fldChar w:fldCharType="end"/>
        </w:r>
      </w:hyperlink>
    </w:p>
    <w:p w14:paraId="126DF673" w14:textId="0CA79EF7"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18" w:history="1">
        <w:r w:rsidRPr="00942B4E">
          <w:rPr>
            <w:rStyle w:val="Hyperlink"/>
          </w:rPr>
          <w:t>1.1 Introduction</w:t>
        </w:r>
        <w:r>
          <w:rPr>
            <w:webHidden/>
          </w:rPr>
          <w:tab/>
        </w:r>
        <w:r>
          <w:rPr>
            <w:webHidden/>
          </w:rPr>
          <w:fldChar w:fldCharType="begin"/>
        </w:r>
        <w:r>
          <w:rPr>
            <w:webHidden/>
          </w:rPr>
          <w:instrText xml:space="preserve"> PAGEREF _Toc233626518 \h </w:instrText>
        </w:r>
        <w:r>
          <w:rPr>
            <w:webHidden/>
          </w:rPr>
        </w:r>
        <w:r>
          <w:rPr>
            <w:webHidden/>
          </w:rPr>
          <w:fldChar w:fldCharType="separate"/>
        </w:r>
        <w:r>
          <w:rPr>
            <w:webHidden/>
          </w:rPr>
          <w:t>5</w:t>
        </w:r>
        <w:r>
          <w:rPr>
            <w:webHidden/>
          </w:rPr>
          <w:fldChar w:fldCharType="end"/>
        </w:r>
      </w:hyperlink>
    </w:p>
    <w:p w14:paraId="1F945FEA" w14:textId="6CD77FB6"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19" w:history="1">
        <w:r w:rsidRPr="00942B4E">
          <w:rPr>
            <w:rStyle w:val="Hyperlink"/>
          </w:rPr>
          <w:t>1.2 Legislative framework</w:t>
        </w:r>
        <w:r>
          <w:rPr>
            <w:webHidden/>
          </w:rPr>
          <w:tab/>
        </w:r>
        <w:r>
          <w:rPr>
            <w:webHidden/>
          </w:rPr>
          <w:fldChar w:fldCharType="begin"/>
        </w:r>
        <w:r>
          <w:rPr>
            <w:webHidden/>
          </w:rPr>
          <w:instrText xml:space="preserve"> PAGEREF _Toc233626519 \h </w:instrText>
        </w:r>
        <w:r>
          <w:rPr>
            <w:webHidden/>
          </w:rPr>
        </w:r>
        <w:r>
          <w:rPr>
            <w:webHidden/>
          </w:rPr>
          <w:fldChar w:fldCharType="separate"/>
        </w:r>
        <w:r>
          <w:rPr>
            <w:webHidden/>
          </w:rPr>
          <w:t>5</w:t>
        </w:r>
        <w:r>
          <w:rPr>
            <w:webHidden/>
          </w:rPr>
          <w:fldChar w:fldCharType="end"/>
        </w:r>
      </w:hyperlink>
    </w:p>
    <w:p w14:paraId="1A304816" w14:textId="3EC4469D"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20" w:history="1">
        <w:r w:rsidRPr="00942B4E">
          <w:rPr>
            <w:rStyle w:val="Hyperlink"/>
          </w:rPr>
          <w:t>1.3 Determinations of the ACT Remuneration Tribunal</w:t>
        </w:r>
        <w:r>
          <w:rPr>
            <w:webHidden/>
          </w:rPr>
          <w:tab/>
        </w:r>
        <w:r>
          <w:rPr>
            <w:webHidden/>
          </w:rPr>
          <w:fldChar w:fldCharType="begin"/>
        </w:r>
        <w:r>
          <w:rPr>
            <w:webHidden/>
          </w:rPr>
          <w:instrText xml:space="preserve"> PAGEREF _Toc233626520 \h </w:instrText>
        </w:r>
        <w:r>
          <w:rPr>
            <w:webHidden/>
          </w:rPr>
        </w:r>
        <w:r>
          <w:rPr>
            <w:webHidden/>
          </w:rPr>
          <w:fldChar w:fldCharType="separate"/>
        </w:r>
        <w:r>
          <w:rPr>
            <w:webHidden/>
          </w:rPr>
          <w:t>5</w:t>
        </w:r>
        <w:r>
          <w:rPr>
            <w:webHidden/>
          </w:rPr>
          <w:fldChar w:fldCharType="end"/>
        </w:r>
      </w:hyperlink>
    </w:p>
    <w:p w14:paraId="494A30AF" w14:textId="4593EE63"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21" w:history="1">
        <w:r w:rsidRPr="00942B4E">
          <w:rPr>
            <w:rStyle w:val="Hyperlink"/>
          </w:rPr>
          <w:t>1.4 The Executive contract</w:t>
        </w:r>
        <w:r>
          <w:rPr>
            <w:webHidden/>
          </w:rPr>
          <w:tab/>
        </w:r>
        <w:r>
          <w:rPr>
            <w:webHidden/>
          </w:rPr>
          <w:fldChar w:fldCharType="begin"/>
        </w:r>
        <w:r>
          <w:rPr>
            <w:webHidden/>
          </w:rPr>
          <w:instrText xml:space="preserve"> PAGEREF _Toc233626521 \h </w:instrText>
        </w:r>
        <w:r>
          <w:rPr>
            <w:webHidden/>
          </w:rPr>
        </w:r>
        <w:r>
          <w:rPr>
            <w:webHidden/>
          </w:rPr>
          <w:fldChar w:fldCharType="separate"/>
        </w:r>
        <w:r>
          <w:rPr>
            <w:webHidden/>
          </w:rPr>
          <w:t>6</w:t>
        </w:r>
        <w:r>
          <w:rPr>
            <w:webHidden/>
          </w:rPr>
          <w:fldChar w:fldCharType="end"/>
        </w:r>
      </w:hyperlink>
    </w:p>
    <w:p w14:paraId="3E3A885C" w14:textId="78699484"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22" w:history="1">
        <w:r w:rsidRPr="00942B4E">
          <w:rPr>
            <w:rStyle w:val="Hyperlink"/>
          </w:rPr>
          <w:t>1.5 Long-term contract</w:t>
        </w:r>
        <w:r>
          <w:rPr>
            <w:webHidden/>
          </w:rPr>
          <w:tab/>
        </w:r>
        <w:r>
          <w:rPr>
            <w:webHidden/>
          </w:rPr>
          <w:fldChar w:fldCharType="begin"/>
        </w:r>
        <w:r>
          <w:rPr>
            <w:webHidden/>
          </w:rPr>
          <w:instrText xml:space="preserve"> PAGEREF _Toc233626522 \h </w:instrText>
        </w:r>
        <w:r>
          <w:rPr>
            <w:webHidden/>
          </w:rPr>
        </w:r>
        <w:r>
          <w:rPr>
            <w:webHidden/>
          </w:rPr>
          <w:fldChar w:fldCharType="separate"/>
        </w:r>
        <w:r>
          <w:rPr>
            <w:webHidden/>
          </w:rPr>
          <w:t>6</w:t>
        </w:r>
        <w:r>
          <w:rPr>
            <w:webHidden/>
          </w:rPr>
          <w:fldChar w:fldCharType="end"/>
        </w:r>
      </w:hyperlink>
    </w:p>
    <w:p w14:paraId="668E02A4" w14:textId="3B8FDAF8"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23" w:history="1">
        <w:r w:rsidRPr="00942B4E">
          <w:rPr>
            <w:rStyle w:val="Hyperlink"/>
          </w:rPr>
          <w:t>1.6 Short-term contract</w:t>
        </w:r>
        <w:r>
          <w:rPr>
            <w:webHidden/>
          </w:rPr>
          <w:tab/>
        </w:r>
        <w:r>
          <w:rPr>
            <w:webHidden/>
          </w:rPr>
          <w:fldChar w:fldCharType="begin"/>
        </w:r>
        <w:r>
          <w:rPr>
            <w:webHidden/>
          </w:rPr>
          <w:instrText xml:space="preserve"> PAGEREF _Toc233626523 \h </w:instrText>
        </w:r>
        <w:r>
          <w:rPr>
            <w:webHidden/>
          </w:rPr>
        </w:r>
        <w:r>
          <w:rPr>
            <w:webHidden/>
          </w:rPr>
          <w:fldChar w:fldCharType="separate"/>
        </w:r>
        <w:r>
          <w:rPr>
            <w:webHidden/>
          </w:rPr>
          <w:t>6</w:t>
        </w:r>
        <w:r>
          <w:rPr>
            <w:webHidden/>
          </w:rPr>
          <w:fldChar w:fldCharType="end"/>
        </w:r>
      </w:hyperlink>
    </w:p>
    <w:p w14:paraId="710849E2" w14:textId="03C3A541"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24" w:history="1">
        <w:r w:rsidRPr="00942B4E">
          <w:rPr>
            <w:rStyle w:val="Hyperlink"/>
          </w:rPr>
          <w:t>1.7 Offer of a contract</w:t>
        </w:r>
        <w:r>
          <w:rPr>
            <w:webHidden/>
          </w:rPr>
          <w:tab/>
        </w:r>
        <w:r>
          <w:rPr>
            <w:webHidden/>
          </w:rPr>
          <w:fldChar w:fldCharType="begin"/>
        </w:r>
        <w:r>
          <w:rPr>
            <w:webHidden/>
          </w:rPr>
          <w:instrText xml:space="preserve"> PAGEREF _Toc233626524 \h </w:instrText>
        </w:r>
        <w:r>
          <w:rPr>
            <w:webHidden/>
          </w:rPr>
        </w:r>
        <w:r>
          <w:rPr>
            <w:webHidden/>
          </w:rPr>
          <w:fldChar w:fldCharType="separate"/>
        </w:r>
        <w:r>
          <w:rPr>
            <w:webHidden/>
          </w:rPr>
          <w:t>7</w:t>
        </w:r>
        <w:r>
          <w:rPr>
            <w:webHidden/>
          </w:rPr>
          <w:fldChar w:fldCharType="end"/>
        </w:r>
      </w:hyperlink>
    </w:p>
    <w:p w14:paraId="66074A0D" w14:textId="47903C59"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25" w:history="1">
        <w:r w:rsidRPr="00942B4E">
          <w:rPr>
            <w:rStyle w:val="Hyperlink"/>
          </w:rPr>
          <w:t>1.8 Signatories to the contract</w:t>
        </w:r>
        <w:r>
          <w:rPr>
            <w:webHidden/>
          </w:rPr>
          <w:tab/>
        </w:r>
        <w:r>
          <w:rPr>
            <w:webHidden/>
          </w:rPr>
          <w:fldChar w:fldCharType="begin"/>
        </w:r>
        <w:r>
          <w:rPr>
            <w:webHidden/>
          </w:rPr>
          <w:instrText xml:space="preserve"> PAGEREF _Toc233626525 \h </w:instrText>
        </w:r>
        <w:r>
          <w:rPr>
            <w:webHidden/>
          </w:rPr>
        </w:r>
        <w:r>
          <w:rPr>
            <w:webHidden/>
          </w:rPr>
          <w:fldChar w:fldCharType="separate"/>
        </w:r>
        <w:r>
          <w:rPr>
            <w:webHidden/>
          </w:rPr>
          <w:t>7</w:t>
        </w:r>
        <w:r>
          <w:rPr>
            <w:webHidden/>
          </w:rPr>
          <w:fldChar w:fldCharType="end"/>
        </w:r>
      </w:hyperlink>
    </w:p>
    <w:p w14:paraId="40B0C4BE" w14:textId="44E930AF"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26" w:history="1">
        <w:r w:rsidRPr="00942B4E">
          <w:rPr>
            <w:rStyle w:val="Hyperlink"/>
          </w:rPr>
          <w:t>1.9 Tabling of Executive contracts</w:t>
        </w:r>
        <w:r>
          <w:rPr>
            <w:webHidden/>
          </w:rPr>
          <w:tab/>
        </w:r>
        <w:r>
          <w:rPr>
            <w:webHidden/>
          </w:rPr>
          <w:fldChar w:fldCharType="begin"/>
        </w:r>
        <w:r>
          <w:rPr>
            <w:webHidden/>
          </w:rPr>
          <w:instrText xml:space="preserve"> PAGEREF _Toc233626526 \h </w:instrText>
        </w:r>
        <w:r>
          <w:rPr>
            <w:webHidden/>
          </w:rPr>
        </w:r>
        <w:r>
          <w:rPr>
            <w:webHidden/>
          </w:rPr>
          <w:fldChar w:fldCharType="separate"/>
        </w:r>
        <w:r>
          <w:rPr>
            <w:webHidden/>
          </w:rPr>
          <w:t>7</w:t>
        </w:r>
        <w:r>
          <w:rPr>
            <w:webHidden/>
          </w:rPr>
          <w:fldChar w:fldCharType="end"/>
        </w:r>
      </w:hyperlink>
    </w:p>
    <w:p w14:paraId="587875B4" w14:textId="5B2E0E14"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27" w:history="1">
        <w:r w:rsidRPr="00942B4E">
          <w:rPr>
            <w:rStyle w:val="Hyperlink"/>
          </w:rPr>
          <w:t>1.10 Contract variations</w:t>
        </w:r>
        <w:r>
          <w:rPr>
            <w:webHidden/>
          </w:rPr>
          <w:tab/>
        </w:r>
        <w:r>
          <w:rPr>
            <w:webHidden/>
          </w:rPr>
          <w:fldChar w:fldCharType="begin"/>
        </w:r>
        <w:r>
          <w:rPr>
            <w:webHidden/>
          </w:rPr>
          <w:instrText xml:space="preserve"> PAGEREF _Toc233626527 \h </w:instrText>
        </w:r>
        <w:r>
          <w:rPr>
            <w:webHidden/>
          </w:rPr>
        </w:r>
        <w:r>
          <w:rPr>
            <w:webHidden/>
          </w:rPr>
          <w:fldChar w:fldCharType="separate"/>
        </w:r>
        <w:r>
          <w:rPr>
            <w:webHidden/>
          </w:rPr>
          <w:t>7</w:t>
        </w:r>
        <w:r>
          <w:rPr>
            <w:webHidden/>
          </w:rPr>
          <w:fldChar w:fldCharType="end"/>
        </w:r>
      </w:hyperlink>
    </w:p>
    <w:p w14:paraId="20485B93" w14:textId="583C1A4B"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28" w:history="1">
        <w:r w:rsidRPr="00942B4E">
          <w:rPr>
            <w:rStyle w:val="Hyperlink"/>
          </w:rPr>
          <w:t>1.11 Extension of a contract</w:t>
        </w:r>
        <w:r>
          <w:rPr>
            <w:webHidden/>
          </w:rPr>
          <w:tab/>
        </w:r>
        <w:r>
          <w:rPr>
            <w:webHidden/>
          </w:rPr>
          <w:fldChar w:fldCharType="begin"/>
        </w:r>
        <w:r>
          <w:rPr>
            <w:webHidden/>
          </w:rPr>
          <w:instrText xml:space="preserve"> PAGEREF _Toc233626528 \h </w:instrText>
        </w:r>
        <w:r>
          <w:rPr>
            <w:webHidden/>
          </w:rPr>
        </w:r>
        <w:r>
          <w:rPr>
            <w:webHidden/>
          </w:rPr>
          <w:fldChar w:fldCharType="separate"/>
        </w:r>
        <w:r>
          <w:rPr>
            <w:webHidden/>
          </w:rPr>
          <w:t>8</w:t>
        </w:r>
        <w:r>
          <w:rPr>
            <w:webHidden/>
          </w:rPr>
          <w:fldChar w:fldCharType="end"/>
        </w:r>
      </w:hyperlink>
    </w:p>
    <w:p w14:paraId="12EDE06F" w14:textId="127D4417"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29" w:history="1">
        <w:r w:rsidRPr="00942B4E">
          <w:rPr>
            <w:rStyle w:val="Hyperlink"/>
          </w:rPr>
          <w:t>1.12 Reengagement</w:t>
        </w:r>
        <w:r>
          <w:rPr>
            <w:webHidden/>
          </w:rPr>
          <w:tab/>
        </w:r>
        <w:r>
          <w:rPr>
            <w:webHidden/>
          </w:rPr>
          <w:fldChar w:fldCharType="begin"/>
        </w:r>
        <w:r>
          <w:rPr>
            <w:webHidden/>
          </w:rPr>
          <w:instrText xml:space="preserve"> PAGEREF _Toc233626529 \h </w:instrText>
        </w:r>
        <w:r>
          <w:rPr>
            <w:webHidden/>
          </w:rPr>
        </w:r>
        <w:r>
          <w:rPr>
            <w:webHidden/>
          </w:rPr>
          <w:fldChar w:fldCharType="separate"/>
        </w:r>
        <w:r>
          <w:rPr>
            <w:webHidden/>
          </w:rPr>
          <w:t>9</w:t>
        </w:r>
        <w:r>
          <w:rPr>
            <w:webHidden/>
          </w:rPr>
          <w:fldChar w:fldCharType="end"/>
        </w:r>
      </w:hyperlink>
    </w:p>
    <w:p w14:paraId="4AC7C77C" w14:textId="1210A6CD"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30" w:history="1">
        <w:r w:rsidRPr="00942B4E">
          <w:rPr>
            <w:rStyle w:val="Hyperlink"/>
          </w:rPr>
          <w:t>1.13 SES structure</w:t>
        </w:r>
        <w:r>
          <w:rPr>
            <w:webHidden/>
          </w:rPr>
          <w:tab/>
        </w:r>
        <w:r>
          <w:rPr>
            <w:webHidden/>
          </w:rPr>
          <w:fldChar w:fldCharType="begin"/>
        </w:r>
        <w:r>
          <w:rPr>
            <w:webHidden/>
          </w:rPr>
          <w:instrText xml:space="preserve"> PAGEREF _Toc233626530 \h </w:instrText>
        </w:r>
        <w:r>
          <w:rPr>
            <w:webHidden/>
          </w:rPr>
        </w:r>
        <w:r>
          <w:rPr>
            <w:webHidden/>
          </w:rPr>
          <w:fldChar w:fldCharType="separate"/>
        </w:r>
        <w:r>
          <w:rPr>
            <w:webHidden/>
          </w:rPr>
          <w:t>9</w:t>
        </w:r>
        <w:r>
          <w:rPr>
            <w:webHidden/>
          </w:rPr>
          <w:fldChar w:fldCharType="end"/>
        </w:r>
      </w:hyperlink>
    </w:p>
    <w:p w14:paraId="6D3CAC9F" w14:textId="432B2667"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31" w:history="1">
        <w:r w:rsidRPr="00942B4E">
          <w:rPr>
            <w:rStyle w:val="Hyperlink"/>
          </w:rPr>
          <w:t>1.14 Helpful links</w:t>
        </w:r>
        <w:r>
          <w:rPr>
            <w:webHidden/>
          </w:rPr>
          <w:tab/>
        </w:r>
        <w:r>
          <w:rPr>
            <w:webHidden/>
          </w:rPr>
          <w:fldChar w:fldCharType="begin"/>
        </w:r>
        <w:r>
          <w:rPr>
            <w:webHidden/>
          </w:rPr>
          <w:instrText xml:space="preserve"> PAGEREF _Toc233626531 \h </w:instrText>
        </w:r>
        <w:r>
          <w:rPr>
            <w:webHidden/>
          </w:rPr>
        </w:r>
        <w:r>
          <w:rPr>
            <w:webHidden/>
          </w:rPr>
          <w:fldChar w:fldCharType="separate"/>
        </w:r>
        <w:r>
          <w:rPr>
            <w:webHidden/>
          </w:rPr>
          <w:t>10</w:t>
        </w:r>
        <w:r>
          <w:rPr>
            <w:webHidden/>
          </w:rPr>
          <w:fldChar w:fldCharType="end"/>
        </w:r>
      </w:hyperlink>
    </w:p>
    <w:p w14:paraId="4BB74207" w14:textId="1719C80F" w:rsidR="0079357B" w:rsidRDefault="0079357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33626532" w:history="1">
        <w:r w:rsidRPr="00942B4E">
          <w:rPr>
            <w:rStyle w:val="Hyperlink"/>
          </w:rPr>
          <w:t>2.</w:t>
        </w:r>
        <w:r>
          <w:rPr>
            <w:rFonts w:asciiTheme="minorHAnsi" w:eastAsiaTheme="minorEastAsia" w:hAnsiTheme="minorHAnsi" w:cstheme="minorBidi"/>
            <w:bCs w:val="0"/>
            <w:iCs w:val="0"/>
            <w:color w:val="auto"/>
            <w:kern w:val="2"/>
            <w:sz w:val="24"/>
            <w:szCs w:val="24"/>
            <w:lang w:eastAsia="en-AU"/>
            <w14:ligatures w14:val="standardContextual"/>
          </w:rPr>
          <w:tab/>
        </w:r>
        <w:r w:rsidRPr="00942B4E">
          <w:rPr>
            <w:rStyle w:val="Hyperlink"/>
          </w:rPr>
          <w:t>General Conditions of Employment</w:t>
        </w:r>
        <w:r>
          <w:rPr>
            <w:webHidden/>
          </w:rPr>
          <w:tab/>
        </w:r>
        <w:r>
          <w:rPr>
            <w:webHidden/>
          </w:rPr>
          <w:fldChar w:fldCharType="begin"/>
        </w:r>
        <w:r>
          <w:rPr>
            <w:webHidden/>
          </w:rPr>
          <w:instrText xml:space="preserve"> PAGEREF _Toc233626532 \h </w:instrText>
        </w:r>
        <w:r>
          <w:rPr>
            <w:webHidden/>
          </w:rPr>
        </w:r>
        <w:r>
          <w:rPr>
            <w:webHidden/>
          </w:rPr>
          <w:fldChar w:fldCharType="separate"/>
        </w:r>
        <w:r>
          <w:rPr>
            <w:webHidden/>
          </w:rPr>
          <w:t>11</w:t>
        </w:r>
        <w:r>
          <w:rPr>
            <w:webHidden/>
          </w:rPr>
          <w:fldChar w:fldCharType="end"/>
        </w:r>
      </w:hyperlink>
    </w:p>
    <w:p w14:paraId="506CE088" w14:textId="0DEB8B31"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33" w:history="1">
        <w:r w:rsidRPr="00942B4E">
          <w:rPr>
            <w:rStyle w:val="Hyperlink"/>
          </w:rPr>
          <w:t>2.1 Remuneration</w:t>
        </w:r>
        <w:r>
          <w:rPr>
            <w:webHidden/>
          </w:rPr>
          <w:tab/>
        </w:r>
        <w:r>
          <w:rPr>
            <w:webHidden/>
          </w:rPr>
          <w:fldChar w:fldCharType="begin"/>
        </w:r>
        <w:r>
          <w:rPr>
            <w:webHidden/>
          </w:rPr>
          <w:instrText xml:space="preserve"> PAGEREF _Toc233626533 \h </w:instrText>
        </w:r>
        <w:r>
          <w:rPr>
            <w:webHidden/>
          </w:rPr>
        </w:r>
        <w:r>
          <w:rPr>
            <w:webHidden/>
          </w:rPr>
          <w:fldChar w:fldCharType="separate"/>
        </w:r>
        <w:r>
          <w:rPr>
            <w:webHidden/>
          </w:rPr>
          <w:t>11</w:t>
        </w:r>
        <w:r>
          <w:rPr>
            <w:webHidden/>
          </w:rPr>
          <w:fldChar w:fldCharType="end"/>
        </w:r>
      </w:hyperlink>
    </w:p>
    <w:p w14:paraId="7BEEA103" w14:textId="74FDA70A"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34" w:history="1">
        <w:r w:rsidRPr="00942B4E">
          <w:rPr>
            <w:rStyle w:val="Hyperlink"/>
          </w:rPr>
          <w:t>2.2 Additional salary</w:t>
        </w:r>
        <w:r>
          <w:rPr>
            <w:webHidden/>
          </w:rPr>
          <w:tab/>
        </w:r>
        <w:r>
          <w:rPr>
            <w:webHidden/>
          </w:rPr>
          <w:fldChar w:fldCharType="begin"/>
        </w:r>
        <w:r>
          <w:rPr>
            <w:webHidden/>
          </w:rPr>
          <w:instrText xml:space="preserve"> PAGEREF _Toc233626534 \h </w:instrText>
        </w:r>
        <w:r>
          <w:rPr>
            <w:webHidden/>
          </w:rPr>
        </w:r>
        <w:r>
          <w:rPr>
            <w:webHidden/>
          </w:rPr>
          <w:fldChar w:fldCharType="separate"/>
        </w:r>
        <w:r>
          <w:rPr>
            <w:webHidden/>
          </w:rPr>
          <w:t>11</w:t>
        </w:r>
        <w:r>
          <w:rPr>
            <w:webHidden/>
          </w:rPr>
          <w:fldChar w:fldCharType="end"/>
        </w:r>
      </w:hyperlink>
    </w:p>
    <w:p w14:paraId="0CA3E79B" w14:textId="4AFB30BD"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35" w:history="1">
        <w:r w:rsidRPr="00942B4E">
          <w:rPr>
            <w:rStyle w:val="Hyperlink"/>
          </w:rPr>
          <w:t>2.3 Allowances and employer provided benefits</w:t>
        </w:r>
        <w:r>
          <w:rPr>
            <w:webHidden/>
          </w:rPr>
          <w:tab/>
        </w:r>
        <w:r>
          <w:rPr>
            <w:webHidden/>
          </w:rPr>
          <w:fldChar w:fldCharType="begin"/>
        </w:r>
        <w:r>
          <w:rPr>
            <w:webHidden/>
          </w:rPr>
          <w:instrText xml:space="preserve"> PAGEREF _Toc233626535 \h </w:instrText>
        </w:r>
        <w:r>
          <w:rPr>
            <w:webHidden/>
          </w:rPr>
        </w:r>
        <w:r>
          <w:rPr>
            <w:webHidden/>
          </w:rPr>
          <w:fldChar w:fldCharType="separate"/>
        </w:r>
        <w:r>
          <w:rPr>
            <w:webHidden/>
          </w:rPr>
          <w:t>11</w:t>
        </w:r>
        <w:r>
          <w:rPr>
            <w:webHidden/>
          </w:rPr>
          <w:fldChar w:fldCharType="end"/>
        </w:r>
      </w:hyperlink>
    </w:p>
    <w:p w14:paraId="06F8CE00" w14:textId="37204DDB"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36" w:history="1">
        <w:r w:rsidRPr="00942B4E">
          <w:rPr>
            <w:rStyle w:val="Hyperlink"/>
          </w:rPr>
          <w:t>2.4 Superannuation</w:t>
        </w:r>
        <w:r>
          <w:rPr>
            <w:webHidden/>
          </w:rPr>
          <w:tab/>
        </w:r>
        <w:r>
          <w:rPr>
            <w:webHidden/>
          </w:rPr>
          <w:fldChar w:fldCharType="begin"/>
        </w:r>
        <w:r>
          <w:rPr>
            <w:webHidden/>
          </w:rPr>
          <w:instrText xml:space="preserve"> PAGEREF _Toc233626536 \h </w:instrText>
        </w:r>
        <w:r>
          <w:rPr>
            <w:webHidden/>
          </w:rPr>
        </w:r>
        <w:r>
          <w:rPr>
            <w:webHidden/>
          </w:rPr>
          <w:fldChar w:fldCharType="separate"/>
        </w:r>
        <w:r>
          <w:rPr>
            <w:webHidden/>
          </w:rPr>
          <w:t>11</w:t>
        </w:r>
        <w:r>
          <w:rPr>
            <w:webHidden/>
          </w:rPr>
          <w:fldChar w:fldCharType="end"/>
        </w:r>
      </w:hyperlink>
    </w:p>
    <w:p w14:paraId="12037B51" w14:textId="52C13777"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37" w:history="1">
        <w:r w:rsidRPr="00942B4E">
          <w:rPr>
            <w:rStyle w:val="Hyperlink"/>
          </w:rPr>
          <w:t>2.5 Salary packaging</w:t>
        </w:r>
        <w:r>
          <w:rPr>
            <w:webHidden/>
          </w:rPr>
          <w:tab/>
        </w:r>
        <w:r>
          <w:rPr>
            <w:webHidden/>
          </w:rPr>
          <w:fldChar w:fldCharType="begin"/>
        </w:r>
        <w:r>
          <w:rPr>
            <w:webHidden/>
          </w:rPr>
          <w:instrText xml:space="preserve"> PAGEREF _Toc233626537 \h </w:instrText>
        </w:r>
        <w:r>
          <w:rPr>
            <w:webHidden/>
          </w:rPr>
        </w:r>
        <w:r>
          <w:rPr>
            <w:webHidden/>
          </w:rPr>
          <w:fldChar w:fldCharType="separate"/>
        </w:r>
        <w:r>
          <w:rPr>
            <w:webHidden/>
          </w:rPr>
          <w:t>11</w:t>
        </w:r>
        <w:r>
          <w:rPr>
            <w:webHidden/>
          </w:rPr>
          <w:fldChar w:fldCharType="end"/>
        </w:r>
      </w:hyperlink>
    </w:p>
    <w:p w14:paraId="2A9E9770" w14:textId="2A815198"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38" w:history="1">
        <w:r w:rsidRPr="00942B4E">
          <w:rPr>
            <w:rStyle w:val="Hyperlink"/>
          </w:rPr>
          <w:t>2.6 Relocation costs</w:t>
        </w:r>
        <w:r>
          <w:rPr>
            <w:webHidden/>
          </w:rPr>
          <w:tab/>
        </w:r>
        <w:r>
          <w:rPr>
            <w:webHidden/>
          </w:rPr>
          <w:fldChar w:fldCharType="begin"/>
        </w:r>
        <w:r>
          <w:rPr>
            <w:webHidden/>
          </w:rPr>
          <w:instrText xml:space="preserve"> PAGEREF _Toc233626538 \h </w:instrText>
        </w:r>
        <w:r>
          <w:rPr>
            <w:webHidden/>
          </w:rPr>
        </w:r>
        <w:r>
          <w:rPr>
            <w:webHidden/>
          </w:rPr>
          <w:fldChar w:fldCharType="separate"/>
        </w:r>
        <w:r>
          <w:rPr>
            <w:webHidden/>
          </w:rPr>
          <w:t>12</w:t>
        </w:r>
        <w:r>
          <w:rPr>
            <w:webHidden/>
          </w:rPr>
          <w:fldChar w:fldCharType="end"/>
        </w:r>
      </w:hyperlink>
    </w:p>
    <w:p w14:paraId="21246254" w14:textId="05060C1D"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39" w:history="1">
        <w:r w:rsidRPr="00942B4E">
          <w:rPr>
            <w:rStyle w:val="Hyperlink"/>
          </w:rPr>
          <w:t>2.7 Leave</w:t>
        </w:r>
        <w:r>
          <w:rPr>
            <w:webHidden/>
          </w:rPr>
          <w:tab/>
        </w:r>
        <w:r>
          <w:rPr>
            <w:webHidden/>
          </w:rPr>
          <w:fldChar w:fldCharType="begin"/>
        </w:r>
        <w:r>
          <w:rPr>
            <w:webHidden/>
          </w:rPr>
          <w:instrText xml:space="preserve"> PAGEREF _Toc233626539 \h </w:instrText>
        </w:r>
        <w:r>
          <w:rPr>
            <w:webHidden/>
          </w:rPr>
        </w:r>
        <w:r>
          <w:rPr>
            <w:webHidden/>
          </w:rPr>
          <w:fldChar w:fldCharType="separate"/>
        </w:r>
        <w:r>
          <w:rPr>
            <w:webHidden/>
          </w:rPr>
          <w:t>12</w:t>
        </w:r>
        <w:r>
          <w:rPr>
            <w:webHidden/>
          </w:rPr>
          <w:fldChar w:fldCharType="end"/>
        </w:r>
      </w:hyperlink>
    </w:p>
    <w:p w14:paraId="0BDD04AA" w14:textId="52F89FE7" w:rsidR="0079357B" w:rsidRDefault="0079357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33626540" w:history="1">
        <w:r w:rsidRPr="00942B4E">
          <w:rPr>
            <w:rStyle w:val="Hyperlink"/>
          </w:rPr>
          <w:t>3.</w:t>
        </w:r>
        <w:r>
          <w:rPr>
            <w:rFonts w:asciiTheme="minorHAnsi" w:eastAsiaTheme="minorEastAsia" w:hAnsiTheme="minorHAnsi" w:cstheme="minorBidi"/>
            <w:bCs w:val="0"/>
            <w:iCs w:val="0"/>
            <w:color w:val="auto"/>
            <w:kern w:val="2"/>
            <w:sz w:val="24"/>
            <w:szCs w:val="24"/>
            <w:lang w:eastAsia="en-AU"/>
            <w14:ligatures w14:val="standardContextual"/>
          </w:rPr>
          <w:tab/>
        </w:r>
        <w:r w:rsidRPr="00942B4E">
          <w:rPr>
            <w:rStyle w:val="Hyperlink"/>
          </w:rPr>
          <w:t>General Obligations</w:t>
        </w:r>
        <w:r>
          <w:rPr>
            <w:webHidden/>
          </w:rPr>
          <w:tab/>
        </w:r>
        <w:r>
          <w:rPr>
            <w:webHidden/>
          </w:rPr>
          <w:fldChar w:fldCharType="begin"/>
        </w:r>
        <w:r>
          <w:rPr>
            <w:webHidden/>
          </w:rPr>
          <w:instrText xml:space="preserve"> PAGEREF _Toc233626540 \h </w:instrText>
        </w:r>
        <w:r>
          <w:rPr>
            <w:webHidden/>
          </w:rPr>
        </w:r>
        <w:r>
          <w:rPr>
            <w:webHidden/>
          </w:rPr>
          <w:fldChar w:fldCharType="separate"/>
        </w:r>
        <w:r>
          <w:rPr>
            <w:webHidden/>
          </w:rPr>
          <w:t>13</w:t>
        </w:r>
        <w:r>
          <w:rPr>
            <w:webHidden/>
          </w:rPr>
          <w:fldChar w:fldCharType="end"/>
        </w:r>
      </w:hyperlink>
    </w:p>
    <w:p w14:paraId="3908A08F" w14:textId="5A033DA6"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41" w:history="1">
        <w:r w:rsidRPr="00942B4E">
          <w:rPr>
            <w:rStyle w:val="Hyperlink"/>
          </w:rPr>
          <w:t>3.1 Values, principles, and conduct</w:t>
        </w:r>
        <w:r>
          <w:rPr>
            <w:webHidden/>
          </w:rPr>
          <w:tab/>
        </w:r>
        <w:r>
          <w:rPr>
            <w:webHidden/>
          </w:rPr>
          <w:fldChar w:fldCharType="begin"/>
        </w:r>
        <w:r>
          <w:rPr>
            <w:webHidden/>
          </w:rPr>
          <w:instrText xml:space="preserve"> PAGEREF _Toc233626541 \h </w:instrText>
        </w:r>
        <w:r>
          <w:rPr>
            <w:webHidden/>
          </w:rPr>
        </w:r>
        <w:r>
          <w:rPr>
            <w:webHidden/>
          </w:rPr>
          <w:fldChar w:fldCharType="separate"/>
        </w:r>
        <w:r>
          <w:rPr>
            <w:webHidden/>
          </w:rPr>
          <w:t>13</w:t>
        </w:r>
        <w:r>
          <w:rPr>
            <w:webHidden/>
          </w:rPr>
          <w:fldChar w:fldCharType="end"/>
        </w:r>
      </w:hyperlink>
    </w:p>
    <w:p w14:paraId="1B046DA3" w14:textId="2638C5A1"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42" w:history="1">
        <w:r w:rsidRPr="00942B4E">
          <w:rPr>
            <w:rStyle w:val="Hyperlink"/>
          </w:rPr>
          <w:t>3.2 Executive capabilities</w:t>
        </w:r>
        <w:r>
          <w:rPr>
            <w:webHidden/>
          </w:rPr>
          <w:tab/>
        </w:r>
        <w:r>
          <w:rPr>
            <w:webHidden/>
          </w:rPr>
          <w:fldChar w:fldCharType="begin"/>
        </w:r>
        <w:r>
          <w:rPr>
            <w:webHidden/>
          </w:rPr>
          <w:instrText xml:space="preserve"> PAGEREF _Toc233626542 \h </w:instrText>
        </w:r>
        <w:r>
          <w:rPr>
            <w:webHidden/>
          </w:rPr>
        </w:r>
        <w:r>
          <w:rPr>
            <w:webHidden/>
          </w:rPr>
          <w:fldChar w:fldCharType="separate"/>
        </w:r>
        <w:r>
          <w:rPr>
            <w:webHidden/>
          </w:rPr>
          <w:t>13</w:t>
        </w:r>
        <w:r>
          <w:rPr>
            <w:webHidden/>
          </w:rPr>
          <w:fldChar w:fldCharType="end"/>
        </w:r>
      </w:hyperlink>
    </w:p>
    <w:p w14:paraId="13EEB7F8" w14:textId="5B68AA08"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43" w:history="1">
        <w:r w:rsidRPr="00942B4E">
          <w:rPr>
            <w:rStyle w:val="Hyperlink"/>
          </w:rPr>
          <w:t>3.3 Performance management</w:t>
        </w:r>
        <w:r>
          <w:rPr>
            <w:webHidden/>
          </w:rPr>
          <w:tab/>
        </w:r>
        <w:r>
          <w:rPr>
            <w:webHidden/>
          </w:rPr>
          <w:fldChar w:fldCharType="begin"/>
        </w:r>
        <w:r>
          <w:rPr>
            <w:webHidden/>
          </w:rPr>
          <w:instrText xml:space="preserve"> PAGEREF _Toc233626543 \h </w:instrText>
        </w:r>
        <w:r>
          <w:rPr>
            <w:webHidden/>
          </w:rPr>
        </w:r>
        <w:r>
          <w:rPr>
            <w:webHidden/>
          </w:rPr>
          <w:fldChar w:fldCharType="separate"/>
        </w:r>
        <w:r>
          <w:rPr>
            <w:webHidden/>
          </w:rPr>
          <w:t>13</w:t>
        </w:r>
        <w:r>
          <w:rPr>
            <w:webHidden/>
          </w:rPr>
          <w:fldChar w:fldCharType="end"/>
        </w:r>
      </w:hyperlink>
    </w:p>
    <w:p w14:paraId="48146FF2" w14:textId="67C0AFC7"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44" w:history="1">
        <w:r w:rsidRPr="00942B4E">
          <w:rPr>
            <w:rStyle w:val="Hyperlink"/>
          </w:rPr>
          <w:t>3.4 Underperformance</w:t>
        </w:r>
        <w:r>
          <w:rPr>
            <w:webHidden/>
          </w:rPr>
          <w:tab/>
        </w:r>
        <w:r>
          <w:rPr>
            <w:webHidden/>
          </w:rPr>
          <w:fldChar w:fldCharType="begin"/>
        </w:r>
        <w:r>
          <w:rPr>
            <w:webHidden/>
          </w:rPr>
          <w:instrText xml:space="preserve"> PAGEREF _Toc233626544 \h </w:instrText>
        </w:r>
        <w:r>
          <w:rPr>
            <w:webHidden/>
          </w:rPr>
        </w:r>
        <w:r>
          <w:rPr>
            <w:webHidden/>
          </w:rPr>
          <w:fldChar w:fldCharType="separate"/>
        </w:r>
        <w:r>
          <w:rPr>
            <w:webHidden/>
          </w:rPr>
          <w:t>14</w:t>
        </w:r>
        <w:r>
          <w:rPr>
            <w:webHidden/>
          </w:rPr>
          <w:fldChar w:fldCharType="end"/>
        </w:r>
      </w:hyperlink>
    </w:p>
    <w:p w14:paraId="5317825C" w14:textId="1B56E1D5"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45" w:history="1">
        <w:r w:rsidRPr="00942B4E">
          <w:rPr>
            <w:rStyle w:val="Hyperlink"/>
          </w:rPr>
          <w:t>3.5 Disclosure of Private Interests</w:t>
        </w:r>
        <w:r>
          <w:rPr>
            <w:webHidden/>
          </w:rPr>
          <w:tab/>
        </w:r>
        <w:r>
          <w:rPr>
            <w:webHidden/>
          </w:rPr>
          <w:fldChar w:fldCharType="begin"/>
        </w:r>
        <w:r>
          <w:rPr>
            <w:webHidden/>
          </w:rPr>
          <w:instrText xml:space="preserve"> PAGEREF _Toc233626545 \h </w:instrText>
        </w:r>
        <w:r>
          <w:rPr>
            <w:webHidden/>
          </w:rPr>
        </w:r>
        <w:r>
          <w:rPr>
            <w:webHidden/>
          </w:rPr>
          <w:fldChar w:fldCharType="separate"/>
        </w:r>
        <w:r>
          <w:rPr>
            <w:webHidden/>
          </w:rPr>
          <w:t>14</w:t>
        </w:r>
        <w:r>
          <w:rPr>
            <w:webHidden/>
          </w:rPr>
          <w:fldChar w:fldCharType="end"/>
        </w:r>
      </w:hyperlink>
    </w:p>
    <w:p w14:paraId="47F0EF65" w14:textId="14CBAAFE"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46" w:history="1">
        <w:r w:rsidRPr="00942B4E">
          <w:rPr>
            <w:rStyle w:val="Hyperlink"/>
          </w:rPr>
          <w:t>3.6 Second jobs</w:t>
        </w:r>
        <w:r>
          <w:rPr>
            <w:webHidden/>
          </w:rPr>
          <w:tab/>
        </w:r>
        <w:r>
          <w:rPr>
            <w:webHidden/>
          </w:rPr>
          <w:fldChar w:fldCharType="begin"/>
        </w:r>
        <w:r>
          <w:rPr>
            <w:webHidden/>
          </w:rPr>
          <w:instrText xml:space="preserve"> PAGEREF _Toc233626546 \h </w:instrText>
        </w:r>
        <w:r>
          <w:rPr>
            <w:webHidden/>
          </w:rPr>
        </w:r>
        <w:r>
          <w:rPr>
            <w:webHidden/>
          </w:rPr>
          <w:fldChar w:fldCharType="separate"/>
        </w:r>
        <w:r>
          <w:rPr>
            <w:webHidden/>
          </w:rPr>
          <w:t>15</w:t>
        </w:r>
        <w:r>
          <w:rPr>
            <w:webHidden/>
          </w:rPr>
          <w:fldChar w:fldCharType="end"/>
        </w:r>
      </w:hyperlink>
    </w:p>
    <w:p w14:paraId="011CC5B8" w14:textId="0BD469FA"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47" w:history="1">
        <w:r w:rsidRPr="00942B4E">
          <w:rPr>
            <w:rStyle w:val="Hyperlink"/>
          </w:rPr>
          <w:t>3.7 Media responsibilities</w:t>
        </w:r>
        <w:r>
          <w:rPr>
            <w:webHidden/>
          </w:rPr>
          <w:tab/>
        </w:r>
        <w:r>
          <w:rPr>
            <w:webHidden/>
          </w:rPr>
          <w:fldChar w:fldCharType="begin"/>
        </w:r>
        <w:r>
          <w:rPr>
            <w:webHidden/>
          </w:rPr>
          <w:instrText xml:space="preserve"> PAGEREF _Toc233626547 \h </w:instrText>
        </w:r>
        <w:r>
          <w:rPr>
            <w:webHidden/>
          </w:rPr>
        </w:r>
        <w:r>
          <w:rPr>
            <w:webHidden/>
          </w:rPr>
          <w:fldChar w:fldCharType="separate"/>
        </w:r>
        <w:r>
          <w:rPr>
            <w:webHidden/>
          </w:rPr>
          <w:t>15</w:t>
        </w:r>
        <w:r>
          <w:rPr>
            <w:webHidden/>
          </w:rPr>
          <w:fldChar w:fldCharType="end"/>
        </w:r>
      </w:hyperlink>
    </w:p>
    <w:p w14:paraId="47D9D705" w14:textId="627115EA" w:rsidR="0079357B" w:rsidRDefault="0079357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33626548" w:history="1">
        <w:r w:rsidRPr="00942B4E">
          <w:rPr>
            <w:rStyle w:val="Hyperlink"/>
          </w:rPr>
          <w:t>4.</w:t>
        </w:r>
        <w:r>
          <w:rPr>
            <w:rFonts w:asciiTheme="minorHAnsi" w:eastAsiaTheme="minorEastAsia" w:hAnsiTheme="minorHAnsi" w:cstheme="minorBidi"/>
            <w:bCs w:val="0"/>
            <w:iCs w:val="0"/>
            <w:color w:val="auto"/>
            <w:kern w:val="2"/>
            <w:sz w:val="24"/>
            <w:szCs w:val="24"/>
            <w:lang w:eastAsia="en-AU"/>
            <w14:ligatures w14:val="standardContextual"/>
          </w:rPr>
          <w:tab/>
        </w:r>
        <w:r w:rsidRPr="00942B4E">
          <w:rPr>
            <w:rStyle w:val="Hyperlink"/>
          </w:rPr>
          <w:t>SES Development</w:t>
        </w:r>
        <w:r>
          <w:rPr>
            <w:webHidden/>
          </w:rPr>
          <w:tab/>
        </w:r>
        <w:r>
          <w:rPr>
            <w:webHidden/>
          </w:rPr>
          <w:fldChar w:fldCharType="begin"/>
        </w:r>
        <w:r>
          <w:rPr>
            <w:webHidden/>
          </w:rPr>
          <w:instrText xml:space="preserve"> PAGEREF _Toc233626548 \h </w:instrText>
        </w:r>
        <w:r>
          <w:rPr>
            <w:webHidden/>
          </w:rPr>
        </w:r>
        <w:r>
          <w:rPr>
            <w:webHidden/>
          </w:rPr>
          <w:fldChar w:fldCharType="separate"/>
        </w:r>
        <w:r>
          <w:rPr>
            <w:webHidden/>
          </w:rPr>
          <w:t>16</w:t>
        </w:r>
        <w:r>
          <w:rPr>
            <w:webHidden/>
          </w:rPr>
          <w:fldChar w:fldCharType="end"/>
        </w:r>
      </w:hyperlink>
    </w:p>
    <w:p w14:paraId="0B1AB6FC" w14:textId="0ED4A4E1"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49" w:history="1">
        <w:r w:rsidRPr="00942B4E">
          <w:rPr>
            <w:rStyle w:val="Hyperlink"/>
          </w:rPr>
          <w:t>4.1 SES development programs</w:t>
        </w:r>
        <w:r>
          <w:rPr>
            <w:webHidden/>
          </w:rPr>
          <w:tab/>
        </w:r>
        <w:r>
          <w:rPr>
            <w:webHidden/>
          </w:rPr>
          <w:fldChar w:fldCharType="begin"/>
        </w:r>
        <w:r>
          <w:rPr>
            <w:webHidden/>
          </w:rPr>
          <w:instrText xml:space="preserve"> PAGEREF _Toc233626549 \h </w:instrText>
        </w:r>
        <w:r>
          <w:rPr>
            <w:webHidden/>
          </w:rPr>
        </w:r>
        <w:r>
          <w:rPr>
            <w:webHidden/>
          </w:rPr>
          <w:fldChar w:fldCharType="separate"/>
        </w:r>
        <w:r>
          <w:rPr>
            <w:webHidden/>
          </w:rPr>
          <w:t>16</w:t>
        </w:r>
        <w:r>
          <w:rPr>
            <w:webHidden/>
          </w:rPr>
          <w:fldChar w:fldCharType="end"/>
        </w:r>
      </w:hyperlink>
    </w:p>
    <w:p w14:paraId="1AEA8A29" w14:textId="604C4B14"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50" w:history="1">
        <w:r w:rsidRPr="00942B4E">
          <w:rPr>
            <w:rStyle w:val="Hyperlink"/>
          </w:rPr>
          <w:t>4.2 Handover periods</w:t>
        </w:r>
        <w:r>
          <w:rPr>
            <w:webHidden/>
          </w:rPr>
          <w:tab/>
        </w:r>
        <w:r>
          <w:rPr>
            <w:webHidden/>
          </w:rPr>
          <w:fldChar w:fldCharType="begin"/>
        </w:r>
        <w:r>
          <w:rPr>
            <w:webHidden/>
          </w:rPr>
          <w:instrText xml:space="preserve"> PAGEREF _Toc233626550 \h </w:instrText>
        </w:r>
        <w:r>
          <w:rPr>
            <w:webHidden/>
          </w:rPr>
        </w:r>
        <w:r>
          <w:rPr>
            <w:webHidden/>
          </w:rPr>
          <w:fldChar w:fldCharType="separate"/>
        </w:r>
        <w:r>
          <w:rPr>
            <w:webHidden/>
          </w:rPr>
          <w:t>16</w:t>
        </w:r>
        <w:r>
          <w:rPr>
            <w:webHidden/>
          </w:rPr>
          <w:fldChar w:fldCharType="end"/>
        </w:r>
      </w:hyperlink>
    </w:p>
    <w:p w14:paraId="32C30B9B" w14:textId="2EFB0DB9" w:rsidR="0079357B" w:rsidRDefault="0079357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33626551" w:history="1">
        <w:r w:rsidRPr="00942B4E">
          <w:rPr>
            <w:rStyle w:val="Hyperlink"/>
          </w:rPr>
          <w:t>5.</w:t>
        </w:r>
        <w:r>
          <w:rPr>
            <w:rFonts w:asciiTheme="minorHAnsi" w:eastAsiaTheme="minorEastAsia" w:hAnsiTheme="minorHAnsi" w:cstheme="minorBidi"/>
            <w:bCs w:val="0"/>
            <w:iCs w:val="0"/>
            <w:color w:val="auto"/>
            <w:kern w:val="2"/>
            <w:sz w:val="24"/>
            <w:szCs w:val="24"/>
            <w:lang w:eastAsia="en-AU"/>
            <w14:ligatures w14:val="standardContextual"/>
          </w:rPr>
          <w:tab/>
        </w:r>
        <w:r w:rsidRPr="00942B4E">
          <w:rPr>
            <w:rStyle w:val="Hyperlink"/>
          </w:rPr>
          <w:t>SES Misconduct</w:t>
        </w:r>
        <w:r>
          <w:rPr>
            <w:webHidden/>
          </w:rPr>
          <w:tab/>
        </w:r>
        <w:r>
          <w:rPr>
            <w:webHidden/>
          </w:rPr>
          <w:fldChar w:fldCharType="begin"/>
        </w:r>
        <w:r>
          <w:rPr>
            <w:webHidden/>
          </w:rPr>
          <w:instrText xml:space="preserve"> PAGEREF _Toc233626551 \h </w:instrText>
        </w:r>
        <w:r>
          <w:rPr>
            <w:webHidden/>
          </w:rPr>
        </w:r>
        <w:r>
          <w:rPr>
            <w:webHidden/>
          </w:rPr>
          <w:fldChar w:fldCharType="separate"/>
        </w:r>
        <w:r>
          <w:rPr>
            <w:webHidden/>
          </w:rPr>
          <w:t>17</w:t>
        </w:r>
        <w:r>
          <w:rPr>
            <w:webHidden/>
          </w:rPr>
          <w:fldChar w:fldCharType="end"/>
        </w:r>
      </w:hyperlink>
    </w:p>
    <w:p w14:paraId="7FA1026F" w14:textId="6AB3984B"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52" w:history="1">
        <w:r w:rsidRPr="00942B4E">
          <w:rPr>
            <w:rStyle w:val="Hyperlink"/>
          </w:rPr>
          <w:t>5.1 Misconduct</w:t>
        </w:r>
        <w:r>
          <w:rPr>
            <w:webHidden/>
          </w:rPr>
          <w:tab/>
        </w:r>
        <w:r>
          <w:rPr>
            <w:webHidden/>
          </w:rPr>
          <w:fldChar w:fldCharType="begin"/>
        </w:r>
        <w:r>
          <w:rPr>
            <w:webHidden/>
          </w:rPr>
          <w:instrText xml:space="preserve"> PAGEREF _Toc233626552 \h </w:instrText>
        </w:r>
        <w:r>
          <w:rPr>
            <w:webHidden/>
          </w:rPr>
        </w:r>
        <w:r>
          <w:rPr>
            <w:webHidden/>
          </w:rPr>
          <w:fldChar w:fldCharType="separate"/>
        </w:r>
        <w:r>
          <w:rPr>
            <w:webHidden/>
          </w:rPr>
          <w:t>17</w:t>
        </w:r>
        <w:r>
          <w:rPr>
            <w:webHidden/>
          </w:rPr>
          <w:fldChar w:fldCharType="end"/>
        </w:r>
      </w:hyperlink>
    </w:p>
    <w:p w14:paraId="5EE76751" w14:textId="4D2CC863"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53" w:history="1">
        <w:r w:rsidRPr="00942B4E">
          <w:rPr>
            <w:rStyle w:val="Hyperlink"/>
          </w:rPr>
          <w:t>5.2 Suspension</w:t>
        </w:r>
        <w:r>
          <w:rPr>
            <w:webHidden/>
          </w:rPr>
          <w:tab/>
        </w:r>
        <w:r>
          <w:rPr>
            <w:webHidden/>
          </w:rPr>
          <w:fldChar w:fldCharType="begin"/>
        </w:r>
        <w:r>
          <w:rPr>
            <w:webHidden/>
          </w:rPr>
          <w:instrText xml:space="preserve"> PAGEREF _Toc233626553 \h </w:instrText>
        </w:r>
        <w:r>
          <w:rPr>
            <w:webHidden/>
          </w:rPr>
        </w:r>
        <w:r>
          <w:rPr>
            <w:webHidden/>
          </w:rPr>
          <w:fldChar w:fldCharType="separate"/>
        </w:r>
        <w:r>
          <w:rPr>
            <w:webHidden/>
          </w:rPr>
          <w:t>17</w:t>
        </w:r>
        <w:r>
          <w:rPr>
            <w:webHidden/>
          </w:rPr>
          <w:fldChar w:fldCharType="end"/>
        </w:r>
      </w:hyperlink>
    </w:p>
    <w:p w14:paraId="6E73662A" w14:textId="70AC0401"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54" w:history="1">
        <w:r w:rsidRPr="00942B4E">
          <w:rPr>
            <w:rStyle w:val="Hyperlink"/>
          </w:rPr>
          <w:t>5.3 Disciplinary action</w:t>
        </w:r>
        <w:r>
          <w:rPr>
            <w:webHidden/>
          </w:rPr>
          <w:tab/>
        </w:r>
        <w:r>
          <w:rPr>
            <w:webHidden/>
          </w:rPr>
          <w:fldChar w:fldCharType="begin"/>
        </w:r>
        <w:r>
          <w:rPr>
            <w:webHidden/>
          </w:rPr>
          <w:instrText xml:space="preserve"> PAGEREF _Toc233626554 \h </w:instrText>
        </w:r>
        <w:r>
          <w:rPr>
            <w:webHidden/>
          </w:rPr>
        </w:r>
        <w:r>
          <w:rPr>
            <w:webHidden/>
          </w:rPr>
          <w:fldChar w:fldCharType="separate"/>
        </w:r>
        <w:r>
          <w:rPr>
            <w:webHidden/>
          </w:rPr>
          <w:t>17</w:t>
        </w:r>
        <w:r>
          <w:rPr>
            <w:webHidden/>
          </w:rPr>
          <w:fldChar w:fldCharType="end"/>
        </w:r>
      </w:hyperlink>
    </w:p>
    <w:p w14:paraId="5C234DFF" w14:textId="532C0E75"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55" w:history="1">
        <w:r w:rsidRPr="00942B4E">
          <w:rPr>
            <w:rStyle w:val="Hyperlink"/>
          </w:rPr>
          <w:t>5.4 Grievance and discipline resolution</w:t>
        </w:r>
        <w:r>
          <w:rPr>
            <w:webHidden/>
          </w:rPr>
          <w:tab/>
        </w:r>
        <w:r>
          <w:rPr>
            <w:webHidden/>
          </w:rPr>
          <w:fldChar w:fldCharType="begin"/>
        </w:r>
        <w:r>
          <w:rPr>
            <w:webHidden/>
          </w:rPr>
          <w:instrText xml:space="preserve"> PAGEREF _Toc233626555 \h </w:instrText>
        </w:r>
        <w:r>
          <w:rPr>
            <w:webHidden/>
          </w:rPr>
        </w:r>
        <w:r>
          <w:rPr>
            <w:webHidden/>
          </w:rPr>
          <w:fldChar w:fldCharType="separate"/>
        </w:r>
        <w:r>
          <w:rPr>
            <w:webHidden/>
          </w:rPr>
          <w:t>17</w:t>
        </w:r>
        <w:r>
          <w:rPr>
            <w:webHidden/>
          </w:rPr>
          <w:fldChar w:fldCharType="end"/>
        </w:r>
      </w:hyperlink>
    </w:p>
    <w:p w14:paraId="5174097A" w14:textId="406E192E" w:rsidR="0079357B" w:rsidRDefault="0079357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33626556" w:history="1">
        <w:r w:rsidRPr="00942B4E">
          <w:rPr>
            <w:rStyle w:val="Hyperlink"/>
          </w:rPr>
          <w:t>6.</w:t>
        </w:r>
        <w:r>
          <w:rPr>
            <w:rFonts w:asciiTheme="minorHAnsi" w:eastAsiaTheme="minorEastAsia" w:hAnsiTheme="minorHAnsi" w:cstheme="minorBidi"/>
            <w:bCs w:val="0"/>
            <w:iCs w:val="0"/>
            <w:color w:val="auto"/>
            <w:kern w:val="2"/>
            <w:sz w:val="24"/>
            <w:szCs w:val="24"/>
            <w:lang w:eastAsia="en-AU"/>
            <w14:ligatures w14:val="standardContextual"/>
          </w:rPr>
          <w:tab/>
        </w:r>
        <w:r w:rsidRPr="00942B4E">
          <w:rPr>
            <w:rStyle w:val="Hyperlink"/>
          </w:rPr>
          <w:t>Non-renewal or Termination of Contract</w:t>
        </w:r>
        <w:r>
          <w:rPr>
            <w:webHidden/>
          </w:rPr>
          <w:tab/>
        </w:r>
        <w:r>
          <w:rPr>
            <w:webHidden/>
          </w:rPr>
          <w:fldChar w:fldCharType="begin"/>
        </w:r>
        <w:r>
          <w:rPr>
            <w:webHidden/>
          </w:rPr>
          <w:instrText xml:space="preserve"> PAGEREF _Toc233626556 \h </w:instrText>
        </w:r>
        <w:r>
          <w:rPr>
            <w:webHidden/>
          </w:rPr>
        </w:r>
        <w:r>
          <w:rPr>
            <w:webHidden/>
          </w:rPr>
          <w:fldChar w:fldCharType="separate"/>
        </w:r>
        <w:r>
          <w:rPr>
            <w:webHidden/>
          </w:rPr>
          <w:t>18</w:t>
        </w:r>
        <w:r>
          <w:rPr>
            <w:webHidden/>
          </w:rPr>
          <w:fldChar w:fldCharType="end"/>
        </w:r>
      </w:hyperlink>
    </w:p>
    <w:p w14:paraId="6B9C5EFD" w14:textId="658DF836"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57" w:history="1">
        <w:r w:rsidRPr="00942B4E">
          <w:rPr>
            <w:rStyle w:val="Hyperlink"/>
          </w:rPr>
          <w:t>6.1 Termination by an SES member</w:t>
        </w:r>
        <w:r>
          <w:rPr>
            <w:webHidden/>
          </w:rPr>
          <w:tab/>
        </w:r>
        <w:r>
          <w:rPr>
            <w:webHidden/>
          </w:rPr>
          <w:fldChar w:fldCharType="begin"/>
        </w:r>
        <w:r>
          <w:rPr>
            <w:webHidden/>
          </w:rPr>
          <w:instrText xml:space="preserve"> PAGEREF _Toc233626557 \h </w:instrText>
        </w:r>
        <w:r>
          <w:rPr>
            <w:webHidden/>
          </w:rPr>
        </w:r>
        <w:r>
          <w:rPr>
            <w:webHidden/>
          </w:rPr>
          <w:fldChar w:fldCharType="separate"/>
        </w:r>
        <w:r>
          <w:rPr>
            <w:webHidden/>
          </w:rPr>
          <w:t>18</w:t>
        </w:r>
        <w:r>
          <w:rPr>
            <w:webHidden/>
          </w:rPr>
          <w:fldChar w:fldCharType="end"/>
        </w:r>
      </w:hyperlink>
    </w:p>
    <w:p w14:paraId="68F50FA9" w14:textId="257697FE"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58" w:history="1">
        <w:r w:rsidRPr="00942B4E">
          <w:rPr>
            <w:rStyle w:val="Hyperlink"/>
          </w:rPr>
          <w:t>6.2 Termination by the employer</w:t>
        </w:r>
        <w:r>
          <w:rPr>
            <w:webHidden/>
          </w:rPr>
          <w:tab/>
        </w:r>
        <w:r>
          <w:rPr>
            <w:webHidden/>
          </w:rPr>
          <w:fldChar w:fldCharType="begin"/>
        </w:r>
        <w:r>
          <w:rPr>
            <w:webHidden/>
          </w:rPr>
          <w:instrText xml:space="preserve"> PAGEREF _Toc233626558 \h </w:instrText>
        </w:r>
        <w:r>
          <w:rPr>
            <w:webHidden/>
          </w:rPr>
        </w:r>
        <w:r>
          <w:rPr>
            <w:webHidden/>
          </w:rPr>
          <w:fldChar w:fldCharType="separate"/>
        </w:r>
        <w:r>
          <w:rPr>
            <w:webHidden/>
          </w:rPr>
          <w:t>18</w:t>
        </w:r>
        <w:r>
          <w:rPr>
            <w:webHidden/>
          </w:rPr>
          <w:fldChar w:fldCharType="end"/>
        </w:r>
      </w:hyperlink>
    </w:p>
    <w:p w14:paraId="1C66BB0F" w14:textId="28AAC053"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59" w:history="1">
        <w:r w:rsidRPr="00942B4E">
          <w:rPr>
            <w:rStyle w:val="Hyperlink"/>
          </w:rPr>
          <w:t>6.3 Termination benefits</w:t>
        </w:r>
        <w:r>
          <w:rPr>
            <w:webHidden/>
          </w:rPr>
          <w:tab/>
        </w:r>
        <w:r>
          <w:rPr>
            <w:webHidden/>
          </w:rPr>
          <w:fldChar w:fldCharType="begin"/>
        </w:r>
        <w:r>
          <w:rPr>
            <w:webHidden/>
          </w:rPr>
          <w:instrText xml:space="preserve"> PAGEREF _Toc233626559 \h </w:instrText>
        </w:r>
        <w:r>
          <w:rPr>
            <w:webHidden/>
          </w:rPr>
        </w:r>
        <w:r>
          <w:rPr>
            <w:webHidden/>
          </w:rPr>
          <w:fldChar w:fldCharType="separate"/>
        </w:r>
        <w:r>
          <w:rPr>
            <w:webHidden/>
          </w:rPr>
          <w:t>18</w:t>
        </w:r>
        <w:r>
          <w:rPr>
            <w:webHidden/>
          </w:rPr>
          <w:fldChar w:fldCharType="end"/>
        </w:r>
      </w:hyperlink>
    </w:p>
    <w:p w14:paraId="2C23012C" w14:textId="70FDD2F8"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60" w:history="1">
        <w:r w:rsidRPr="00942B4E">
          <w:rPr>
            <w:rStyle w:val="Hyperlink"/>
          </w:rPr>
          <w:t>6.4 Non-renewal of contract</w:t>
        </w:r>
        <w:r>
          <w:rPr>
            <w:webHidden/>
          </w:rPr>
          <w:tab/>
        </w:r>
        <w:r>
          <w:rPr>
            <w:webHidden/>
          </w:rPr>
          <w:fldChar w:fldCharType="begin"/>
        </w:r>
        <w:r>
          <w:rPr>
            <w:webHidden/>
          </w:rPr>
          <w:instrText xml:space="preserve"> PAGEREF _Toc233626560 \h </w:instrText>
        </w:r>
        <w:r>
          <w:rPr>
            <w:webHidden/>
          </w:rPr>
        </w:r>
        <w:r>
          <w:rPr>
            <w:webHidden/>
          </w:rPr>
          <w:fldChar w:fldCharType="separate"/>
        </w:r>
        <w:r>
          <w:rPr>
            <w:webHidden/>
          </w:rPr>
          <w:t>18</w:t>
        </w:r>
        <w:r>
          <w:rPr>
            <w:webHidden/>
          </w:rPr>
          <w:fldChar w:fldCharType="end"/>
        </w:r>
      </w:hyperlink>
    </w:p>
    <w:p w14:paraId="55F0BCD7" w14:textId="37C1BAB4" w:rsidR="0079357B" w:rsidRDefault="0079357B">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33626561" w:history="1">
        <w:r w:rsidRPr="00942B4E">
          <w:rPr>
            <w:rStyle w:val="Hyperlink"/>
          </w:rPr>
          <w:t>6.5 Financial and career counselling</w:t>
        </w:r>
        <w:r>
          <w:rPr>
            <w:webHidden/>
          </w:rPr>
          <w:tab/>
        </w:r>
        <w:r>
          <w:rPr>
            <w:webHidden/>
          </w:rPr>
          <w:fldChar w:fldCharType="begin"/>
        </w:r>
        <w:r>
          <w:rPr>
            <w:webHidden/>
          </w:rPr>
          <w:instrText xml:space="preserve"> PAGEREF _Toc233626561 \h </w:instrText>
        </w:r>
        <w:r>
          <w:rPr>
            <w:webHidden/>
          </w:rPr>
        </w:r>
        <w:r>
          <w:rPr>
            <w:webHidden/>
          </w:rPr>
          <w:fldChar w:fldCharType="separate"/>
        </w:r>
        <w:r>
          <w:rPr>
            <w:webHidden/>
          </w:rPr>
          <w:t>19</w:t>
        </w:r>
        <w:r>
          <w:rPr>
            <w:webHidden/>
          </w:rPr>
          <w:fldChar w:fldCharType="end"/>
        </w:r>
      </w:hyperlink>
    </w:p>
    <w:p w14:paraId="0F89655E" w14:textId="76466EDA" w:rsidR="0079357B" w:rsidRDefault="0079357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33626562" w:history="1">
        <w:r w:rsidRPr="00942B4E">
          <w:rPr>
            <w:rStyle w:val="Hyperlink"/>
          </w:rPr>
          <w:t>Approval Authority</w:t>
        </w:r>
        <w:r>
          <w:rPr>
            <w:webHidden/>
          </w:rPr>
          <w:tab/>
        </w:r>
        <w:r>
          <w:rPr>
            <w:webHidden/>
          </w:rPr>
          <w:fldChar w:fldCharType="begin"/>
        </w:r>
        <w:r>
          <w:rPr>
            <w:webHidden/>
          </w:rPr>
          <w:instrText xml:space="preserve"> PAGEREF _Toc233626562 \h </w:instrText>
        </w:r>
        <w:r>
          <w:rPr>
            <w:webHidden/>
          </w:rPr>
        </w:r>
        <w:r>
          <w:rPr>
            <w:webHidden/>
          </w:rPr>
          <w:fldChar w:fldCharType="separate"/>
        </w:r>
        <w:r>
          <w:rPr>
            <w:webHidden/>
          </w:rPr>
          <w:t>19</w:t>
        </w:r>
        <w:r>
          <w:rPr>
            <w:webHidden/>
          </w:rPr>
          <w:fldChar w:fldCharType="end"/>
        </w:r>
      </w:hyperlink>
    </w:p>
    <w:p w14:paraId="0DB3466B" w14:textId="250271C9" w:rsidR="00FD38BD" w:rsidRPr="00EF273A" w:rsidRDefault="00FD38BD" w:rsidP="00BA666E">
      <w:r w:rsidRPr="005378CD">
        <w:rPr>
          <w:noProof/>
        </w:rPr>
        <w:fldChar w:fldCharType="end"/>
      </w:r>
    </w:p>
    <w:p w14:paraId="7A163568" w14:textId="77777777" w:rsidR="00B572A8" w:rsidRDefault="00B572A8" w:rsidP="00045B32"/>
    <w:p w14:paraId="5DE50CF4" w14:textId="77777777" w:rsidR="00045B32" w:rsidRPr="00045B32" w:rsidRDefault="00045B32" w:rsidP="00045B32">
      <w:pPr>
        <w:sectPr w:rsidR="00045B32" w:rsidRPr="00045B32" w:rsidSect="0045223D">
          <w:footerReference w:type="default" r:id="rId17"/>
          <w:type w:val="continuous"/>
          <w:pgSz w:w="11906" w:h="16838"/>
          <w:pgMar w:top="1440" w:right="1961" w:bottom="1440" w:left="1440" w:header="708" w:footer="708" w:gutter="0"/>
          <w:cols w:space="708"/>
          <w:titlePg/>
          <w:docGrid w:linePitch="360"/>
        </w:sectPr>
      </w:pPr>
    </w:p>
    <w:p w14:paraId="34119C5A" w14:textId="2092776E" w:rsidR="007D4E6D" w:rsidRDefault="00F77EE7" w:rsidP="00612E15">
      <w:pPr>
        <w:pStyle w:val="Heading2"/>
        <w:numPr>
          <w:ilvl w:val="0"/>
          <w:numId w:val="9"/>
        </w:numPr>
      </w:pPr>
      <w:bookmarkStart w:id="0" w:name="_Toc229037510"/>
      <w:bookmarkStart w:id="1" w:name="_Toc233626517"/>
      <w:r>
        <w:lastRenderedPageBreak/>
        <w:t>Senior Executive Service</w:t>
      </w:r>
      <w:bookmarkEnd w:id="0"/>
      <w:bookmarkEnd w:id="1"/>
    </w:p>
    <w:p w14:paraId="09571C59" w14:textId="55343253" w:rsidR="007D4E6D" w:rsidRPr="007D4E6D" w:rsidRDefault="00F77EE7" w:rsidP="00607FEE">
      <w:pPr>
        <w:pStyle w:val="Heading3"/>
      </w:pPr>
      <w:bookmarkStart w:id="2" w:name="_Toc229037511"/>
      <w:bookmarkStart w:id="3" w:name="_Toc233626518"/>
      <w:r>
        <w:t>1.1 Introduction</w:t>
      </w:r>
      <w:bookmarkEnd w:id="2"/>
      <w:bookmarkEnd w:id="3"/>
    </w:p>
    <w:p w14:paraId="426E5358" w14:textId="13CD5310" w:rsidR="00A231F3" w:rsidRPr="00262D58" w:rsidRDefault="00A231F3" w:rsidP="00A231F3">
      <w:r w:rsidRPr="00262D58">
        <w:t>This handbook provides an overview of senior executive service (SES) employment in the ACT Public Service (ACTPS) and provides a summary of the terms, conditions and entitlements that are prescribed in:</w:t>
      </w:r>
    </w:p>
    <w:p w14:paraId="1D801F21" w14:textId="65579F4C" w:rsidR="00A231F3" w:rsidRPr="00D42AD3" w:rsidRDefault="00A231F3" w:rsidP="00D42AD3">
      <w:pPr>
        <w:numPr>
          <w:ilvl w:val="0"/>
          <w:numId w:val="13"/>
        </w:numPr>
        <w:spacing w:before="0" w:after="0"/>
        <w:rPr>
          <w:szCs w:val="24"/>
        </w:rPr>
      </w:pPr>
      <w:r w:rsidRPr="00D42AD3">
        <w:rPr>
          <w:szCs w:val="24"/>
        </w:rPr>
        <w:t>the instrument of employment (the Executive contract);</w:t>
      </w:r>
    </w:p>
    <w:p w14:paraId="5736FC65" w14:textId="4E45C736" w:rsidR="00A231F3" w:rsidRPr="00D42AD3" w:rsidRDefault="00A231F3" w:rsidP="00D42AD3">
      <w:pPr>
        <w:numPr>
          <w:ilvl w:val="0"/>
          <w:numId w:val="13"/>
        </w:numPr>
        <w:spacing w:before="0" w:after="0"/>
        <w:rPr>
          <w:szCs w:val="24"/>
        </w:rPr>
      </w:pPr>
      <w:r w:rsidRPr="00D42AD3">
        <w:rPr>
          <w:szCs w:val="24"/>
        </w:rPr>
        <w:t>the Public Sector Management Act 1994</w:t>
      </w:r>
      <w:r w:rsidRPr="00D42AD3">
        <w:rPr>
          <w:szCs w:val="24"/>
        </w:rPr>
        <w:footnoteReference w:id="2"/>
      </w:r>
      <w:r w:rsidRPr="00D42AD3">
        <w:rPr>
          <w:szCs w:val="24"/>
        </w:rPr>
        <w:t xml:space="preserve"> (PSM Act);</w:t>
      </w:r>
    </w:p>
    <w:p w14:paraId="737D8C80" w14:textId="5CBE067C" w:rsidR="00A231F3" w:rsidRPr="00D42AD3" w:rsidRDefault="00A231F3" w:rsidP="00D42AD3">
      <w:pPr>
        <w:numPr>
          <w:ilvl w:val="0"/>
          <w:numId w:val="13"/>
        </w:numPr>
        <w:spacing w:before="0" w:after="0"/>
        <w:rPr>
          <w:szCs w:val="24"/>
        </w:rPr>
      </w:pPr>
      <w:r w:rsidRPr="00D42AD3">
        <w:rPr>
          <w:szCs w:val="24"/>
        </w:rPr>
        <w:t>the Public Sector Management Standards 2016 (PSM Standards) or other instruments made from time to time under the PSM Act;</w:t>
      </w:r>
    </w:p>
    <w:p w14:paraId="3283F43A" w14:textId="732AAF1A" w:rsidR="00A231F3" w:rsidRPr="00D42AD3" w:rsidRDefault="00A231F3" w:rsidP="00D42AD3">
      <w:pPr>
        <w:numPr>
          <w:ilvl w:val="0"/>
          <w:numId w:val="13"/>
        </w:numPr>
        <w:spacing w:before="0" w:after="0"/>
        <w:rPr>
          <w:szCs w:val="24"/>
        </w:rPr>
      </w:pPr>
      <w:r w:rsidRPr="00D42AD3">
        <w:rPr>
          <w:szCs w:val="24"/>
        </w:rPr>
        <w:t>determinations made by the ACT Remuneration Tribunal under the Remuneration Tribunal Act 1995</w:t>
      </w:r>
      <w:r w:rsidRPr="00D42AD3">
        <w:rPr>
          <w:szCs w:val="24"/>
        </w:rPr>
        <w:footnoteReference w:id="3"/>
      </w:r>
      <w:r w:rsidRPr="00D42AD3">
        <w:rPr>
          <w:szCs w:val="24"/>
        </w:rPr>
        <w:t>; and</w:t>
      </w:r>
    </w:p>
    <w:p w14:paraId="4132A0E0" w14:textId="36A55598" w:rsidR="00A231F3" w:rsidRPr="00D42AD3" w:rsidRDefault="00A231F3" w:rsidP="00D42AD3">
      <w:pPr>
        <w:numPr>
          <w:ilvl w:val="0"/>
          <w:numId w:val="13"/>
        </w:numPr>
        <w:spacing w:before="0" w:after="0"/>
        <w:rPr>
          <w:szCs w:val="24"/>
        </w:rPr>
      </w:pPr>
      <w:r w:rsidRPr="00D42AD3">
        <w:rPr>
          <w:szCs w:val="24"/>
        </w:rPr>
        <w:t>other enactments of the Australian Capital Territory (the Territory) as applicable.</w:t>
      </w:r>
    </w:p>
    <w:p w14:paraId="05DD6F95" w14:textId="77777777" w:rsidR="00EE56CD" w:rsidRPr="00D42AD3" w:rsidRDefault="00EE56CD" w:rsidP="00EE56CD">
      <w:pPr>
        <w:spacing w:before="0" w:after="0"/>
        <w:ind w:left="720"/>
        <w:rPr>
          <w:szCs w:val="24"/>
        </w:rPr>
      </w:pPr>
    </w:p>
    <w:p w14:paraId="1A4037E0" w14:textId="0C6EAEA5" w:rsidR="00A231F3" w:rsidRPr="00262D58" w:rsidRDefault="00A231F3" w:rsidP="00A231F3">
      <w:r w:rsidRPr="00262D58">
        <w:t>SES members - also known as Executives - are employed under a single, service</w:t>
      </w:r>
      <w:r w:rsidR="0011708E">
        <w:t>-</w:t>
      </w:r>
      <w:r w:rsidRPr="00262D58">
        <w:t>wide contract system. This system consolidates employment arrangements for Executives and strengthens individual performance and accountability.</w:t>
      </w:r>
    </w:p>
    <w:p w14:paraId="5C0D8097" w14:textId="242AD528" w:rsidR="007D4E6D" w:rsidRDefault="00F77EE7" w:rsidP="00A231F3">
      <w:pPr>
        <w:pStyle w:val="Heading3"/>
      </w:pPr>
      <w:bookmarkStart w:id="4" w:name="_Toc229037512"/>
      <w:bookmarkStart w:id="5" w:name="_Toc233626519"/>
      <w:r>
        <w:t xml:space="preserve">1.2 </w:t>
      </w:r>
      <w:r w:rsidR="00E36C05">
        <w:t>Legislative framework</w:t>
      </w:r>
      <w:bookmarkEnd w:id="4"/>
      <w:bookmarkEnd w:id="5"/>
    </w:p>
    <w:p w14:paraId="7EC24446" w14:textId="6FE032E0" w:rsidR="00A231F3" w:rsidRPr="00262D58" w:rsidRDefault="00A231F3" w:rsidP="00A231F3">
      <w:r w:rsidRPr="00262D58">
        <w:t>The PSM Act provides the legislative framework for the use of contracts to employ Executives. It also sets out values, signature behaviours and general principles, including obligations and responsibilities.</w:t>
      </w:r>
    </w:p>
    <w:p w14:paraId="0DCA16FF" w14:textId="77777777" w:rsidR="00A231F3" w:rsidRPr="00262D58" w:rsidRDefault="00A231F3" w:rsidP="00A231F3">
      <w:r w:rsidRPr="00262D58">
        <w:t xml:space="preserve">The PSM Standards are made by the Head of Service, with the written approval of the Chief Minister. The PSM Standards support the PSM Act and set out conditions of employment, including the performance framework, classification structure, reengagement provisions and misconduct procedures. </w:t>
      </w:r>
    </w:p>
    <w:p w14:paraId="2B3CF4CE" w14:textId="070CB6B6" w:rsidR="00F77EE7" w:rsidRPr="007D4E6D" w:rsidRDefault="00F77EE7" w:rsidP="00A231F3">
      <w:pPr>
        <w:pStyle w:val="Heading3"/>
      </w:pPr>
      <w:bookmarkStart w:id="6" w:name="_Toc229037513"/>
      <w:bookmarkStart w:id="7" w:name="_Toc233626520"/>
      <w:r>
        <w:t xml:space="preserve">1.3 </w:t>
      </w:r>
      <w:r w:rsidR="00E36C05">
        <w:t>Determinations of the ACT Remuneration Tribunal</w:t>
      </w:r>
      <w:bookmarkEnd w:id="6"/>
      <w:bookmarkEnd w:id="7"/>
    </w:p>
    <w:p w14:paraId="742AA622" w14:textId="2A03EB17" w:rsidR="00A231F3" w:rsidRPr="00262D58" w:rsidRDefault="00A231F3" w:rsidP="00A231F3">
      <w:pPr>
        <w:rPr>
          <w:szCs w:val="24"/>
        </w:rPr>
      </w:pPr>
      <w:r w:rsidRPr="00262D58">
        <w:rPr>
          <w:szCs w:val="24"/>
        </w:rPr>
        <w:t xml:space="preserve">The ACT Remuneration Tribunal is an independent body established under the </w:t>
      </w:r>
      <w:r w:rsidRPr="00262D58">
        <w:rPr>
          <w:i/>
          <w:szCs w:val="24"/>
        </w:rPr>
        <w:t xml:space="preserve">Remuneration Tribunal Act 1995 </w:t>
      </w:r>
      <w:r w:rsidRPr="00262D58">
        <w:rPr>
          <w:szCs w:val="24"/>
        </w:rPr>
        <w:t xml:space="preserve">with jurisdiction to determine remuneration, allowances and other entitlements for ACTPS </w:t>
      </w:r>
      <w:r w:rsidRPr="00262D58">
        <w:t>Executives</w:t>
      </w:r>
      <w:r w:rsidRPr="00262D58">
        <w:rPr>
          <w:szCs w:val="24"/>
        </w:rPr>
        <w:t xml:space="preserve">. The Tribunal reviews the remuneration, allowances and entitlements for </w:t>
      </w:r>
      <w:r w:rsidRPr="00262D58">
        <w:t>Executives</w:t>
      </w:r>
      <w:r w:rsidRPr="00262D58">
        <w:rPr>
          <w:szCs w:val="24"/>
        </w:rPr>
        <w:t xml:space="preserve"> annually, generally at its Autumn review, with determinations generally coming into effect on 1 July. Any person may make a written submission to the Tribunal prior to a review. While submissions will be accepted throughout the year, submissions will be called for 6 weeks prior to the Tribunal sitting.</w:t>
      </w:r>
    </w:p>
    <w:p w14:paraId="280DB846" w14:textId="735E8BB9" w:rsidR="00A231F3" w:rsidRPr="00262D58" w:rsidRDefault="00A231F3" w:rsidP="00A231F3">
      <w:pPr>
        <w:rPr>
          <w:szCs w:val="24"/>
        </w:rPr>
      </w:pPr>
      <w:r w:rsidRPr="00262D58">
        <w:rPr>
          <w:szCs w:val="24"/>
        </w:rPr>
        <w:t xml:space="preserve">To date, the Tribunal has made determinations covering salary rates, various employer provided benefits (or allowances in lieu of benefits), a salary packaging scheme, and relocation expenses for </w:t>
      </w:r>
      <w:r w:rsidRPr="00262D58">
        <w:t>Executive</w:t>
      </w:r>
      <w:r w:rsidRPr="00262D58">
        <w:rPr>
          <w:szCs w:val="24"/>
        </w:rPr>
        <w:t>s engaged from interstate and overseas.</w:t>
      </w:r>
    </w:p>
    <w:p w14:paraId="136AAD53" w14:textId="6BB35AD4" w:rsidR="00A231F3" w:rsidRPr="00262D58" w:rsidRDefault="00A231F3" w:rsidP="007B7344">
      <w:pPr>
        <w:rPr>
          <w:szCs w:val="24"/>
        </w:rPr>
      </w:pPr>
      <w:r w:rsidRPr="00262D58">
        <w:rPr>
          <w:szCs w:val="24"/>
        </w:rPr>
        <w:t>Territory law, Commonwealth law, and instruments of appointment prevail over Tribunal determinations to the extent of any inconsistency.</w:t>
      </w:r>
      <w:r w:rsidR="007B7344">
        <w:rPr>
          <w:szCs w:val="24"/>
        </w:rPr>
        <w:t xml:space="preserve"> </w:t>
      </w:r>
      <w:r w:rsidRPr="00BF7FD4">
        <w:rPr>
          <w:szCs w:val="24"/>
        </w:rPr>
        <w:t xml:space="preserve">Current determinations are available on the </w:t>
      </w:r>
      <w:r w:rsidRPr="00BF7FD4">
        <w:rPr>
          <w:szCs w:val="24"/>
        </w:rPr>
        <w:lastRenderedPageBreak/>
        <w:t xml:space="preserve">ACT Remuneration Tribunal website at </w:t>
      </w:r>
      <w:hyperlink r:id="rId18" w:history="1">
        <w:r w:rsidRPr="001D0D6A">
          <w:rPr>
            <w:rStyle w:val="Hyperlink"/>
            <w:rFonts w:eastAsiaTheme="majorEastAsia"/>
          </w:rPr>
          <w:t>https://www.remunerationtribunal.act.gov.au/determinations</w:t>
        </w:r>
      </w:hyperlink>
      <w:r w:rsidRPr="00BF7FD4">
        <w:rPr>
          <w:szCs w:val="24"/>
        </w:rPr>
        <w:t>.</w:t>
      </w:r>
    </w:p>
    <w:p w14:paraId="7674E939" w14:textId="2452CCCF" w:rsidR="00F77EE7" w:rsidRPr="007D4E6D" w:rsidRDefault="00F77EE7" w:rsidP="00F77EE7">
      <w:pPr>
        <w:pStyle w:val="Heading3"/>
      </w:pPr>
      <w:bookmarkStart w:id="8" w:name="_Toc229037514"/>
      <w:bookmarkStart w:id="9" w:name="_Toc233626521"/>
      <w:r>
        <w:t>1.4</w:t>
      </w:r>
      <w:r w:rsidR="00E36C05">
        <w:t xml:space="preserve"> The Executive contract</w:t>
      </w:r>
      <w:bookmarkEnd w:id="8"/>
      <w:bookmarkEnd w:id="9"/>
    </w:p>
    <w:p w14:paraId="276AF802" w14:textId="77777777" w:rsidR="00A231F3" w:rsidRPr="00262D58" w:rsidRDefault="00A231F3" w:rsidP="00A231F3">
      <w:pPr>
        <w:spacing w:after="120"/>
        <w:rPr>
          <w:szCs w:val="24"/>
        </w:rPr>
      </w:pPr>
      <w:r w:rsidRPr="00262D58">
        <w:rPr>
          <w:szCs w:val="24"/>
        </w:rPr>
        <w:t xml:space="preserve">The Executive contract establishes the employment relationship between the </w:t>
      </w:r>
      <w:r w:rsidRPr="00262D58">
        <w:t>Executive</w:t>
      </w:r>
      <w:r w:rsidRPr="00262D58">
        <w:rPr>
          <w:szCs w:val="24"/>
        </w:rPr>
        <w:t xml:space="preserve"> as an employee and the Territory as the employer. Unlike non</w:t>
      </w:r>
      <w:r w:rsidRPr="00262D58">
        <w:rPr>
          <w:szCs w:val="24"/>
        </w:rPr>
        <w:noBreakHyphen/>
        <w:t xml:space="preserve">Executive ACTPS officers, </w:t>
      </w:r>
      <w:r w:rsidRPr="00262D58">
        <w:t xml:space="preserve">Executives </w:t>
      </w:r>
      <w:r w:rsidRPr="00262D58">
        <w:rPr>
          <w:i/>
          <w:iCs w:val="0"/>
          <w:szCs w:val="24"/>
        </w:rPr>
        <w:t>do not</w:t>
      </w:r>
      <w:r w:rsidRPr="00262D58">
        <w:rPr>
          <w:szCs w:val="24"/>
        </w:rPr>
        <w:t xml:space="preserve"> have tenure, and the duration of employment is governed by the terms of the contract. There are 2 classes of contract: </w:t>
      </w:r>
    </w:p>
    <w:p w14:paraId="4DB936B3" w14:textId="77777777" w:rsidR="00A231F3" w:rsidRPr="00262D58" w:rsidRDefault="00A231F3" w:rsidP="00A231F3">
      <w:pPr>
        <w:numPr>
          <w:ilvl w:val="0"/>
          <w:numId w:val="13"/>
        </w:numPr>
        <w:spacing w:before="0" w:after="0"/>
        <w:rPr>
          <w:szCs w:val="24"/>
        </w:rPr>
      </w:pPr>
      <w:r w:rsidRPr="00262D58">
        <w:rPr>
          <w:szCs w:val="24"/>
        </w:rPr>
        <w:t>‘long-term’ contracts, which cannot exceed 5 years; and</w:t>
      </w:r>
    </w:p>
    <w:p w14:paraId="448C86E2" w14:textId="07F1B39F" w:rsidR="00A231F3" w:rsidRPr="00262D58" w:rsidRDefault="00A231F3" w:rsidP="00251BD8">
      <w:pPr>
        <w:numPr>
          <w:ilvl w:val="0"/>
          <w:numId w:val="13"/>
        </w:numPr>
        <w:spacing w:before="0" w:after="0"/>
        <w:rPr>
          <w:szCs w:val="24"/>
        </w:rPr>
      </w:pPr>
      <w:r w:rsidRPr="00262D58">
        <w:rPr>
          <w:szCs w:val="24"/>
        </w:rPr>
        <w:t>‘short-term’ contracts, which cannot exceed 2 years.</w:t>
      </w:r>
    </w:p>
    <w:p w14:paraId="2045B555" w14:textId="77777777" w:rsidR="00251BD8" w:rsidRPr="00251BD8" w:rsidRDefault="00251BD8" w:rsidP="00251BD8">
      <w:pPr>
        <w:spacing w:before="0" w:after="0"/>
        <w:ind w:left="720"/>
        <w:rPr>
          <w:szCs w:val="24"/>
        </w:rPr>
      </w:pPr>
    </w:p>
    <w:p w14:paraId="17646456" w14:textId="78A8A083" w:rsidR="00A231F3" w:rsidRPr="00262D58" w:rsidRDefault="00A231F3" w:rsidP="00A231F3">
      <w:pPr>
        <w:rPr>
          <w:szCs w:val="24"/>
        </w:rPr>
      </w:pPr>
      <w:r w:rsidRPr="00262D58">
        <w:rPr>
          <w:szCs w:val="24"/>
        </w:rPr>
        <w:t>Executive contracts provide details of the statutory employment terms (SETs), such as classification, assigned functions and length of employment.</w:t>
      </w:r>
    </w:p>
    <w:p w14:paraId="0169EC12" w14:textId="77777777" w:rsidR="00A231F3" w:rsidRPr="00262D58" w:rsidRDefault="00A231F3" w:rsidP="00A231F3">
      <w:pPr>
        <w:spacing w:after="120"/>
        <w:rPr>
          <w:szCs w:val="24"/>
        </w:rPr>
      </w:pPr>
      <w:r w:rsidRPr="00262D58">
        <w:rPr>
          <w:szCs w:val="24"/>
        </w:rPr>
        <w:t>Executive contracts executed under section 31 of the PSM Act must set out prescribed SETs that include all the following:</w:t>
      </w:r>
    </w:p>
    <w:p w14:paraId="57922430" w14:textId="77777777" w:rsidR="00A231F3" w:rsidRPr="00262D58" w:rsidRDefault="00A231F3" w:rsidP="00A231F3">
      <w:pPr>
        <w:numPr>
          <w:ilvl w:val="0"/>
          <w:numId w:val="13"/>
        </w:numPr>
        <w:spacing w:before="0" w:after="0"/>
        <w:rPr>
          <w:szCs w:val="24"/>
        </w:rPr>
      </w:pPr>
      <w:r w:rsidRPr="00262D58">
        <w:rPr>
          <w:szCs w:val="24"/>
        </w:rPr>
        <w:t xml:space="preserve">each function assigned to the Executive; </w:t>
      </w:r>
    </w:p>
    <w:p w14:paraId="1C832161" w14:textId="77777777" w:rsidR="00A231F3" w:rsidRPr="00262D58" w:rsidRDefault="00A231F3" w:rsidP="00A231F3">
      <w:pPr>
        <w:numPr>
          <w:ilvl w:val="0"/>
          <w:numId w:val="13"/>
        </w:numPr>
        <w:spacing w:before="0" w:after="0"/>
        <w:rPr>
          <w:szCs w:val="24"/>
        </w:rPr>
      </w:pPr>
      <w:r w:rsidRPr="00262D58">
        <w:rPr>
          <w:szCs w:val="24"/>
        </w:rPr>
        <w:t>the administrative unit in which the Executive is engaged;</w:t>
      </w:r>
    </w:p>
    <w:p w14:paraId="6DA4404E" w14:textId="77777777" w:rsidR="00A231F3" w:rsidRPr="00262D58" w:rsidRDefault="00A231F3" w:rsidP="00A231F3">
      <w:pPr>
        <w:numPr>
          <w:ilvl w:val="0"/>
          <w:numId w:val="13"/>
        </w:numPr>
        <w:spacing w:before="0" w:after="0"/>
        <w:rPr>
          <w:szCs w:val="24"/>
        </w:rPr>
      </w:pPr>
      <w:r w:rsidRPr="00262D58">
        <w:rPr>
          <w:szCs w:val="24"/>
        </w:rPr>
        <w:t>the Executive’s classification;</w:t>
      </w:r>
    </w:p>
    <w:p w14:paraId="5143E7C5" w14:textId="77777777" w:rsidR="00A231F3" w:rsidRPr="00262D58" w:rsidRDefault="00A231F3" w:rsidP="00A231F3">
      <w:pPr>
        <w:numPr>
          <w:ilvl w:val="0"/>
          <w:numId w:val="13"/>
        </w:numPr>
        <w:spacing w:before="0" w:after="0"/>
        <w:rPr>
          <w:szCs w:val="24"/>
        </w:rPr>
      </w:pPr>
      <w:r w:rsidRPr="00262D58">
        <w:rPr>
          <w:szCs w:val="24"/>
        </w:rPr>
        <w:t>the Executive’s salary;</w:t>
      </w:r>
    </w:p>
    <w:p w14:paraId="351F5F16" w14:textId="77777777" w:rsidR="00A231F3" w:rsidRPr="00262D58" w:rsidRDefault="00A231F3" w:rsidP="00A231F3">
      <w:pPr>
        <w:numPr>
          <w:ilvl w:val="0"/>
          <w:numId w:val="13"/>
        </w:numPr>
        <w:spacing w:before="0" w:after="0"/>
        <w:rPr>
          <w:szCs w:val="24"/>
        </w:rPr>
      </w:pPr>
      <w:r w:rsidRPr="00262D58">
        <w:rPr>
          <w:szCs w:val="24"/>
        </w:rPr>
        <w:t>the hours the Executive is engaged to work;</w:t>
      </w:r>
    </w:p>
    <w:p w14:paraId="0F8FA5C3" w14:textId="77777777" w:rsidR="00A231F3" w:rsidRPr="00262D58" w:rsidRDefault="00A231F3" w:rsidP="00A231F3">
      <w:pPr>
        <w:numPr>
          <w:ilvl w:val="0"/>
          <w:numId w:val="13"/>
        </w:numPr>
        <w:spacing w:before="0" w:after="0"/>
        <w:rPr>
          <w:szCs w:val="24"/>
        </w:rPr>
      </w:pPr>
      <w:r w:rsidRPr="00262D58">
        <w:rPr>
          <w:szCs w:val="24"/>
        </w:rPr>
        <w:t>the period the Executive is engaged to work; and</w:t>
      </w:r>
    </w:p>
    <w:p w14:paraId="14D6EA5B" w14:textId="77777777" w:rsidR="00A231F3" w:rsidRPr="00262D58" w:rsidRDefault="00A231F3" w:rsidP="00A231F3">
      <w:pPr>
        <w:numPr>
          <w:ilvl w:val="0"/>
          <w:numId w:val="13"/>
        </w:numPr>
        <w:spacing w:before="0" w:after="0"/>
        <w:rPr>
          <w:szCs w:val="24"/>
        </w:rPr>
      </w:pPr>
      <w:r w:rsidRPr="00262D58">
        <w:rPr>
          <w:szCs w:val="24"/>
        </w:rPr>
        <w:t>any prescribed SETs.</w:t>
      </w:r>
    </w:p>
    <w:p w14:paraId="4CD05515" w14:textId="680B4F1F" w:rsidR="00F77EE7" w:rsidRPr="007D4E6D" w:rsidRDefault="00F77EE7" w:rsidP="00F77EE7">
      <w:pPr>
        <w:pStyle w:val="Heading3"/>
      </w:pPr>
      <w:bookmarkStart w:id="10" w:name="_Toc229037515"/>
      <w:bookmarkStart w:id="11" w:name="_Toc233626522"/>
      <w:r>
        <w:t xml:space="preserve">1.5 </w:t>
      </w:r>
      <w:r w:rsidR="00CE4774">
        <w:t>Long</w:t>
      </w:r>
      <w:r w:rsidR="00E36C05">
        <w:t>-term contract</w:t>
      </w:r>
      <w:bookmarkEnd w:id="10"/>
      <w:bookmarkEnd w:id="11"/>
    </w:p>
    <w:p w14:paraId="22F81CC7" w14:textId="77777777" w:rsidR="00A231F3" w:rsidRPr="00262D58" w:rsidRDefault="00A231F3" w:rsidP="00A231F3">
      <w:pPr>
        <w:rPr>
          <w:szCs w:val="24"/>
        </w:rPr>
      </w:pPr>
      <w:r w:rsidRPr="00262D58">
        <w:rPr>
          <w:szCs w:val="24"/>
        </w:rPr>
        <w:t>Under the PSM Act, a long</w:t>
      </w:r>
      <w:r w:rsidRPr="00262D58">
        <w:rPr>
          <w:szCs w:val="24"/>
        </w:rPr>
        <w:noBreakHyphen/>
        <w:t xml:space="preserve">term contract for a SES position may be entered into following a </w:t>
      </w:r>
      <w:r w:rsidRPr="00262D58">
        <w:rPr>
          <w:i/>
          <w:iCs w:val="0"/>
          <w:szCs w:val="24"/>
        </w:rPr>
        <w:t>prescribed selection process</w:t>
      </w:r>
      <w:r w:rsidRPr="00262D58">
        <w:rPr>
          <w:rStyle w:val="FootnoteReference"/>
          <w:rFonts w:eastAsiaTheme="majorEastAsia"/>
          <w:szCs w:val="24"/>
        </w:rPr>
        <w:footnoteReference w:id="4"/>
      </w:r>
      <w:r w:rsidRPr="00262D58">
        <w:rPr>
          <w:szCs w:val="24"/>
        </w:rPr>
        <w:t xml:space="preserve"> and can be for a duration of up to 5 years. Generally, officers of the ACTPS who accept a long-term Executive contract will not have a right of return to the non-Executive service at the end of the contract. However, section 19 of the PSM Standards provides that a long-term Executive may request the Head of Service to appoint them as an officer, prior to the end of their contract, in certain circumstances.</w:t>
      </w:r>
    </w:p>
    <w:p w14:paraId="3088DCB3" w14:textId="1BE80A4D" w:rsidR="00D65C73" w:rsidRPr="007D4E6D" w:rsidRDefault="00D65C73" w:rsidP="00D65C73">
      <w:pPr>
        <w:pStyle w:val="Heading3"/>
      </w:pPr>
      <w:bookmarkStart w:id="12" w:name="_Toc233626523"/>
      <w:r>
        <w:t>1.6 Short-term contract</w:t>
      </w:r>
      <w:bookmarkEnd w:id="12"/>
    </w:p>
    <w:p w14:paraId="567DB994" w14:textId="77777777" w:rsidR="00CE4774" w:rsidRPr="00262D58" w:rsidRDefault="00CE4774" w:rsidP="00B53946">
      <w:pPr>
        <w:numPr>
          <w:ilvl w:val="0"/>
          <w:numId w:val="22"/>
        </w:numPr>
        <w:spacing w:before="0" w:after="0"/>
      </w:pPr>
      <w:r w:rsidRPr="00262D58">
        <w:t>the nominal occupant of the Executive position is absent;</w:t>
      </w:r>
    </w:p>
    <w:p w14:paraId="30454D3D" w14:textId="77777777" w:rsidR="00CE4774" w:rsidRPr="00262D58" w:rsidRDefault="00CE4774" w:rsidP="00B53946">
      <w:pPr>
        <w:numPr>
          <w:ilvl w:val="0"/>
          <w:numId w:val="22"/>
        </w:numPr>
        <w:spacing w:before="0" w:after="0"/>
      </w:pPr>
      <w:r w:rsidRPr="00262D58">
        <w:t>a vacancy exists because the former nominal occupant has permanently left the position;</w:t>
      </w:r>
    </w:p>
    <w:p w14:paraId="6DB0FB45" w14:textId="77777777" w:rsidR="00CE4774" w:rsidRPr="00262D58" w:rsidRDefault="00CE4774" w:rsidP="00B53946">
      <w:pPr>
        <w:numPr>
          <w:ilvl w:val="0"/>
          <w:numId w:val="22"/>
        </w:numPr>
        <w:spacing w:before="0" w:after="0"/>
      </w:pPr>
      <w:r w:rsidRPr="00262D58">
        <w:t>there is a need to fill a position before a formal selection process can be conducted;</w:t>
      </w:r>
    </w:p>
    <w:p w14:paraId="39A4654D" w14:textId="77777777" w:rsidR="00CE4774" w:rsidRPr="00262D58" w:rsidRDefault="00CE4774" w:rsidP="00B53946">
      <w:pPr>
        <w:numPr>
          <w:ilvl w:val="0"/>
          <w:numId w:val="22"/>
        </w:numPr>
        <w:spacing w:before="0" w:after="0"/>
      </w:pPr>
      <w:r w:rsidRPr="00262D58">
        <w:t>there is a need to fill a position while a work value assessment to determine the classification of the position is undertaken; or</w:t>
      </w:r>
    </w:p>
    <w:p w14:paraId="72CF0FB7" w14:textId="77777777" w:rsidR="00CE4774" w:rsidRPr="00262D58" w:rsidRDefault="00CE4774" w:rsidP="00B53946">
      <w:pPr>
        <w:numPr>
          <w:ilvl w:val="0"/>
          <w:numId w:val="22"/>
        </w:numPr>
        <w:spacing w:before="0" w:after="0"/>
      </w:pPr>
      <w:r w:rsidRPr="00262D58">
        <w:t>there is a need to fill the position while a structural review determines the ongoing requirement of the position for the efficient and effective operation of the service.</w:t>
      </w:r>
    </w:p>
    <w:p w14:paraId="1904A381" w14:textId="77777777" w:rsidR="00CE4774" w:rsidRPr="00262D58" w:rsidRDefault="00CE4774" w:rsidP="00CE4774">
      <w:pPr>
        <w:spacing w:before="0" w:after="0"/>
        <w:rPr>
          <w:szCs w:val="24"/>
        </w:rPr>
      </w:pPr>
    </w:p>
    <w:p w14:paraId="180CAEDF" w14:textId="0B83CCA5" w:rsidR="00CE4774" w:rsidRPr="00262D58" w:rsidRDefault="00CE4774" w:rsidP="00CE4774">
      <w:r w:rsidRPr="00262D58">
        <w:lastRenderedPageBreak/>
        <w:t>A short-term amendment for an Executive with a long-term Executive contract in another position includes a provision to enable the Executive to revert to their long</w:t>
      </w:r>
      <w:r w:rsidRPr="00262D58">
        <w:noBreakHyphen/>
        <w:t>term contract at the completion of the short</w:t>
      </w:r>
      <w:r w:rsidRPr="00262D58">
        <w:noBreakHyphen/>
        <w:t>term amendment. This short-term amendment is achieved through a change in the statutory employment terms (SETs) of the Executive. In the case of a non</w:t>
      </w:r>
      <w:r w:rsidRPr="00262D58">
        <w:noBreakHyphen/>
        <w:t>Executive temporarily filling an Executive position on a short-term contract, their employment status as a non-Executive is not affected by the Executive contract</w:t>
      </w:r>
      <w:r w:rsidRPr="00262D58">
        <w:rPr>
          <w:rStyle w:val="FootnoteReference"/>
          <w:rFonts w:eastAsiaTheme="majorEastAsia"/>
        </w:rPr>
        <w:footnoteReference w:id="5"/>
      </w:r>
      <w:r w:rsidRPr="00262D58">
        <w:t>. For example, a Senior Officer Grade A (SOGA) on a short-term Executive contract will revert to their SOGA position at the end of the Executive contract.</w:t>
      </w:r>
    </w:p>
    <w:p w14:paraId="399D6D5D" w14:textId="77777777" w:rsidR="00CE4774" w:rsidRPr="00262D58" w:rsidRDefault="00CE4774" w:rsidP="00CE4774">
      <w:pPr>
        <w:pStyle w:val="BodyText"/>
        <w:spacing w:line="240" w:lineRule="auto"/>
        <w:jc w:val="left"/>
        <w:rPr>
          <w:rFonts w:ascii="Calibri" w:hAnsi="Calibri"/>
          <w:sz w:val="22"/>
          <w:szCs w:val="22"/>
        </w:rPr>
      </w:pPr>
      <w:r w:rsidRPr="00262D58">
        <w:rPr>
          <w:rFonts w:ascii="Calibri" w:hAnsi="Calibri"/>
          <w:sz w:val="22"/>
          <w:szCs w:val="22"/>
        </w:rPr>
        <w:t>Under the PSM Act, the maximum period for a short</w:t>
      </w:r>
      <w:r w:rsidRPr="00262D58">
        <w:rPr>
          <w:rFonts w:ascii="Calibri" w:hAnsi="Calibri"/>
          <w:sz w:val="22"/>
          <w:szCs w:val="22"/>
        </w:rPr>
        <w:noBreakHyphen/>
        <w:t xml:space="preserve">term contract is 2 years. A </w:t>
      </w:r>
      <w:r w:rsidRPr="00262D58">
        <w:rPr>
          <w:rFonts w:ascii="Calibri" w:hAnsi="Calibri"/>
          <w:i/>
          <w:iCs/>
          <w:sz w:val="22"/>
          <w:szCs w:val="22"/>
        </w:rPr>
        <w:t>prescribed selection process</w:t>
      </w:r>
      <w:r w:rsidRPr="00262D58">
        <w:rPr>
          <w:rFonts w:ascii="Calibri" w:hAnsi="Calibri"/>
          <w:sz w:val="22"/>
          <w:szCs w:val="22"/>
        </w:rPr>
        <w:t xml:space="preserve"> is required where the Executive position is to be filled for 9 months or more. A prescribed selection process can also be used to fill positions for periods less than 9 months, but it is not a legislative requirement.</w:t>
      </w:r>
    </w:p>
    <w:p w14:paraId="5886B3FD" w14:textId="67521FD7" w:rsidR="00F77EE7" w:rsidRPr="007D4E6D" w:rsidRDefault="00CE4774" w:rsidP="00F77EE7">
      <w:pPr>
        <w:pStyle w:val="Heading3"/>
      </w:pPr>
      <w:bookmarkStart w:id="13" w:name="_Toc229037517"/>
      <w:bookmarkStart w:id="14" w:name="_Toc233626524"/>
      <w:r>
        <w:t xml:space="preserve">1.7 </w:t>
      </w:r>
      <w:r w:rsidR="00E36C05">
        <w:t>Offer of a contract</w:t>
      </w:r>
      <w:bookmarkEnd w:id="13"/>
      <w:bookmarkEnd w:id="14"/>
    </w:p>
    <w:p w14:paraId="4E1AAEBD" w14:textId="545C4492" w:rsidR="00CE4774" w:rsidRPr="00262D58" w:rsidRDefault="00CE4774" w:rsidP="00CE4774">
      <w:r w:rsidRPr="00262D58">
        <w:t>The offer of an Executive contract is made on behalf of the Territory by a letter of offer from the Head of Service (or delegate). The letter of offer is accompanied by a contract and an election form. A declaration of private interests proforma is also necessary for contracts exceeding 3 months. For new ACTPS employees, a criminal history record check form will also need to be completed prior to commencement. Business areas can informally notify a successful applicant prior to the letter of offer, noting that an offer is not formal until received in writing.</w:t>
      </w:r>
    </w:p>
    <w:p w14:paraId="70AE5768" w14:textId="77777777" w:rsidR="00CE4774" w:rsidRPr="00262D58" w:rsidRDefault="00CE4774" w:rsidP="00CE4774">
      <w:r w:rsidRPr="00262D58">
        <w:t>The offer should be accepted, or in</w:t>
      </w:r>
      <w:r w:rsidRPr="00262D58">
        <w:noBreakHyphen/>
        <w:t>principle agreement notified. The accompanying documents are expected to be completed before the Executive commences.</w:t>
      </w:r>
    </w:p>
    <w:p w14:paraId="09C8D325" w14:textId="6FB4378B" w:rsidR="00F77EE7" w:rsidRPr="007D4E6D" w:rsidRDefault="00F77EE7" w:rsidP="00F77EE7">
      <w:pPr>
        <w:pStyle w:val="Heading3"/>
      </w:pPr>
      <w:bookmarkStart w:id="15" w:name="_Toc229037518"/>
      <w:bookmarkStart w:id="16" w:name="_Toc233626525"/>
      <w:r>
        <w:t>1.</w:t>
      </w:r>
      <w:r w:rsidR="00CE4774">
        <w:t>8</w:t>
      </w:r>
      <w:r>
        <w:t xml:space="preserve"> </w:t>
      </w:r>
      <w:r w:rsidR="00E36C05">
        <w:t>Signatories to the contract</w:t>
      </w:r>
      <w:bookmarkEnd w:id="15"/>
      <w:bookmarkEnd w:id="16"/>
    </w:p>
    <w:p w14:paraId="2707D946" w14:textId="613B915E" w:rsidR="00CE4774" w:rsidRPr="00262D58" w:rsidRDefault="00CE4774" w:rsidP="00CE4774">
      <w:r w:rsidRPr="00262D58">
        <w:t xml:space="preserve">The parties who sign the contract are the Executive and the engager of the Executive on behalf of the Territory. For directorates, the engager is the Head of Service (or delegate). For public sector entities for which a territory law states that a statutory office holder or chief executive officer may employ staff, the engager is that statutory office holder or chief executive officer. </w:t>
      </w:r>
    </w:p>
    <w:p w14:paraId="7327175C" w14:textId="77777777" w:rsidR="00CE4774" w:rsidRPr="00262D58" w:rsidRDefault="00CE4774" w:rsidP="00CE4774">
      <w:r w:rsidRPr="00262D58">
        <w:t>A contract is made once it is signed by both the engager and the Executive.</w:t>
      </w:r>
    </w:p>
    <w:p w14:paraId="0692ED5F" w14:textId="4207659C" w:rsidR="00F77EE7" w:rsidRPr="007D4E6D" w:rsidRDefault="00F77EE7" w:rsidP="00F77EE7">
      <w:pPr>
        <w:pStyle w:val="Heading3"/>
      </w:pPr>
      <w:bookmarkStart w:id="17" w:name="_Toc229037519"/>
      <w:bookmarkStart w:id="18" w:name="_Toc233626526"/>
      <w:r>
        <w:t>1.</w:t>
      </w:r>
      <w:r w:rsidR="00CE4774">
        <w:t>9</w:t>
      </w:r>
      <w:r>
        <w:t xml:space="preserve"> </w:t>
      </w:r>
      <w:r w:rsidR="00E36C05">
        <w:t>Tabling of Executive contracts</w:t>
      </w:r>
      <w:bookmarkEnd w:id="17"/>
      <w:bookmarkEnd w:id="18"/>
    </w:p>
    <w:p w14:paraId="73EE4B97" w14:textId="77777777" w:rsidR="00CE4774" w:rsidRPr="00262D58" w:rsidRDefault="00CE4774" w:rsidP="00CE4774">
      <w:pPr>
        <w:pStyle w:val="Header"/>
        <w:rPr>
          <w:szCs w:val="24"/>
        </w:rPr>
      </w:pPr>
      <w:r w:rsidRPr="00262D58">
        <w:rPr>
          <w:szCs w:val="24"/>
        </w:rPr>
        <w:t xml:space="preserve">Pursuant to section 56 of the PSM Standards, lists of new long-term contracts containing the </w:t>
      </w:r>
      <w:r w:rsidRPr="00262D58">
        <w:t>Executive</w:t>
      </w:r>
      <w:r w:rsidRPr="00262D58">
        <w:rPr>
          <w:szCs w:val="24"/>
        </w:rPr>
        <w:t>’s name, classification and, where relevant, additional salary under section 52 of the PSM Standards, must be tabled twice a year in the Legislative Assembly.</w:t>
      </w:r>
    </w:p>
    <w:p w14:paraId="6B71050F" w14:textId="7CDDA6BA" w:rsidR="00F77EE7" w:rsidRPr="007D4E6D" w:rsidRDefault="00F77EE7" w:rsidP="00F77EE7">
      <w:pPr>
        <w:pStyle w:val="Heading3"/>
      </w:pPr>
      <w:bookmarkStart w:id="19" w:name="_Toc229037520"/>
      <w:bookmarkStart w:id="20" w:name="_Toc233626527"/>
      <w:r>
        <w:t>1.</w:t>
      </w:r>
      <w:r w:rsidR="00CE4774">
        <w:t>10</w:t>
      </w:r>
      <w:r>
        <w:t xml:space="preserve"> </w:t>
      </w:r>
      <w:r w:rsidR="00E36C05">
        <w:t>Contract variations</w:t>
      </w:r>
      <w:bookmarkEnd w:id="19"/>
      <w:bookmarkEnd w:id="20"/>
    </w:p>
    <w:p w14:paraId="2A9D105A" w14:textId="77777777" w:rsidR="00CE4774" w:rsidRPr="00262D58" w:rsidRDefault="00CE4774" w:rsidP="00CE4774">
      <w:pPr>
        <w:pStyle w:val="BodyText"/>
        <w:spacing w:line="240" w:lineRule="auto"/>
        <w:jc w:val="left"/>
        <w:rPr>
          <w:rFonts w:ascii="Calibri" w:hAnsi="Calibri"/>
          <w:sz w:val="22"/>
          <w:szCs w:val="22"/>
        </w:rPr>
      </w:pPr>
      <w:r w:rsidRPr="00262D58">
        <w:rPr>
          <w:rFonts w:ascii="Calibri" w:hAnsi="Calibri"/>
          <w:sz w:val="22"/>
          <w:szCs w:val="22"/>
        </w:rPr>
        <w:t>Under sections 33 to 36 of the PSM Act, there are a range of circumstances under which an Executive’s SETs may or must be changed. Any change to an Executive’s SETs must be made in writing by the Head of Service (or delegate).</w:t>
      </w:r>
    </w:p>
    <w:p w14:paraId="66891586" w14:textId="77777777" w:rsidR="00CE4774" w:rsidRPr="00262D58" w:rsidRDefault="00CE4774" w:rsidP="00CE4774">
      <w:pPr>
        <w:pStyle w:val="BodyText"/>
        <w:spacing w:line="240" w:lineRule="auto"/>
        <w:jc w:val="left"/>
        <w:rPr>
          <w:rFonts w:ascii="Calibri" w:hAnsi="Calibri"/>
          <w:sz w:val="22"/>
          <w:szCs w:val="22"/>
        </w:rPr>
      </w:pPr>
    </w:p>
    <w:p w14:paraId="340BA4CD" w14:textId="77777777" w:rsidR="00CE4774" w:rsidRPr="00262D58" w:rsidRDefault="00CE4774" w:rsidP="00CE4774">
      <w:pPr>
        <w:pStyle w:val="BodyText"/>
        <w:spacing w:line="240" w:lineRule="auto"/>
        <w:jc w:val="left"/>
        <w:rPr>
          <w:rFonts w:ascii="Calibri" w:hAnsi="Calibri"/>
          <w:sz w:val="22"/>
          <w:szCs w:val="22"/>
        </w:rPr>
      </w:pPr>
      <w:r w:rsidRPr="00262D58">
        <w:rPr>
          <w:rFonts w:ascii="Calibri" w:hAnsi="Calibri"/>
          <w:sz w:val="22"/>
          <w:szCs w:val="22"/>
        </w:rPr>
        <w:t xml:space="preserve">SETs </w:t>
      </w:r>
      <w:r w:rsidRPr="00262D58">
        <w:rPr>
          <w:rFonts w:ascii="Calibri" w:hAnsi="Calibri"/>
          <w:b/>
          <w:bCs/>
          <w:sz w:val="22"/>
          <w:szCs w:val="22"/>
        </w:rPr>
        <w:t>must</w:t>
      </w:r>
      <w:r w:rsidRPr="00262D58">
        <w:rPr>
          <w:rFonts w:ascii="Calibri" w:hAnsi="Calibri"/>
          <w:sz w:val="22"/>
          <w:szCs w:val="22"/>
        </w:rPr>
        <w:t xml:space="preserve"> be changed if any of the following apply:</w:t>
      </w:r>
    </w:p>
    <w:p w14:paraId="3DBE0E43" w14:textId="77777777" w:rsidR="00CE4774" w:rsidRPr="00262D58" w:rsidRDefault="00CE4774" w:rsidP="00CE4774">
      <w:pPr>
        <w:numPr>
          <w:ilvl w:val="0"/>
          <w:numId w:val="14"/>
        </w:numPr>
        <w:spacing w:before="0" w:after="0"/>
      </w:pPr>
      <w:r w:rsidRPr="00262D58">
        <w:t>the Executive can no longer be engaged with the SETs and the Head of Service (or delegate) is able to give the Executive another suitable SES position; or</w:t>
      </w:r>
    </w:p>
    <w:p w14:paraId="3F35E640" w14:textId="77777777" w:rsidR="00CE4774" w:rsidRPr="00262D58" w:rsidRDefault="00CE4774" w:rsidP="00CE4774">
      <w:pPr>
        <w:numPr>
          <w:ilvl w:val="0"/>
          <w:numId w:val="14"/>
        </w:numPr>
        <w:spacing w:before="0" w:after="0"/>
      </w:pPr>
      <w:r w:rsidRPr="00262D58">
        <w:lastRenderedPageBreak/>
        <w:t xml:space="preserve">a prescribed circumstance (under the PSM Standards) applies to the Executive, including: </w:t>
      </w:r>
    </w:p>
    <w:p w14:paraId="11CEEAC9" w14:textId="77777777" w:rsidR="00CE4774" w:rsidRPr="00262D58" w:rsidRDefault="00CE4774" w:rsidP="00CE4774">
      <w:pPr>
        <w:numPr>
          <w:ilvl w:val="1"/>
          <w:numId w:val="14"/>
        </w:numPr>
        <w:spacing w:before="0" w:after="0"/>
      </w:pPr>
      <w:r w:rsidRPr="00262D58">
        <w:t>the Head of Service believes the Executive no longer meets the criteria to be an eligible person for their employment (see section 30 of the PSM Standards);</w:t>
      </w:r>
    </w:p>
    <w:p w14:paraId="4A11EA13" w14:textId="77777777" w:rsidR="00CE4774" w:rsidRPr="00262D58" w:rsidRDefault="00CE4774" w:rsidP="00CE4774">
      <w:pPr>
        <w:numPr>
          <w:ilvl w:val="1"/>
          <w:numId w:val="14"/>
        </w:numPr>
        <w:spacing w:before="0" w:after="0"/>
      </w:pPr>
      <w:r w:rsidRPr="00262D58">
        <w:t>the engager plans to undertake, or undertakes, a misconduct procedure in relation to the Executive’s alleged misconduct and is satisfied it is not in the interest of the service for the Executive to be suspended nor stay engaged in the same Executive position (see section 68 of the PSM Standards);</w:t>
      </w:r>
    </w:p>
    <w:p w14:paraId="2C4DB890" w14:textId="77777777" w:rsidR="00CE4774" w:rsidRPr="00262D58" w:rsidRDefault="00CE4774" w:rsidP="00CE4774">
      <w:pPr>
        <w:numPr>
          <w:ilvl w:val="1"/>
          <w:numId w:val="14"/>
        </w:numPr>
        <w:spacing w:before="0" w:after="0"/>
      </w:pPr>
      <w:r w:rsidRPr="00262D58">
        <w:t>the Head of Service believes the Executive cannot exercise their functions due to a non-compensable physical or mental condition but is able to give the Executive a suitable SES position (see section 34 of the PSM Standards);</w:t>
      </w:r>
    </w:p>
    <w:p w14:paraId="3CAE481A" w14:textId="77777777" w:rsidR="00CE4774" w:rsidRPr="00262D58" w:rsidRDefault="00CE4774" w:rsidP="00CE4774">
      <w:pPr>
        <w:numPr>
          <w:ilvl w:val="1"/>
          <w:numId w:val="14"/>
        </w:numPr>
        <w:spacing w:before="0" w:after="0"/>
      </w:pPr>
      <w:r w:rsidRPr="00262D58">
        <w:t>the engager believes the Executive failed to meet their performance expectations but is satisfied the Executive has taken action to be able to meet their performance expectations and the engager is satisfied it is in the interests of the service to change their SETs (see section 45 of the PSM Standards); or</w:t>
      </w:r>
    </w:p>
    <w:p w14:paraId="71B42DA6" w14:textId="66D36037" w:rsidR="00CE4774" w:rsidRPr="00262D58" w:rsidRDefault="00CE4774" w:rsidP="00CE4774">
      <w:pPr>
        <w:numPr>
          <w:ilvl w:val="1"/>
          <w:numId w:val="14"/>
        </w:numPr>
        <w:spacing w:before="0" w:after="0"/>
      </w:pPr>
      <w:r w:rsidRPr="00262D58">
        <w:t>a SES position evaluation (referred to as either job-size assessment or work value assessment) finds the Executive’s position responsibilities have increased and recommends the Executive’s classification be increased within the same Executive classification band (see section 67 of the PSM Standards).</w:t>
      </w:r>
    </w:p>
    <w:p w14:paraId="02F28175" w14:textId="77777777" w:rsidR="00CE4774" w:rsidRPr="00262D58" w:rsidRDefault="00CE4774" w:rsidP="00CE4774">
      <w:pPr>
        <w:spacing w:before="0" w:after="0"/>
        <w:ind w:left="1440"/>
      </w:pPr>
    </w:p>
    <w:p w14:paraId="284837A3" w14:textId="77777777" w:rsidR="00CE4774" w:rsidRPr="00262D58" w:rsidRDefault="00CE4774" w:rsidP="00CE4774">
      <w:pPr>
        <w:pStyle w:val="BodyText"/>
        <w:spacing w:line="240" w:lineRule="auto"/>
        <w:jc w:val="left"/>
        <w:rPr>
          <w:rFonts w:ascii="Calibri" w:hAnsi="Calibri"/>
          <w:sz w:val="22"/>
          <w:szCs w:val="22"/>
          <w:lang w:eastAsia="en-AU"/>
        </w:rPr>
      </w:pPr>
      <w:r w:rsidRPr="00262D58">
        <w:rPr>
          <w:rFonts w:ascii="Calibri" w:hAnsi="Calibri"/>
          <w:sz w:val="22"/>
          <w:szCs w:val="22"/>
          <w:lang w:eastAsia="en-AU"/>
        </w:rPr>
        <w:t xml:space="preserve">SETs </w:t>
      </w:r>
      <w:r w:rsidRPr="00262D58">
        <w:rPr>
          <w:rFonts w:ascii="Calibri" w:hAnsi="Calibri"/>
          <w:b/>
          <w:bCs/>
          <w:sz w:val="22"/>
          <w:szCs w:val="22"/>
          <w:lang w:eastAsia="en-AU"/>
        </w:rPr>
        <w:t>may</w:t>
      </w:r>
      <w:r w:rsidRPr="00262D58">
        <w:rPr>
          <w:rFonts w:ascii="Calibri" w:hAnsi="Calibri"/>
          <w:sz w:val="22"/>
          <w:szCs w:val="22"/>
          <w:lang w:eastAsia="en-AU"/>
        </w:rPr>
        <w:t xml:space="preserve"> be changed under section 35 of the PSM Act if any of the following apply:</w:t>
      </w:r>
    </w:p>
    <w:p w14:paraId="758B2547" w14:textId="77777777" w:rsidR="00CE4774" w:rsidRPr="00262D58" w:rsidRDefault="00CE4774" w:rsidP="00CE4774">
      <w:pPr>
        <w:numPr>
          <w:ilvl w:val="0"/>
          <w:numId w:val="14"/>
        </w:numPr>
        <w:spacing w:before="0" w:after="0"/>
      </w:pPr>
      <w:r w:rsidRPr="00262D58">
        <w:t>the Executive, in writing, asks for the change and the Head of Service (or delegate) is satisfied the request is reasonable; or</w:t>
      </w:r>
    </w:p>
    <w:p w14:paraId="7622166A" w14:textId="77777777" w:rsidR="00CE4774" w:rsidRPr="00262D58" w:rsidRDefault="00CE4774" w:rsidP="00CE4774">
      <w:pPr>
        <w:numPr>
          <w:ilvl w:val="0"/>
          <w:numId w:val="14"/>
        </w:numPr>
        <w:spacing w:before="0" w:after="0"/>
      </w:pPr>
      <w:r w:rsidRPr="00262D58">
        <w:t>the Head of Service (or delegate) is satisfied the change is required for the efficient and effective management of the service; or</w:t>
      </w:r>
    </w:p>
    <w:p w14:paraId="1497E7D5" w14:textId="3213DA06" w:rsidR="00CE4774" w:rsidRPr="00262D58" w:rsidRDefault="00CE4774" w:rsidP="00CE4774">
      <w:pPr>
        <w:numPr>
          <w:ilvl w:val="0"/>
          <w:numId w:val="14"/>
        </w:numPr>
        <w:spacing w:before="0" w:after="0"/>
      </w:pPr>
      <w:r w:rsidRPr="00262D58">
        <w:t>the Executive is selected for another SES position in accordance with a selection process.</w:t>
      </w:r>
    </w:p>
    <w:p w14:paraId="17319138" w14:textId="77777777" w:rsidR="00CE4774" w:rsidRPr="00262D58" w:rsidRDefault="00CE4774" w:rsidP="00CE4774">
      <w:pPr>
        <w:spacing w:before="0" w:after="0"/>
        <w:ind w:left="720"/>
      </w:pPr>
    </w:p>
    <w:p w14:paraId="22A58416" w14:textId="77777777" w:rsidR="00CE4774" w:rsidRPr="00262D58" w:rsidRDefault="00CE4774" w:rsidP="00CE4774">
      <w:r w:rsidRPr="00262D58">
        <w:t xml:space="preserve">The Head of Service </w:t>
      </w:r>
      <w:r w:rsidRPr="00262D58">
        <w:rPr>
          <w:lang w:eastAsia="en-AU"/>
        </w:rPr>
        <w:t xml:space="preserve">may make any of the following changes to an </w:t>
      </w:r>
      <w:r w:rsidRPr="00262D58">
        <w:t>Executive’s SETs without consulting the Executive:</w:t>
      </w:r>
    </w:p>
    <w:p w14:paraId="42C91230" w14:textId="77777777" w:rsidR="00CE4774" w:rsidRPr="00262D58" w:rsidRDefault="00CE4774" w:rsidP="00CE4774">
      <w:pPr>
        <w:numPr>
          <w:ilvl w:val="0"/>
          <w:numId w:val="14"/>
        </w:numPr>
        <w:spacing w:before="0" w:after="0"/>
      </w:pPr>
      <w:r w:rsidRPr="00262D58">
        <w:t xml:space="preserve">assign a new function to the Executive; </w:t>
      </w:r>
    </w:p>
    <w:p w14:paraId="36CB9F3E" w14:textId="77777777" w:rsidR="00CE4774" w:rsidRPr="00262D58" w:rsidRDefault="00CE4774" w:rsidP="00CE4774">
      <w:pPr>
        <w:numPr>
          <w:ilvl w:val="0"/>
          <w:numId w:val="14"/>
        </w:numPr>
        <w:spacing w:before="0" w:after="0"/>
      </w:pPr>
      <w:r w:rsidRPr="00262D58">
        <w:t xml:space="preserve">end the assignment of a function to the Executive; </w:t>
      </w:r>
    </w:p>
    <w:p w14:paraId="3CA8E544" w14:textId="77777777" w:rsidR="00CE4774" w:rsidRPr="00262D58" w:rsidRDefault="00CE4774" w:rsidP="00CE4774">
      <w:pPr>
        <w:numPr>
          <w:ilvl w:val="0"/>
          <w:numId w:val="14"/>
        </w:numPr>
        <w:spacing w:before="0" w:after="0"/>
      </w:pPr>
      <w:r w:rsidRPr="00262D58">
        <w:t>change the administrative unit in which the Executive is engaged; or</w:t>
      </w:r>
    </w:p>
    <w:p w14:paraId="4A35D446" w14:textId="7350FD74" w:rsidR="00CE4774" w:rsidRPr="00262D58" w:rsidRDefault="00CE4774" w:rsidP="00CE4774">
      <w:pPr>
        <w:numPr>
          <w:ilvl w:val="0"/>
          <w:numId w:val="14"/>
        </w:numPr>
        <w:spacing w:before="0" w:after="0"/>
      </w:pPr>
      <w:r w:rsidRPr="00262D58">
        <w:t>increase the Executive’s salary.</w:t>
      </w:r>
    </w:p>
    <w:p w14:paraId="70357585" w14:textId="77777777" w:rsidR="00CE4774" w:rsidRPr="00262D58" w:rsidRDefault="00CE4774" w:rsidP="008D31D8">
      <w:r w:rsidRPr="00262D58">
        <w:t xml:space="preserve">However, the Head of Service (or delegate) may not reduce the Executive’s salary or change the hours or period the Executive is engaged to work without consulting the Executive. </w:t>
      </w:r>
    </w:p>
    <w:p w14:paraId="38610078" w14:textId="216D1117" w:rsidR="00F77EE7" w:rsidRPr="007D4E6D" w:rsidRDefault="00F77EE7" w:rsidP="00CE4774">
      <w:pPr>
        <w:pStyle w:val="Heading3"/>
      </w:pPr>
      <w:bookmarkStart w:id="21" w:name="_Toc229037521"/>
      <w:bookmarkStart w:id="22" w:name="_Toc233626528"/>
      <w:r>
        <w:t>1.1</w:t>
      </w:r>
      <w:r w:rsidR="00CE4774">
        <w:t>1</w:t>
      </w:r>
      <w:r>
        <w:t xml:space="preserve"> </w:t>
      </w:r>
      <w:r w:rsidR="00E36C05">
        <w:t>Extension of a contract</w:t>
      </w:r>
      <w:bookmarkEnd w:id="21"/>
      <w:bookmarkEnd w:id="22"/>
    </w:p>
    <w:p w14:paraId="3B25CA6F" w14:textId="77777777" w:rsidR="00CE4774" w:rsidRPr="00262D58" w:rsidRDefault="00CE4774" w:rsidP="00CE4774">
      <w:pPr>
        <w:rPr>
          <w:szCs w:val="24"/>
        </w:rPr>
      </w:pPr>
      <w:r w:rsidRPr="00262D58">
        <w:rPr>
          <w:szCs w:val="24"/>
        </w:rPr>
        <w:t>If the initial long</w:t>
      </w:r>
      <w:r w:rsidRPr="00262D58">
        <w:rPr>
          <w:szCs w:val="24"/>
        </w:rPr>
        <w:noBreakHyphen/>
        <w:t xml:space="preserve">term contract was for a period of less than 5 years, it is possible to extend the long-term contract provided: </w:t>
      </w:r>
    </w:p>
    <w:p w14:paraId="33D3D0AD" w14:textId="77777777" w:rsidR="00CE4774" w:rsidRPr="00262D58" w:rsidRDefault="00CE4774" w:rsidP="00CE4774">
      <w:pPr>
        <w:numPr>
          <w:ilvl w:val="0"/>
          <w:numId w:val="15"/>
        </w:numPr>
        <w:spacing w:before="0" w:after="0"/>
        <w:rPr>
          <w:szCs w:val="24"/>
        </w:rPr>
      </w:pPr>
      <w:r w:rsidRPr="00262D58">
        <w:rPr>
          <w:szCs w:val="24"/>
        </w:rPr>
        <w:t xml:space="preserve">the total period does not exceed 5 years; and </w:t>
      </w:r>
    </w:p>
    <w:p w14:paraId="5FF95A35" w14:textId="77777777" w:rsidR="00CE4774" w:rsidRPr="00262D58" w:rsidRDefault="00CE4774" w:rsidP="00CE4774">
      <w:pPr>
        <w:numPr>
          <w:ilvl w:val="0"/>
          <w:numId w:val="15"/>
        </w:numPr>
        <w:spacing w:before="0" w:after="0"/>
        <w:rPr>
          <w:szCs w:val="24"/>
        </w:rPr>
      </w:pPr>
      <w:r w:rsidRPr="00262D58">
        <w:rPr>
          <w:szCs w:val="24"/>
        </w:rPr>
        <w:t>the position maintains the same work value level; and</w:t>
      </w:r>
    </w:p>
    <w:p w14:paraId="7C068987" w14:textId="77777777" w:rsidR="00CE4774" w:rsidRPr="00262D58" w:rsidRDefault="00CE4774" w:rsidP="00CE4774">
      <w:pPr>
        <w:numPr>
          <w:ilvl w:val="0"/>
          <w:numId w:val="15"/>
        </w:numPr>
        <w:spacing w:before="0" w:after="0"/>
        <w:rPr>
          <w:szCs w:val="24"/>
        </w:rPr>
      </w:pPr>
      <w:r w:rsidRPr="00262D58">
        <w:rPr>
          <w:szCs w:val="24"/>
        </w:rPr>
        <w:t>the gazettal of the role anticipated the possibility of extension (either by offering a role for a duration of up to 5 years, or by offering a role of less than 5 years but with the possibility of extension).</w:t>
      </w:r>
    </w:p>
    <w:p w14:paraId="21D6FDED" w14:textId="77777777" w:rsidR="00CE4774" w:rsidRPr="00262D58" w:rsidRDefault="00CE4774" w:rsidP="00CE4774">
      <w:pPr>
        <w:rPr>
          <w:szCs w:val="24"/>
        </w:rPr>
      </w:pPr>
    </w:p>
    <w:p w14:paraId="324C6EBB" w14:textId="195DA793" w:rsidR="00CE4774" w:rsidRPr="00262D58" w:rsidRDefault="00CE4774" w:rsidP="00CE4774">
      <w:pPr>
        <w:rPr>
          <w:szCs w:val="24"/>
        </w:rPr>
      </w:pPr>
      <w:r w:rsidRPr="00262D58">
        <w:rPr>
          <w:szCs w:val="24"/>
        </w:rPr>
        <w:lastRenderedPageBreak/>
        <w:t>If the gazette provided for the possibility, the initial contract may be extended more than once within the 5</w:t>
      </w:r>
      <w:r w:rsidRPr="00262D58">
        <w:rPr>
          <w:szCs w:val="24"/>
        </w:rPr>
        <w:noBreakHyphen/>
        <w:t>year limit.</w:t>
      </w:r>
    </w:p>
    <w:p w14:paraId="3940BE8C" w14:textId="77777777" w:rsidR="00CE4774" w:rsidRPr="00262D58" w:rsidRDefault="00CE4774" w:rsidP="00CE4774">
      <w:pPr>
        <w:pStyle w:val="Header"/>
        <w:rPr>
          <w:szCs w:val="24"/>
        </w:rPr>
      </w:pPr>
      <w:r w:rsidRPr="00262D58">
        <w:rPr>
          <w:szCs w:val="24"/>
        </w:rPr>
        <w:t>Short</w:t>
      </w:r>
      <w:r w:rsidRPr="00262D58">
        <w:rPr>
          <w:szCs w:val="24"/>
        </w:rPr>
        <w:noBreakHyphen/>
        <w:t xml:space="preserve">term contracts can be extended up to a maximum period of 2 years. To extend beyond 6 months, applications for the original contract must have been sought in the gazette. To extend beyond 9 months, a full merit process must have been undertaken.  </w:t>
      </w:r>
    </w:p>
    <w:p w14:paraId="6AF52B09" w14:textId="5A483516" w:rsidR="00F77EE7" w:rsidRPr="007D4E6D" w:rsidRDefault="00F77EE7" w:rsidP="00F77EE7">
      <w:pPr>
        <w:pStyle w:val="Heading3"/>
      </w:pPr>
      <w:bookmarkStart w:id="23" w:name="_Toc229037522"/>
      <w:bookmarkStart w:id="24" w:name="_Toc233626529"/>
      <w:r>
        <w:t>1.1</w:t>
      </w:r>
      <w:r w:rsidR="00CE4774">
        <w:t>2</w:t>
      </w:r>
      <w:r>
        <w:t xml:space="preserve"> </w:t>
      </w:r>
      <w:r w:rsidR="00E36C05">
        <w:t>Reengagement</w:t>
      </w:r>
      <w:bookmarkEnd w:id="23"/>
      <w:bookmarkEnd w:id="24"/>
    </w:p>
    <w:p w14:paraId="1A4BDDFD" w14:textId="03E7BDB8" w:rsidR="00CE4774" w:rsidRPr="00262D58" w:rsidRDefault="00CE4774" w:rsidP="00CE4774">
      <w:pPr>
        <w:rPr>
          <w:szCs w:val="24"/>
        </w:rPr>
      </w:pPr>
      <w:r w:rsidRPr="00262D58">
        <w:rPr>
          <w:szCs w:val="24"/>
        </w:rPr>
        <w:t>At the expiration of an existing long-term contract, a new contract may be offered to the Executive without a recruitment process provided the classification is the same. Section 55 of the PSM Standards provides that the merit and equity principle does not apply to a second or subsequent engagement of an Executive to perform the duties of the same position if the subsequent engagement commences immediately after the end of the previous engagement.</w:t>
      </w:r>
    </w:p>
    <w:p w14:paraId="0F01220A" w14:textId="0C250970" w:rsidR="00CE4774" w:rsidRPr="00262D58" w:rsidRDefault="00CE4774" w:rsidP="00CE4774">
      <w:pPr>
        <w:rPr>
          <w:szCs w:val="24"/>
        </w:rPr>
      </w:pPr>
      <w:r w:rsidRPr="00262D58">
        <w:rPr>
          <w:szCs w:val="24"/>
        </w:rPr>
        <w:t>There is a requirement for the Head of Service to certify that they are satisfied that during the Executive’s current engagement, the Executive has met all expectations set out in the Executive’s approved performance agreement. This certification would follow a recommendation by the relevant director-general.</w:t>
      </w:r>
    </w:p>
    <w:p w14:paraId="0786F450" w14:textId="61260F47" w:rsidR="00CE4774" w:rsidRPr="00262D58" w:rsidRDefault="00CE4774" w:rsidP="00CE4774">
      <w:pPr>
        <w:rPr>
          <w:szCs w:val="24"/>
        </w:rPr>
      </w:pPr>
      <w:r w:rsidRPr="00262D58">
        <w:rPr>
          <w:szCs w:val="24"/>
        </w:rPr>
        <w:t>It is recommended that, before the reengagement of an Executive by the Head of Service, a comprehensive performance assessment be carried out by a panel, preferably 6 to 12 months before the expiry of the Executive’s current contract. This will enable sufficient time for a decision to be made about the reengagement with a view to advising the Executive of the outcome at least 6 months before their current contract ceases. If the Executive is not to be reengaged, the Head of Service (or delegate) must advise the Executive in writing of their intention not to reengage at least 3 months before the day the Executive’s contract ends.</w:t>
      </w:r>
    </w:p>
    <w:p w14:paraId="33BD8A88" w14:textId="10C7EEEF" w:rsidR="00CE4774" w:rsidRPr="00262D58" w:rsidRDefault="00CE4774" w:rsidP="00CE4774">
      <w:pPr>
        <w:rPr>
          <w:szCs w:val="24"/>
        </w:rPr>
      </w:pPr>
      <w:r w:rsidRPr="00262D58">
        <w:rPr>
          <w:szCs w:val="24"/>
        </w:rPr>
        <w:t>It is appropriate that the performance assessment panel include the relevant director-general or delegate and an Executive from another directorate. While there are no prescribed assessment requirements, it is appropriate that as part of their assessment the panel provide the Executive with the opportunity to outline their achievements and continued work performance against the Executive capabilities.</w:t>
      </w:r>
    </w:p>
    <w:p w14:paraId="672B67C0" w14:textId="1A322526" w:rsidR="00CE4774" w:rsidRPr="00262D58" w:rsidRDefault="00CE4774" w:rsidP="00CE4774">
      <w:pPr>
        <w:rPr>
          <w:szCs w:val="24"/>
        </w:rPr>
      </w:pPr>
      <w:r w:rsidRPr="00262D58">
        <w:rPr>
          <w:szCs w:val="24"/>
        </w:rPr>
        <w:t>Upon the Head of Service agreeing that the Executive has met all performance expectations, a new long-term contract will be issued to the Executive for a term not exceeding 5 years.</w:t>
      </w:r>
    </w:p>
    <w:p w14:paraId="07381A2E" w14:textId="77777777" w:rsidR="00CE4774" w:rsidRPr="00262D58" w:rsidRDefault="00CE4774" w:rsidP="00CE4774">
      <w:pPr>
        <w:rPr>
          <w:szCs w:val="24"/>
        </w:rPr>
      </w:pPr>
      <w:r w:rsidRPr="00262D58">
        <w:rPr>
          <w:szCs w:val="24"/>
        </w:rPr>
        <w:t>There is no limit to the number of times an Executive can be reengaged.</w:t>
      </w:r>
    </w:p>
    <w:p w14:paraId="1F2B1E54" w14:textId="124C6BB3" w:rsidR="00F77EE7" w:rsidRPr="007D4E6D" w:rsidRDefault="00F77EE7" w:rsidP="00F77EE7">
      <w:pPr>
        <w:pStyle w:val="Heading3"/>
      </w:pPr>
      <w:bookmarkStart w:id="25" w:name="_Toc229037523"/>
      <w:bookmarkStart w:id="26" w:name="_Toc233626530"/>
      <w:r>
        <w:t>1.1</w:t>
      </w:r>
      <w:r w:rsidR="00CE4774">
        <w:t>3</w:t>
      </w:r>
      <w:r>
        <w:t xml:space="preserve"> </w:t>
      </w:r>
      <w:r w:rsidR="00E36C05">
        <w:t>SES structure</w:t>
      </w:r>
      <w:bookmarkEnd w:id="25"/>
      <w:bookmarkEnd w:id="26"/>
    </w:p>
    <w:p w14:paraId="2B6C25A7" w14:textId="77777777" w:rsidR="00526BC2" w:rsidRPr="00262D58" w:rsidRDefault="00CE4774" w:rsidP="00CE4774">
      <w:r w:rsidRPr="00262D58">
        <w:t xml:space="preserve">In the ACTPS, the SES structure is made up of Band 1, 2, 3 and 4 executives. Each band has 4 levels. The classification is determined by the Head of Service and must consider any independent position evaluation. </w:t>
      </w:r>
    </w:p>
    <w:p w14:paraId="5C1D18DC" w14:textId="77777777" w:rsidR="00E96241" w:rsidRDefault="00E96241" w:rsidP="00CE4774"/>
    <w:p w14:paraId="7CD7F5D8" w14:textId="77777777" w:rsidR="00E96241" w:rsidRDefault="00E96241" w:rsidP="00CE4774"/>
    <w:p w14:paraId="7878EA78" w14:textId="77777777" w:rsidR="00E96241" w:rsidRDefault="00E96241" w:rsidP="00CE4774"/>
    <w:p w14:paraId="0120E445" w14:textId="77777777" w:rsidR="00E96241" w:rsidRDefault="00E96241" w:rsidP="00CE4774"/>
    <w:p w14:paraId="260661F4" w14:textId="77777777" w:rsidR="00E96241" w:rsidRDefault="00E96241" w:rsidP="00CE4774"/>
    <w:p w14:paraId="4048B88C" w14:textId="77777777" w:rsidR="00E96241" w:rsidRDefault="00E96241" w:rsidP="00CE4774"/>
    <w:p w14:paraId="01C361EE" w14:textId="170C9010" w:rsidR="00526BC2" w:rsidRDefault="00CE4774" w:rsidP="00CE4774">
      <w:r w:rsidRPr="00262D58">
        <w:lastRenderedPageBreak/>
        <w:t>The levels are:</w:t>
      </w:r>
    </w:p>
    <w:tbl>
      <w:tblPr>
        <w:tblStyle w:val="ARStandardTable1"/>
        <w:tblW w:w="8505" w:type="dxa"/>
        <w:tblLayout w:type="fixed"/>
        <w:tblLook w:val="04A0" w:firstRow="1" w:lastRow="0" w:firstColumn="1" w:lastColumn="0" w:noHBand="0" w:noVBand="1"/>
      </w:tblPr>
      <w:tblGrid>
        <w:gridCol w:w="2126"/>
        <w:gridCol w:w="2126"/>
        <w:gridCol w:w="2126"/>
        <w:gridCol w:w="2127"/>
      </w:tblGrid>
      <w:tr w:rsidR="008F0453" w:rsidRPr="003C6195" w14:paraId="6CAB40E9" w14:textId="2C6DE80F" w:rsidTr="00597DF9">
        <w:trPr>
          <w:cnfStyle w:val="100000000000" w:firstRow="1" w:lastRow="0" w:firstColumn="0" w:lastColumn="0" w:oddVBand="0" w:evenVBand="0" w:oddHBand="0" w:evenHBand="0" w:firstRowFirstColumn="0" w:firstRowLastColumn="0" w:lastRowFirstColumn="0" w:lastRowLastColumn="0"/>
          <w:trHeight w:val="142"/>
        </w:trPr>
        <w:tc>
          <w:tcPr>
            <w:tcW w:w="2126" w:type="dxa"/>
          </w:tcPr>
          <w:p w14:paraId="51490372" w14:textId="3FE86748" w:rsidR="008F0453" w:rsidRPr="008F0453" w:rsidRDefault="008F0453">
            <w:pPr>
              <w:pStyle w:val="Tableheaderreverse"/>
            </w:pPr>
            <w:r>
              <w:t>Executive classification band 1</w:t>
            </w:r>
          </w:p>
        </w:tc>
        <w:tc>
          <w:tcPr>
            <w:tcW w:w="2126" w:type="dxa"/>
          </w:tcPr>
          <w:p w14:paraId="79161144" w14:textId="644EFEDB" w:rsidR="008F0453" w:rsidRPr="008F0453" w:rsidRDefault="008F0453">
            <w:pPr>
              <w:pStyle w:val="Tableheaderreverse"/>
            </w:pPr>
            <w:r>
              <w:t>Executive classification band 2</w:t>
            </w:r>
          </w:p>
        </w:tc>
        <w:tc>
          <w:tcPr>
            <w:tcW w:w="2126" w:type="dxa"/>
          </w:tcPr>
          <w:p w14:paraId="5EA14A46" w14:textId="5B104027" w:rsidR="008F0453" w:rsidRPr="008F0453" w:rsidRDefault="008F0453">
            <w:pPr>
              <w:pStyle w:val="Tableheaderreverse"/>
            </w:pPr>
            <w:r>
              <w:t>Executive classification band 3</w:t>
            </w:r>
          </w:p>
        </w:tc>
        <w:tc>
          <w:tcPr>
            <w:tcW w:w="2127" w:type="dxa"/>
          </w:tcPr>
          <w:p w14:paraId="0F6C6124" w14:textId="76F280A3" w:rsidR="008F0453" w:rsidRPr="008F0453" w:rsidRDefault="008F0453">
            <w:pPr>
              <w:pStyle w:val="Tableheaderreverse"/>
            </w:pPr>
            <w:r>
              <w:t>Executive classification band 4</w:t>
            </w:r>
          </w:p>
        </w:tc>
      </w:tr>
      <w:tr w:rsidR="00AE5F29" w:rsidRPr="003C6195" w14:paraId="235EAE2C" w14:textId="4BD765D0" w:rsidTr="00597DF9">
        <w:trPr>
          <w:cnfStyle w:val="000000100000" w:firstRow="0" w:lastRow="0" w:firstColumn="0" w:lastColumn="0" w:oddVBand="0" w:evenVBand="0" w:oddHBand="1" w:evenHBand="0" w:firstRowFirstColumn="0" w:firstRowLastColumn="0" w:lastRowFirstColumn="0" w:lastRowLastColumn="0"/>
          <w:trHeight w:val="80"/>
        </w:trPr>
        <w:tc>
          <w:tcPr>
            <w:tcW w:w="2126" w:type="dxa"/>
          </w:tcPr>
          <w:p w14:paraId="00E6108D" w14:textId="6590A4AC" w:rsidR="00AE5F29" w:rsidRPr="00262D58" w:rsidRDefault="00AE5F29" w:rsidP="00AE5F29">
            <w:pPr>
              <w:pStyle w:val="Tablesubheader"/>
              <w:rPr>
                <w:b w:val="0"/>
                <w:bCs/>
                <w:color w:val="auto"/>
                <w:sz w:val="21"/>
                <w:szCs w:val="21"/>
              </w:rPr>
            </w:pPr>
            <w:r w:rsidRPr="00262D58">
              <w:rPr>
                <w:b w:val="0"/>
                <w:bCs/>
                <w:color w:val="auto"/>
                <w:sz w:val="21"/>
                <w:szCs w:val="21"/>
              </w:rPr>
              <w:t>Level 1.1</w:t>
            </w:r>
          </w:p>
        </w:tc>
        <w:tc>
          <w:tcPr>
            <w:tcW w:w="2126" w:type="dxa"/>
          </w:tcPr>
          <w:p w14:paraId="1515A5E6" w14:textId="773B0476" w:rsidR="00AE5F29" w:rsidRPr="00262D58" w:rsidRDefault="00AE5F29" w:rsidP="00AE5F29">
            <w:pPr>
              <w:pStyle w:val="Tablesubheader"/>
              <w:rPr>
                <w:b w:val="0"/>
                <w:bCs/>
                <w:color w:val="auto"/>
                <w:sz w:val="21"/>
                <w:szCs w:val="21"/>
                <w:highlight w:val="yellow"/>
              </w:rPr>
            </w:pPr>
            <w:r w:rsidRPr="00262D58">
              <w:rPr>
                <w:b w:val="0"/>
                <w:bCs/>
                <w:color w:val="auto"/>
                <w:sz w:val="21"/>
                <w:szCs w:val="21"/>
              </w:rPr>
              <w:t>Level 2.1</w:t>
            </w:r>
          </w:p>
        </w:tc>
        <w:tc>
          <w:tcPr>
            <w:tcW w:w="2126" w:type="dxa"/>
          </w:tcPr>
          <w:p w14:paraId="7A8A36A1" w14:textId="1AA7D5A0" w:rsidR="00AE5F29" w:rsidRPr="00262D58" w:rsidRDefault="00AE5F29" w:rsidP="00AE5F29">
            <w:pPr>
              <w:pStyle w:val="Tablesubheader"/>
              <w:rPr>
                <w:b w:val="0"/>
                <w:bCs/>
                <w:color w:val="auto"/>
                <w:sz w:val="21"/>
                <w:szCs w:val="21"/>
                <w:highlight w:val="yellow"/>
              </w:rPr>
            </w:pPr>
            <w:r w:rsidRPr="00262D58">
              <w:rPr>
                <w:b w:val="0"/>
                <w:bCs/>
                <w:color w:val="auto"/>
                <w:sz w:val="21"/>
                <w:szCs w:val="21"/>
              </w:rPr>
              <w:t>Level 3.1</w:t>
            </w:r>
          </w:p>
        </w:tc>
        <w:tc>
          <w:tcPr>
            <w:tcW w:w="2127" w:type="dxa"/>
          </w:tcPr>
          <w:p w14:paraId="2169BE32" w14:textId="3B1E7EBB" w:rsidR="00AE5F29" w:rsidRPr="00262D58" w:rsidRDefault="00AE5F29" w:rsidP="00AE5F29">
            <w:pPr>
              <w:pStyle w:val="Tablesubheader"/>
              <w:rPr>
                <w:color w:val="auto"/>
                <w:highlight w:val="yellow"/>
              </w:rPr>
            </w:pPr>
            <w:r w:rsidRPr="00262D58">
              <w:rPr>
                <w:b w:val="0"/>
                <w:bCs/>
                <w:color w:val="auto"/>
                <w:sz w:val="21"/>
                <w:szCs w:val="21"/>
              </w:rPr>
              <w:t>Level 4.1</w:t>
            </w:r>
          </w:p>
        </w:tc>
      </w:tr>
      <w:tr w:rsidR="00AE5F29" w:rsidRPr="003C6195" w14:paraId="757042A4" w14:textId="70B251A3" w:rsidTr="00597DF9">
        <w:trPr>
          <w:cnfStyle w:val="000000010000" w:firstRow="0" w:lastRow="0" w:firstColumn="0" w:lastColumn="0" w:oddVBand="0" w:evenVBand="0" w:oddHBand="0" w:evenHBand="1" w:firstRowFirstColumn="0" w:firstRowLastColumn="0" w:lastRowFirstColumn="0" w:lastRowLastColumn="0"/>
        </w:trPr>
        <w:tc>
          <w:tcPr>
            <w:tcW w:w="2126" w:type="dxa"/>
          </w:tcPr>
          <w:p w14:paraId="024C8A9B" w14:textId="0F10EB72" w:rsidR="00AE5F29" w:rsidRPr="00262D58" w:rsidRDefault="00AE5F29" w:rsidP="00AE5F29">
            <w:pPr>
              <w:pStyle w:val="Tablebody"/>
              <w:rPr>
                <w:color w:val="auto"/>
              </w:rPr>
            </w:pPr>
            <w:r w:rsidRPr="00262D58">
              <w:rPr>
                <w:color w:val="auto"/>
              </w:rPr>
              <w:t>Level 1.2</w:t>
            </w:r>
          </w:p>
        </w:tc>
        <w:tc>
          <w:tcPr>
            <w:tcW w:w="2126" w:type="dxa"/>
          </w:tcPr>
          <w:p w14:paraId="4D6E0DC3" w14:textId="0D14B8DB" w:rsidR="00AE5F29" w:rsidRPr="00262D58" w:rsidRDefault="00AE5F29" w:rsidP="00AE5F29">
            <w:pPr>
              <w:pStyle w:val="Tablebody"/>
              <w:rPr>
                <w:color w:val="auto"/>
                <w:highlight w:val="yellow"/>
              </w:rPr>
            </w:pPr>
            <w:r w:rsidRPr="00262D58">
              <w:rPr>
                <w:color w:val="auto"/>
              </w:rPr>
              <w:t>Level 2.2</w:t>
            </w:r>
          </w:p>
        </w:tc>
        <w:tc>
          <w:tcPr>
            <w:tcW w:w="2126" w:type="dxa"/>
          </w:tcPr>
          <w:p w14:paraId="1212C730" w14:textId="2E8D092E" w:rsidR="00AE5F29" w:rsidRPr="00262D58" w:rsidRDefault="00AE5F29" w:rsidP="00AE5F29">
            <w:pPr>
              <w:pStyle w:val="Tablebody"/>
              <w:rPr>
                <w:color w:val="auto"/>
                <w:highlight w:val="yellow"/>
              </w:rPr>
            </w:pPr>
            <w:r w:rsidRPr="00262D58">
              <w:rPr>
                <w:color w:val="auto"/>
              </w:rPr>
              <w:t>Level 3.2</w:t>
            </w:r>
          </w:p>
        </w:tc>
        <w:tc>
          <w:tcPr>
            <w:tcW w:w="2127" w:type="dxa"/>
          </w:tcPr>
          <w:p w14:paraId="03F2D361" w14:textId="797EF553" w:rsidR="00AE5F29" w:rsidRPr="00262D58" w:rsidRDefault="00AE5F29" w:rsidP="00AE5F29">
            <w:pPr>
              <w:pStyle w:val="Tablebody"/>
              <w:rPr>
                <w:color w:val="auto"/>
                <w:highlight w:val="yellow"/>
              </w:rPr>
            </w:pPr>
            <w:r w:rsidRPr="00262D58">
              <w:rPr>
                <w:color w:val="auto"/>
              </w:rPr>
              <w:t>Level 4.2</w:t>
            </w:r>
          </w:p>
        </w:tc>
      </w:tr>
      <w:tr w:rsidR="006830C6" w:rsidRPr="003C6195" w14:paraId="238F4529" w14:textId="77777777" w:rsidTr="00597DF9">
        <w:trPr>
          <w:cnfStyle w:val="000000100000" w:firstRow="0" w:lastRow="0" w:firstColumn="0" w:lastColumn="0" w:oddVBand="0" w:evenVBand="0" w:oddHBand="1" w:evenHBand="0" w:firstRowFirstColumn="0" w:firstRowLastColumn="0" w:lastRowFirstColumn="0" w:lastRowLastColumn="0"/>
        </w:trPr>
        <w:tc>
          <w:tcPr>
            <w:tcW w:w="2126" w:type="dxa"/>
          </w:tcPr>
          <w:p w14:paraId="4164CE97" w14:textId="34EB715B" w:rsidR="006830C6" w:rsidRPr="00262D58" w:rsidRDefault="006830C6" w:rsidP="00AE5F29">
            <w:pPr>
              <w:pStyle w:val="Tablebody"/>
              <w:rPr>
                <w:color w:val="auto"/>
              </w:rPr>
            </w:pPr>
            <w:r>
              <w:rPr>
                <w:color w:val="auto"/>
              </w:rPr>
              <w:t>Level 1.3</w:t>
            </w:r>
          </w:p>
        </w:tc>
        <w:tc>
          <w:tcPr>
            <w:tcW w:w="2126" w:type="dxa"/>
          </w:tcPr>
          <w:p w14:paraId="535652F1" w14:textId="100C25A6" w:rsidR="006830C6" w:rsidRPr="00262D58" w:rsidRDefault="006830C6" w:rsidP="00AE5F29">
            <w:pPr>
              <w:pStyle w:val="Tablebody"/>
              <w:rPr>
                <w:color w:val="auto"/>
              </w:rPr>
            </w:pPr>
            <w:r>
              <w:rPr>
                <w:color w:val="auto"/>
              </w:rPr>
              <w:t>Level 2.3</w:t>
            </w:r>
          </w:p>
        </w:tc>
        <w:tc>
          <w:tcPr>
            <w:tcW w:w="2126" w:type="dxa"/>
          </w:tcPr>
          <w:p w14:paraId="31B8CA75" w14:textId="5632F189" w:rsidR="006830C6" w:rsidRPr="00262D58" w:rsidRDefault="00382F03" w:rsidP="00AE5F29">
            <w:pPr>
              <w:pStyle w:val="Tablebody"/>
              <w:rPr>
                <w:color w:val="auto"/>
              </w:rPr>
            </w:pPr>
            <w:r>
              <w:rPr>
                <w:color w:val="auto"/>
              </w:rPr>
              <w:t>Level 3.3</w:t>
            </w:r>
          </w:p>
        </w:tc>
        <w:tc>
          <w:tcPr>
            <w:tcW w:w="2127" w:type="dxa"/>
          </w:tcPr>
          <w:p w14:paraId="193BBB5B" w14:textId="7F8D2198" w:rsidR="006830C6" w:rsidRPr="00262D58" w:rsidRDefault="00382F03" w:rsidP="00AE5F29">
            <w:pPr>
              <w:pStyle w:val="Tablebody"/>
              <w:rPr>
                <w:color w:val="auto"/>
              </w:rPr>
            </w:pPr>
            <w:r>
              <w:rPr>
                <w:color w:val="auto"/>
              </w:rPr>
              <w:t>Level 4.3</w:t>
            </w:r>
          </w:p>
        </w:tc>
      </w:tr>
      <w:tr w:rsidR="006830C6" w:rsidRPr="003C6195" w14:paraId="5CB38581" w14:textId="77777777" w:rsidTr="00597DF9">
        <w:trPr>
          <w:cnfStyle w:val="000000010000" w:firstRow="0" w:lastRow="0" w:firstColumn="0" w:lastColumn="0" w:oddVBand="0" w:evenVBand="0" w:oddHBand="0" w:evenHBand="1" w:firstRowFirstColumn="0" w:firstRowLastColumn="0" w:lastRowFirstColumn="0" w:lastRowLastColumn="0"/>
        </w:trPr>
        <w:tc>
          <w:tcPr>
            <w:tcW w:w="2126" w:type="dxa"/>
          </w:tcPr>
          <w:p w14:paraId="2231822D" w14:textId="7333961C" w:rsidR="006830C6" w:rsidRPr="00262D58" w:rsidRDefault="00382F03" w:rsidP="00AE5F29">
            <w:pPr>
              <w:pStyle w:val="Tablebody"/>
              <w:rPr>
                <w:color w:val="auto"/>
              </w:rPr>
            </w:pPr>
            <w:r>
              <w:rPr>
                <w:color w:val="auto"/>
              </w:rPr>
              <w:t>Level 1.4</w:t>
            </w:r>
          </w:p>
        </w:tc>
        <w:tc>
          <w:tcPr>
            <w:tcW w:w="2126" w:type="dxa"/>
          </w:tcPr>
          <w:p w14:paraId="605BCBE4" w14:textId="16261C6A" w:rsidR="006830C6" w:rsidRPr="00262D58" w:rsidRDefault="00382F03" w:rsidP="00AE5F29">
            <w:pPr>
              <w:pStyle w:val="Tablebody"/>
              <w:rPr>
                <w:color w:val="auto"/>
              </w:rPr>
            </w:pPr>
            <w:r>
              <w:rPr>
                <w:color w:val="auto"/>
              </w:rPr>
              <w:t>Level 2.4</w:t>
            </w:r>
          </w:p>
        </w:tc>
        <w:tc>
          <w:tcPr>
            <w:tcW w:w="2126" w:type="dxa"/>
          </w:tcPr>
          <w:p w14:paraId="3CA9D7F9" w14:textId="091D10FB" w:rsidR="006830C6" w:rsidRPr="00262D58" w:rsidRDefault="00382F03" w:rsidP="00AE5F29">
            <w:pPr>
              <w:pStyle w:val="Tablebody"/>
              <w:rPr>
                <w:color w:val="auto"/>
              </w:rPr>
            </w:pPr>
            <w:r>
              <w:rPr>
                <w:color w:val="auto"/>
              </w:rPr>
              <w:t xml:space="preserve">Level </w:t>
            </w:r>
            <w:r w:rsidR="00597DF9">
              <w:rPr>
                <w:color w:val="auto"/>
              </w:rPr>
              <w:t>3.4</w:t>
            </w:r>
          </w:p>
        </w:tc>
        <w:tc>
          <w:tcPr>
            <w:tcW w:w="2127" w:type="dxa"/>
          </w:tcPr>
          <w:p w14:paraId="5ACF45BF" w14:textId="7C2AEF70" w:rsidR="006830C6" w:rsidRPr="00262D58" w:rsidRDefault="00597DF9" w:rsidP="00AE5F29">
            <w:pPr>
              <w:pStyle w:val="Tablebody"/>
              <w:rPr>
                <w:color w:val="auto"/>
              </w:rPr>
            </w:pPr>
            <w:r>
              <w:rPr>
                <w:color w:val="auto"/>
              </w:rPr>
              <w:t>Level 4.4 (Head of Service)</w:t>
            </w:r>
          </w:p>
        </w:tc>
      </w:tr>
    </w:tbl>
    <w:p w14:paraId="67E4EAA7" w14:textId="776414BE" w:rsidR="00F77EE7" w:rsidRPr="007D4E6D" w:rsidRDefault="00F77EE7" w:rsidP="00F77EE7">
      <w:pPr>
        <w:pStyle w:val="Heading3"/>
      </w:pPr>
      <w:bookmarkStart w:id="27" w:name="_Toc229037524"/>
      <w:bookmarkStart w:id="28" w:name="_Toc233626531"/>
      <w:r>
        <w:t>1.1</w:t>
      </w:r>
      <w:r w:rsidR="00CE4774">
        <w:t>4</w:t>
      </w:r>
      <w:r>
        <w:t xml:space="preserve"> </w:t>
      </w:r>
      <w:r w:rsidR="00E36C05">
        <w:t>Helpful links</w:t>
      </w:r>
      <w:bookmarkEnd w:id="27"/>
      <w:bookmarkEnd w:id="28"/>
      <w:r w:rsidR="00E36C05">
        <w:t xml:space="preserve"> </w:t>
      </w:r>
    </w:p>
    <w:p w14:paraId="08928289" w14:textId="77777777" w:rsidR="00CE4774" w:rsidRPr="00262D58" w:rsidRDefault="00CE4774" w:rsidP="00CE4774">
      <w:pPr>
        <w:spacing w:after="120"/>
      </w:pPr>
      <w:r w:rsidRPr="00262D58">
        <w:t>The following list includes tools to assist Executives:</w:t>
      </w:r>
    </w:p>
    <w:p w14:paraId="77A68102" w14:textId="2D348585" w:rsidR="00CE4774" w:rsidRPr="00B47745" w:rsidRDefault="00CE4774" w:rsidP="00CE4774">
      <w:pPr>
        <w:numPr>
          <w:ilvl w:val="0"/>
          <w:numId w:val="16"/>
        </w:numPr>
        <w:spacing w:before="0" w:after="0"/>
        <w:rPr>
          <w:color w:val="215E99" w:themeColor="text2" w:themeTint="BF"/>
        </w:rPr>
      </w:pPr>
      <w:r w:rsidRPr="00262D58">
        <w:t xml:space="preserve">ACTPS Executive Induction is at </w:t>
      </w:r>
      <w:hyperlink r:id="rId19" w:history="1">
        <w:r w:rsidR="00B47745" w:rsidRPr="00E96241">
          <w:rPr>
            <w:rStyle w:val="Hyperlink"/>
            <w:rFonts w:eastAsiaTheme="majorEastAsia"/>
          </w:rPr>
          <w:t>https://www.cmtedd.act.gov.au/employment-framework/for-executives/actps-executive-induction</w:t>
        </w:r>
      </w:hyperlink>
      <w:r w:rsidRPr="00B47745">
        <w:rPr>
          <w:color w:val="000000" w:themeColor="text1"/>
        </w:rPr>
        <w:t>.</w:t>
      </w:r>
    </w:p>
    <w:p w14:paraId="49B00F41" w14:textId="77777777" w:rsidR="00CE4774" w:rsidRPr="00262D58" w:rsidRDefault="00CE4774" w:rsidP="00CE4774">
      <w:pPr>
        <w:numPr>
          <w:ilvl w:val="0"/>
          <w:numId w:val="16"/>
        </w:numPr>
        <w:spacing w:before="0" w:after="0"/>
      </w:pPr>
      <w:r w:rsidRPr="00262D58">
        <w:t xml:space="preserve">ACTPS Employment Portal at </w:t>
      </w:r>
      <w:hyperlink r:id="rId20" w:history="1">
        <w:r w:rsidRPr="00E96241">
          <w:rPr>
            <w:rStyle w:val="Hyperlink"/>
            <w:rFonts w:eastAsiaTheme="majorEastAsia"/>
          </w:rPr>
          <w:t>https://www.cmtedd.act.gov.au/employment-framework/home</w:t>
        </w:r>
      </w:hyperlink>
      <w:r w:rsidRPr="00262D58">
        <w:t>.</w:t>
      </w:r>
    </w:p>
    <w:p w14:paraId="02460F40" w14:textId="77777777" w:rsidR="00CE4774" w:rsidRPr="00262D58" w:rsidRDefault="00CE4774" w:rsidP="00CE4774">
      <w:pPr>
        <w:numPr>
          <w:ilvl w:val="0"/>
          <w:numId w:val="16"/>
        </w:numPr>
        <w:spacing w:before="0" w:after="0"/>
      </w:pPr>
      <w:r w:rsidRPr="00262D58">
        <w:t xml:space="preserve">Manager Toolkit is accessible at </w:t>
      </w:r>
      <w:hyperlink r:id="rId21" w:history="1">
        <w:r w:rsidRPr="00E96241">
          <w:rPr>
            <w:rStyle w:val="Hyperlink"/>
            <w:rFonts w:eastAsiaTheme="majorEastAsia"/>
          </w:rPr>
          <w:t>https://www.cmtedd.act.gov.au/employment-framework/managers-And-supervisors/managers-toolkit</w:t>
        </w:r>
      </w:hyperlink>
      <w:r w:rsidRPr="00262D58">
        <w:t>.</w:t>
      </w:r>
    </w:p>
    <w:p w14:paraId="54C3CD89" w14:textId="77777777" w:rsidR="00CE4774" w:rsidRPr="00262D58" w:rsidRDefault="00CE4774" w:rsidP="00CE4774">
      <w:pPr>
        <w:numPr>
          <w:ilvl w:val="0"/>
          <w:numId w:val="16"/>
        </w:numPr>
        <w:spacing w:before="0" w:after="0"/>
      </w:pPr>
      <w:r w:rsidRPr="00262D58">
        <w:t xml:space="preserve">Risk Management Tools are available at: </w:t>
      </w:r>
      <w:hyperlink r:id="rId22" w:history="1">
        <w:r w:rsidRPr="00E96241">
          <w:rPr>
            <w:rStyle w:val="Hyperlink"/>
            <w:rFonts w:eastAsiaTheme="majorEastAsia"/>
          </w:rPr>
          <w:t>https://actgovernment.sharepoint.com/sites/extranet-ACTIA/SitePages/Risk-Management-Tools.aspx</w:t>
        </w:r>
      </w:hyperlink>
    </w:p>
    <w:p w14:paraId="76B0DEF4" w14:textId="77777777" w:rsidR="00CE4774" w:rsidRPr="00262D58" w:rsidRDefault="00CE4774" w:rsidP="00CE4774">
      <w:pPr>
        <w:numPr>
          <w:ilvl w:val="0"/>
          <w:numId w:val="16"/>
        </w:numPr>
        <w:spacing w:before="0" w:after="0"/>
      </w:pPr>
      <w:r w:rsidRPr="00262D58">
        <w:t xml:space="preserve">Leave approval is accessible at </w:t>
      </w:r>
      <w:hyperlink r:id="rId23" w:history="1">
        <w:r w:rsidRPr="00E96241">
          <w:rPr>
            <w:rStyle w:val="Hyperlink"/>
            <w:rFonts w:eastAsiaTheme="majorEastAsia"/>
          </w:rPr>
          <w:t>HR21</w:t>
        </w:r>
      </w:hyperlink>
      <w:r w:rsidRPr="00262D58">
        <w:t>.</w:t>
      </w:r>
    </w:p>
    <w:p w14:paraId="7A6633D8" w14:textId="77777777" w:rsidR="00CE4774" w:rsidRPr="00262D58" w:rsidRDefault="00CE4774" w:rsidP="00CE4774">
      <w:pPr>
        <w:numPr>
          <w:ilvl w:val="0"/>
          <w:numId w:val="16"/>
        </w:numPr>
        <w:spacing w:before="0" w:after="0"/>
      </w:pPr>
      <w:r w:rsidRPr="00262D58">
        <w:t xml:space="preserve">Use of ICT and Social Media is accessible at </w:t>
      </w:r>
      <w:hyperlink r:id="rId24" w:history="1">
        <w:r w:rsidRPr="00E96241">
          <w:rPr>
            <w:rStyle w:val="Hyperlink"/>
            <w:rFonts w:eastAsiaTheme="majorEastAsia"/>
          </w:rPr>
          <w:t>Acceptable use of ICT Resources Policy</w:t>
        </w:r>
      </w:hyperlink>
      <w:r w:rsidRPr="00262D58">
        <w:t xml:space="preserve"> and </w:t>
      </w:r>
      <w:hyperlink r:id="rId25" w:history="1">
        <w:r w:rsidRPr="001D0D6A">
          <w:rPr>
            <w:rStyle w:val="Hyperlink"/>
            <w:rFonts w:eastAsiaTheme="majorEastAsia"/>
          </w:rPr>
          <w:t>Social Media Policy Guidelines</w:t>
        </w:r>
      </w:hyperlink>
      <w:r w:rsidRPr="00262D58">
        <w:t xml:space="preserve">. </w:t>
      </w:r>
    </w:p>
    <w:p w14:paraId="3DDFD364" w14:textId="77777777" w:rsidR="00CE4774" w:rsidRPr="00262D58" w:rsidRDefault="00CE4774" w:rsidP="00CE4774">
      <w:pPr>
        <w:pStyle w:val="Header"/>
        <w:rPr>
          <w:szCs w:val="24"/>
        </w:rPr>
      </w:pPr>
    </w:p>
    <w:p w14:paraId="4EBD68C9" w14:textId="77777777" w:rsidR="00CE4774" w:rsidRPr="00262D58" w:rsidRDefault="00CE4774" w:rsidP="00CE4774">
      <w:pPr>
        <w:pStyle w:val="Header"/>
        <w:rPr>
          <w:szCs w:val="24"/>
        </w:rPr>
      </w:pPr>
      <w:r w:rsidRPr="00262D58">
        <w:rPr>
          <w:szCs w:val="24"/>
        </w:rPr>
        <w:t>Any further information you require can be provided by your directorate’s human resources area.</w:t>
      </w:r>
    </w:p>
    <w:p w14:paraId="46577A43" w14:textId="77777777" w:rsidR="00F77EE7" w:rsidRDefault="00F77EE7" w:rsidP="00F77EE7">
      <w:pPr>
        <w:sectPr w:rsidR="00F77EE7" w:rsidSect="00075396">
          <w:footerReference w:type="first" r:id="rId26"/>
          <w:pgSz w:w="11906" w:h="16838"/>
          <w:pgMar w:top="1440" w:right="1961" w:bottom="1440" w:left="1440" w:header="708" w:footer="708" w:gutter="0"/>
          <w:cols w:space="708"/>
          <w:titlePg/>
          <w:docGrid w:linePitch="360"/>
        </w:sectPr>
      </w:pPr>
    </w:p>
    <w:p w14:paraId="173182B4" w14:textId="504B1081" w:rsidR="00F77EE7" w:rsidRPr="00AD3D3C" w:rsidRDefault="00F77EE7" w:rsidP="00AE5F29">
      <w:pPr>
        <w:pStyle w:val="Heading2"/>
        <w:numPr>
          <w:ilvl w:val="0"/>
          <w:numId w:val="17"/>
        </w:numPr>
      </w:pPr>
      <w:bookmarkStart w:id="29" w:name="_Toc229037525"/>
      <w:bookmarkStart w:id="30" w:name="_Toc233626532"/>
      <w:r>
        <w:lastRenderedPageBreak/>
        <w:t>General Conditions of Employment</w:t>
      </w:r>
      <w:bookmarkEnd w:id="29"/>
      <w:bookmarkEnd w:id="30"/>
    </w:p>
    <w:p w14:paraId="1DDBBA1B" w14:textId="7AD1B1EC" w:rsidR="00F77EE7" w:rsidRPr="007D4E6D" w:rsidRDefault="00F77EE7" w:rsidP="00F77EE7">
      <w:pPr>
        <w:pStyle w:val="Heading3"/>
      </w:pPr>
      <w:bookmarkStart w:id="31" w:name="_Toc229037526"/>
      <w:bookmarkStart w:id="32" w:name="_Toc233626533"/>
      <w:r>
        <w:t xml:space="preserve">2.1 </w:t>
      </w:r>
      <w:r w:rsidR="00E36C05">
        <w:t>Remuneration</w:t>
      </w:r>
      <w:bookmarkEnd w:id="31"/>
      <w:bookmarkEnd w:id="32"/>
    </w:p>
    <w:p w14:paraId="5CD77EA7" w14:textId="77777777" w:rsidR="00526BC2" w:rsidRPr="00262D58" w:rsidRDefault="00526BC2" w:rsidP="00526BC2">
      <w:pPr>
        <w:spacing w:after="120"/>
        <w:rPr>
          <w:szCs w:val="24"/>
        </w:rPr>
      </w:pPr>
      <w:r w:rsidRPr="00262D58">
        <w:rPr>
          <w:szCs w:val="24"/>
        </w:rPr>
        <w:t xml:space="preserve">The ACT Remuneration Tribunal (the Tribunal) determines the remuneration for </w:t>
      </w:r>
      <w:r w:rsidRPr="00262D58">
        <w:t>Executives</w:t>
      </w:r>
      <w:r w:rsidRPr="00262D58">
        <w:rPr>
          <w:szCs w:val="24"/>
        </w:rPr>
        <w:t xml:space="preserve">. The Tribunal reviews </w:t>
      </w:r>
      <w:r w:rsidRPr="00262D58">
        <w:t>Executive</w:t>
      </w:r>
      <w:r w:rsidRPr="00262D58">
        <w:rPr>
          <w:szCs w:val="24"/>
        </w:rPr>
        <w:t xml:space="preserve"> remuneration annually, with determinations ordinarily coming into force on 1 July each year. The determinations are available at </w:t>
      </w:r>
      <w:hyperlink r:id="rId27" w:history="1">
        <w:r w:rsidRPr="00E96241">
          <w:rPr>
            <w:rStyle w:val="Hyperlink"/>
            <w:rFonts w:eastAsiaTheme="majorEastAsia"/>
          </w:rPr>
          <w:t>www.remunerationtribunal.act.gov.au/determinations</w:t>
        </w:r>
      </w:hyperlink>
      <w:r w:rsidRPr="00262D58">
        <w:rPr>
          <w:szCs w:val="24"/>
        </w:rPr>
        <w:t>.</w:t>
      </w:r>
    </w:p>
    <w:p w14:paraId="3EB849CF" w14:textId="655B0CCA" w:rsidR="00F77EE7" w:rsidRPr="007D4E6D" w:rsidRDefault="00F77EE7" w:rsidP="00F77EE7">
      <w:pPr>
        <w:pStyle w:val="Heading3"/>
      </w:pPr>
      <w:bookmarkStart w:id="33" w:name="_Toc229037527"/>
      <w:bookmarkStart w:id="34" w:name="_Toc233626534"/>
      <w:r>
        <w:t xml:space="preserve">2.2 </w:t>
      </w:r>
      <w:r w:rsidR="00E36C05">
        <w:t>Additional salary</w:t>
      </w:r>
      <w:bookmarkEnd w:id="33"/>
      <w:bookmarkEnd w:id="34"/>
    </w:p>
    <w:p w14:paraId="056E2F51" w14:textId="60D45B43" w:rsidR="00526BC2" w:rsidRPr="00262D58" w:rsidRDefault="00526BC2" w:rsidP="00526BC2">
      <w:pPr>
        <w:rPr>
          <w:szCs w:val="24"/>
        </w:rPr>
      </w:pPr>
      <w:r w:rsidRPr="00262D58">
        <w:rPr>
          <w:szCs w:val="24"/>
        </w:rPr>
        <w:t>On 23 December 2021, amendments were made to the PSM Standards that removed Executives’ entitlements to an employer-provided vehicle or a payment in lieu of a vehicle. The benefit was replaced with additional salary that is equivalent to the amount the Executive was for</w:t>
      </w:r>
      <w:r w:rsidR="0011708E">
        <w:rPr>
          <w:szCs w:val="24"/>
        </w:rPr>
        <w:t>merly</w:t>
      </w:r>
      <w:r w:rsidRPr="00262D58">
        <w:rPr>
          <w:szCs w:val="24"/>
        </w:rPr>
        <w:t xml:space="preserve"> eligible for payment in lieu of a vehicle. </w:t>
      </w:r>
    </w:p>
    <w:p w14:paraId="4E6BC8E5" w14:textId="77777777" w:rsidR="00526BC2" w:rsidRPr="00262D58" w:rsidRDefault="00526BC2" w:rsidP="00526BC2">
      <w:pPr>
        <w:rPr>
          <w:szCs w:val="24"/>
        </w:rPr>
      </w:pPr>
      <w:r w:rsidRPr="00262D58">
        <w:rPr>
          <w:szCs w:val="24"/>
        </w:rPr>
        <w:t>Following the decision to replace vehicle entitlements with additional salary, the Tribunal determined consequential amendments to remove the related fringe benefit tax payment of $7,500 per year. The amount is incorporated into the remuneration determination of the Tribunal, and no longer separately referenced by the Tribunal.</w:t>
      </w:r>
    </w:p>
    <w:p w14:paraId="5805F526" w14:textId="77777777" w:rsidR="00526BC2" w:rsidRPr="00262D58" w:rsidRDefault="00526BC2" w:rsidP="00526BC2">
      <w:pPr>
        <w:rPr>
          <w:szCs w:val="24"/>
        </w:rPr>
      </w:pPr>
      <w:r w:rsidRPr="00262D58">
        <w:rPr>
          <w:szCs w:val="24"/>
        </w:rPr>
        <w:t xml:space="preserve">Section 52 of the PSM Standards outlines where salary above base salary may apply in certain circumstances. </w:t>
      </w:r>
    </w:p>
    <w:p w14:paraId="3D9B08BE" w14:textId="4FD99ED1" w:rsidR="00F77EE7" w:rsidRPr="007D4E6D" w:rsidRDefault="00F77EE7" w:rsidP="00F77EE7">
      <w:pPr>
        <w:pStyle w:val="Heading3"/>
      </w:pPr>
      <w:bookmarkStart w:id="35" w:name="_Toc229037528"/>
      <w:bookmarkStart w:id="36" w:name="_Toc233626535"/>
      <w:r>
        <w:t xml:space="preserve">2.3 </w:t>
      </w:r>
      <w:r w:rsidR="00E36C05">
        <w:t xml:space="preserve">Allowances and </w:t>
      </w:r>
      <w:r w:rsidR="00B76F6B">
        <w:t>e</w:t>
      </w:r>
      <w:r w:rsidR="00E36C05">
        <w:t xml:space="preserve">mployer </w:t>
      </w:r>
      <w:r w:rsidR="00B76F6B">
        <w:t>p</w:t>
      </w:r>
      <w:r w:rsidR="00E36C05">
        <w:t xml:space="preserve">rovided </w:t>
      </w:r>
      <w:r w:rsidR="00B76F6B">
        <w:t>b</w:t>
      </w:r>
      <w:r w:rsidR="00E36C05">
        <w:t>enefits</w:t>
      </w:r>
      <w:bookmarkEnd w:id="35"/>
      <w:bookmarkEnd w:id="36"/>
      <w:r w:rsidR="00E36C05">
        <w:t xml:space="preserve"> </w:t>
      </w:r>
    </w:p>
    <w:p w14:paraId="7421690C" w14:textId="77777777" w:rsidR="00526BC2" w:rsidRPr="00262D58" w:rsidRDefault="00526BC2" w:rsidP="00526BC2">
      <w:pPr>
        <w:rPr>
          <w:szCs w:val="24"/>
        </w:rPr>
      </w:pPr>
      <w:r w:rsidRPr="00262D58">
        <w:rPr>
          <w:szCs w:val="24"/>
        </w:rPr>
        <w:t>The Tribunal has jurisdiction to determine allowances and other entitlements to the extent that an allowance or entitlement of a particular kind is not paid or granted under a law of the Territory or the Commonwealth.</w:t>
      </w:r>
    </w:p>
    <w:p w14:paraId="519392BF" w14:textId="77777777" w:rsidR="00526BC2" w:rsidRPr="00262D58" w:rsidRDefault="00526BC2" w:rsidP="00526BC2">
      <w:pPr>
        <w:rPr>
          <w:szCs w:val="24"/>
        </w:rPr>
      </w:pPr>
      <w:r w:rsidRPr="00262D58">
        <w:rPr>
          <w:szCs w:val="24"/>
        </w:rPr>
        <w:t>The Tribunal has determined various employer provided benefits and a salary packaging scheme.</w:t>
      </w:r>
    </w:p>
    <w:p w14:paraId="63AB283C" w14:textId="4FC1ED9A" w:rsidR="00F77EE7" w:rsidRPr="007D4E6D" w:rsidRDefault="00F77EE7" w:rsidP="00F77EE7">
      <w:pPr>
        <w:pStyle w:val="Heading3"/>
      </w:pPr>
      <w:bookmarkStart w:id="37" w:name="_Toc229037529"/>
      <w:bookmarkStart w:id="38" w:name="_Toc233626536"/>
      <w:r>
        <w:t xml:space="preserve">2.4 </w:t>
      </w:r>
      <w:r w:rsidR="00E36C05">
        <w:t>Superannuation</w:t>
      </w:r>
      <w:bookmarkEnd w:id="37"/>
      <w:bookmarkEnd w:id="38"/>
    </w:p>
    <w:p w14:paraId="28C0A613" w14:textId="77777777" w:rsidR="00526BC2" w:rsidRPr="00262D58" w:rsidRDefault="00526BC2" w:rsidP="00526BC2">
      <w:pPr>
        <w:rPr>
          <w:szCs w:val="24"/>
        </w:rPr>
      </w:pPr>
      <w:r w:rsidRPr="00262D58">
        <w:rPr>
          <w:szCs w:val="24"/>
        </w:rPr>
        <w:t>For members of the Commonwealth Superannuation Scheme (CSS), the Public Sector Superannuation Scheme (PSS) or Executives with a preserved or deferred benefit in one of these schemes, the employer superannuation contributions will be paid to that scheme.</w:t>
      </w:r>
    </w:p>
    <w:p w14:paraId="53C3BC9D" w14:textId="77777777" w:rsidR="00526BC2" w:rsidRPr="00262D58" w:rsidRDefault="00526BC2" w:rsidP="00526BC2">
      <w:pPr>
        <w:rPr>
          <w:szCs w:val="24"/>
        </w:rPr>
      </w:pPr>
      <w:r w:rsidRPr="00262D58">
        <w:rPr>
          <w:szCs w:val="24"/>
        </w:rPr>
        <w:t>If Executives are not members of CSS or PSS, they may elect to join Aware Super (the default scheme for the ACT Government) or have employer superannuation contributions directed to a superannuation fund nominated by the Executive (choice of fund), provided that the fund complies with all relevant superannuation and taxation legislation.</w:t>
      </w:r>
    </w:p>
    <w:p w14:paraId="6ABAD80B" w14:textId="77777777" w:rsidR="00526BC2" w:rsidRPr="00262D58" w:rsidRDefault="00526BC2" w:rsidP="00526BC2">
      <w:pPr>
        <w:rPr>
          <w:szCs w:val="24"/>
        </w:rPr>
      </w:pPr>
      <w:r w:rsidRPr="00262D58">
        <w:rPr>
          <w:szCs w:val="24"/>
        </w:rPr>
        <w:t xml:space="preserve">In choosing a superannuation fund, it is the </w:t>
      </w:r>
      <w:r w:rsidRPr="00262D58">
        <w:t>Executive</w:t>
      </w:r>
      <w:r w:rsidRPr="00262D58">
        <w:rPr>
          <w:szCs w:val="24"/>
        </w:rPr>
        <w:t>’s responsibility to meet any employee requirements of the fund. E</w:t>
      </w:r>
      <w:r w:rsidRPr="00262D58">
        <w:t>xecutives</w:t>
      </w:r>
      <w:r w:rsidRPr="00262D58">
        <w:rPr>
          <w:szCs w:val="24"/>
        </w:rPr>
        <w:t xml:space="preserve"> may wish to seek independent professional advice in relation to their superannuation before making any arrangements. </w:t>
      </w:r>
    </w:p>
    <w:p w14:paraId="2A720DA4" w14:textId="5A971AA4" w:rsidR="00F77EE7" w:rsidRPr="007D4E6D" w:rsidRDefault="00F77EE7" w:rsidP="00F77EE7">
      <w:pPr>
        <w:pStyle w:val="Heading3"/>
      </w:pPr>
      <w:bookmarkStart w:id="39" w:name="_Toc233626537"/>
      <w:r>
        <w:t xml:space="preserve">2.5 </w:t>
      </w:r>
      <w:r w:rsidR="00E36C05">
        <w:t>Salary packaging</w:t>
      </w:r>
      <w:bookmarkEnd w:id="39"/>
    </w:p>
    <w:p w14:paraId="0CFBDE02" w14:textId="77777777" w:rsidR="00526BC2" w:rsidRPr="00262D58" w:rsidRDefault="00526BC2" w:rsidP="00526BC2">
      <w:pPr>
        <w:rPr>
          <w:szCs w:val="24"/>
        </w:rPr>
      </w:pPr>
      <w:r w:rsidRPr="00262D58">
        <w:t>Executives</w:t>
      </w:r>
      <w:r w:rsidRPr="00262D58">
        <w:rPr>
          <w:szCs w:val="24"/>
        </w:rPr>
        <w:t xml:space="preserve"> may participate in salary packaging arrangements subject to the conditions prescribed in the salary packaging policies and guidelines issued by the Head of Service. Payroll Services administers the salary packaging for all ACTPS staff. </w:t>
      </w:r>
    </w:p>
    <w:p w14:paraId="23FEE45B" w14:textId="77777777" w:rsidR="00526BC2" w:rsidRPr="00262D58" w:rsidRDefault="00526BC2" w:rsidP="00526BC2">
      <w:pPr>
        <w:rPr>
          <w:szCs w:val="24"/>
        </w:rPr>
      </w:pPr>
      <w:r w:rsidRPr="00262D58">
        <w:rPr>
          <w:szCs w:val="24"/>
        </w:rPr>
        <w:lastRenderedPageBreak/>
        <w:t xml:space="preserve">In accordance with the </w:t>
      </w:r>
      <w:bookmarkStart w:id="40" w:name="_Hlk198040292"/>
      <w:r w:rsidRPr="00E96241">
        <w:rPr>
          <w:rStyle w:val="Hyperlink"/>
        </w:rPr>
        <w:fldChar w:fldCharType="begin"/>
      </w:r>
      <w:r w:rsidRPr="00E96241">
        <w:rPr>
          <w:rStyle w:val="Hyperlink"/>
        </w:rPr>
        <w:instrText>HYPERLINK "https://www.cmtedd.act.gov.au/__data/assets/pdf_file/0011/2329481/Salary-Packaging-Policy-October-2023.pdf"</w:instrText>
      </w:r>
      <w:r w:rsidRPr="00E96241">
        <w:rPr>
          <w:rStyle w:val="Hyperlink"/>
        </w:rPr>
      </w:r>
      <w:r w:rsidRPr="00E96241">
        <w:rPr>
          <w:rStyle w:val="Hyperlink"/>
        </w:rPr>
        <w:fldChar w:fldCharType="separate"/>
      </w:r>
      <w:r w:rsidRPr="00E96241">
        <w:rPr>
          <w:rStyle w:val="Hyperlink"/>
          <w:rFonts w:eastAsiaTheme="majorEastAsia"/>
        </w:rPr>
        <w:t>Salary Packaging Policy</w:t>
      </w:r>
      <w:bookmarkEnd w:id="40"/>
      <w:r w:rsidRPr="00E96241">
        <w:rPr>
          <w:rStyle w:val="Hyperlink"/>
        </w:rPr>
        <w:fldChar w:fldCharType="end"/>
      </w:r>
      <w:r w:rsidRPr="00262D58">
        <w:rPr>
          <w:szCs w:val="24"/>
        </w:rPr>
        <w:t xml:space="preserve"> and </w:t>
      </w:r>
      <w:hyperlink r:id="rId28" w:history="1">
        <w:r w:rsidRPr="00E96241">
          <w:rPr>
            <w:rStyle w:val="Hyperlink"/>
            <w:rFonts w:eastAsiaTheme="majorEastAsia"/>
          </w:rPr>
          <w:t>Salary Packaging Manual</w:t>
        </w:r>
      </w:hyperlink>
      <w:r w:rsidRPr="00262D58">
        <w:rPr>
          <w:szCs w:val="24"/>
        </w:rPr>
        <w:t xml:space="preserve">, </w:t>
      </w:r>
      <w:r w:rsidRPr="00262D58">
        <w:t>Executives</w:t>
      </w:r>
      <w:r w:rsidRPr="00262D58">
        <w:rPr>
          <w:szCs w:val="24"/>
        </w:rPr>
        <w:t xml:space="preserve"> are strongly encouraged to obtain independent financial advice before participating in the salary packaging scheme. Information about the scheme may be obtained from the relevant directorate’s Human Resources area or from the Payroll Services salary packaging team at </w:t>
      </w:r>
      <w:hyperlink r:id="rId29" w:history="1">
        <w:r w:rsidRPr="00E96241">
          <w:rPr>
            <w:rStyle w:val="Hyperlink"/>
            <w:rFonts w:eastAsiaTheme="majorEastAsia"/>
          </w:rPr>
          <w:t>salarypackaging@act.gov.au</w:t>
        </w:r>
      </w:hyperlink>
      <w:r w:rsidRPr="00262D58">
        <w:rPr>
          <w:szCs w:val="24"/>
        </w:rPr>
        <w:t>.</w:t>
      </w:r>
    </w:p>
    <w:p w14:paraId="3DAD03B4" w14:textId="055DBBE4" w:rsidR="00F77EE7" w:rsidRPr="007D4E6D" w:rsidRDefault="00F77EE7" w:rsidP="00F77EE7">
      <w:pPr>
        <w:pStyle w:val="Heading3"/>
      </w:pPr>
      <w:bookmarkStart w:id="41" w:name="_Toc233626538"/>
      <w:r>
        <w:t xml:space="preserve">2.6 </w:t>
      </w:r>
      <w:r w:rsidR="00E36C05">
        <w:t>Relocation costs</w:t>
      </w:r>
      <w:bookmarkEnd w:id="41"/>
    </w:p>
    <w:p w14:paraId="172F9BCB" w14:textId="77777777" w:rsidR="00526BC2" w:rsidRPr="00262D58" w:rsidRDefault="00526BC2" w:rsidP="00526BC2">
      <w:pPr>
        <w:rPr>
          <w:szCs w:val="24"/>
        </w:rPr>
      </w:pPr>
      <w:r w:rsidRPr="00262D58">
        <w:rPr>
          <w:szCs w:val="24"/>
        </w:rPr>
        <w:t xml:space="preserve">If an </w:t>
      </w:r>
      <w:r w:rsidRPr="00262D58">
        <w:t>Executive</w:t>
      </w:r>
      <w:r w:rsidRPr="00262D58">
        <w:rPr>
          <w:szCs w:val="24"/>
        </w:rPr>
        <w:t xml:space="preserve"> is recruited from outside the ACT, whether on a long-term or short-term contract, and moves to the ACT or the surrounding area to take up employment, the </w:t>
      </w:r>
      <w:r w:rsidRPr="00262D58">
        <w:t xml:space="preserve">Executive </w:t>
      </w:r>
      <w:r w:rsidRPr="00262D58">
        <w:rPr>
          <w:szCs w:val="24"/>
        </w:rPr>
        <w:t xml:space="preserve">may be entitled to an allowance to </w:t>
      </w:r>
      <w:r w:rsidRPr="00262D58">
        <w:rPr>
          <w:b/>
          <w:bCs w:val="0"/>
          <w:szCs w:val="24"/>
        </w:rPr>
        <w:t>assist</w:t>
      </w:r>
      <w:r w:rsidRPr="00262D58">
        <w:rPr>
          <w:szCs w:val="24"/>
        </w:rPr>
        <w:t xml:space="preserve"> in the payment of </w:t>
      </w:r>
      <w:r w:rsidRPr="00262D58">
        <w:rPr>
          <w:b/>
          <w:bCs w:val="0"/>
          <w:szCs w:val="24"/>
        </w:rPr>
        <w:t>some</w:t>
      </w:r>
      <w:r w:rsidRPr="00262D58">
        <w:rPr>
          <w:szCs w:val="24"/>
        </w:rPr>
        <w:t xml:space="preserve"> of the costs associated with the move.</w:t>
      </w:r>
    </w:p>
    <w:p w14:paraId="608522BB" w14:textId="77777777" w:rsidR="00526BC2" w:rsidRPr="00262D58" w:rsidRDefault="00526BC2" w:rsidP="00526BC2">
      <w:pPr>
        <w:rPr>
          <w:szCs w:val="24"/>
        </w:rPr>
      </w:pPr>
      <w:r w:rsidRPr="00262D58">
        <w:rPr>
          <w:szCs w:val="24"/>
        </w:rPr>
        <w:t xml:space="preserve">The allowance is in the form of reimbursement of expenses on production of receipts or other acceptable evidence of expenditure. It includes reasonable removal costs and costs of travel, accommodation, and meals. </w:t>
      </w:r>
    </w:p>
    <w:p w14:paraId="7AB0D33F" w14:textId="77777777" w:rsidR="00526BC2" w:rsidRPr="00262D58" w:rsidRDefault="00526BC2" w:rsidP="00526BC2">
      <w:pPr>
        <w:rPr>
          <w:szCs w:val="24"/>
        </w:rPr>
      </w:pPr>
      <w:r w:rsidRPr="00262D58">
        <w:rPr>
          <w:szCs w:val="24"/>
        </w:rPr>
        <w:t xml:space="preserve">The ACT Remuneration Tribunal determines relocation provisions, including the maximum amount to be reimbursed to </w:t>
      </w:r>
      <w:r w:rsidRPr="00262D58">
        <w:t>Executives</w:t>
      </w:r>
      <w:r w:rsidRPr="00262D58">
        <w:rPr>
          <w:szCs w:val="24"/>
        </w:rPr>
        <w:t xml:space="preserve"> and the type of costs that may be reimbursed. </w:t>
      </w:r>
      <w:r w:rsidRPr="00262D58">
        <w:t>Executives</w:t>
      </w:r>
      <w:r w:rsidRPr="00262D58">
        <w:rPr>
          <w:szCs w:val="24"/>
        </w:rPr>
        <w:t xml:space="preserve"> should refer to the latest Tribunal determinations and contact their directorate executive contact officer to confirm their entitlements and to make arrangements to claim them. The determinations are available at </w:t>
      </w:r>
      <w:hyperlink r:id="rId30" w:history="1">
        <w:r w:rsidRPr="00E96241">
          <w:rPr>
            <w:rStyle w:val="Hyperlink"/>
            <w:rFonts w:eastAsiaTheme="majorEastAsia"/>
          </w:rPr>
          <w:t>www.remunerationtribunal.act.gov.au/determinations</w:t>
        </w:r>
      </w:hyperlink>
      <w:r w:rsidRPr="00262D58">
        <w:rPr>
          <w:szCs w:val="24"/>
        </w:rPr>
        <w:t>.</w:t>
      </w:r>
    </w:p>
    <w:p w14:paraId="4452C91C" w14:textId="08F7A91A" w:rsidR="00F77EE7" w:rsidRPr="007D4E6D" w:rsidRDefault="00F77EE7" w:rsidP="00F77EE7">
      <w:pPr>
        <w:pStyle w:val="Heading3"/>
      </w:pPr>
      <w:bookmarkStart w:id="42" w:name="_Toc233626539"/>
      <w:r>
        <w:t xml:space="preserve">2.7 </w:t>
      </w:r>
      <w:r w:rsidR="00E36C05">
        <w:t>Leave</w:t>
      </w:r>
      <w:bookmarkEnd w:id="42"/>
    </w:p>
    <w:p w14:paraId="33AEDE48" w14:textId="59F36085" w:rsidR="00526BC2" w:rsidRPr="00262D58" w:rsidRDefault="00526BC2" w:rsidP="00526BC2">
      <w:pPr>
        <w:rPr>
          <w:szCs w:val="24"/>
        </w:rPr>
      </w:pPr>
      <w:r w:rsidRPr="00262D58">
        <w:rPr>
          <w:szCs w:val="24"/>
        </w:rPr>
        <w:t xml:space="preserve">Section 63 of the PSM Standards provides that the leave entitlements for </w:t>
      </w:r>
      <w:r w:rsidRPr="00262D58">
        <w:t>Executives</w:t>
      </w:r>
      <w:r w:rsidRPr="00262D58">
        <w:rPr>
          <w:szCs w:val="24"/>
        </w:rPr>
        <w:t xml:space="preserve"> are the same as for non-Executives as provided in the current ACT Public Service Administrative and Related Classifications Enterprise Agreement (EA)</w:t>
      </w:r>
      <w:r w:rsidRPr="00262D58">
        <w:rPr>
          <w:rStyle w:val="FootnoteReference"/>
          <w:rFonts w:eastAsiaTheme="majorEastAsia"/>
          <w:szCs w:val="24"/>
        </w:rPr>
        <w:footnoteReference w:id="6"/>
      </w:r>
      <w:r w:rsidRPr="00262D58">
        <w:rPr>
          <w:szCs w:val="24"/>
        </w:rPr>
        <w:t>. It is recommended Executives familiarise themselves with the leave entitlements in the EA.</w:t>
      </w:r>
    </w:p>
    <w:p w14:paraId="56923038" w14:textId="77777777" w:rsidR="00526BC2" w:rsidRPr="00262D58" w:rsidRDefault="00526BC2" w:rsidP="00526BC2">
      <w:pPr>
        <w:rPr>
          <w:szCs w:val="24"/>
        </w:rPr>
      </w:pPr>
      <w:r w:rsidRPr="00262D58">
        <w:t>Executives</w:t>
      </w:r>
      <w:r w:rsidRPr="00262D58">
        <w:rPr>
          <w:szCs w:val="24"/>
        </w:rPr>
        <w:t xml:space="preserve"> should apply to the Head of Service (or delegate) for leave. Approved leave needs to be entered into the HR21 system. Directors</w:t>
      </w:r>
      <w:r w:rsidRPr="00262D58">
        <w:rPr>
          <w:szCs w:val="24"/>
        </w:rPr>
        <w:noBreakHyphen/>
        <w:t>general should notify their relevant minister(s) of their intention to take leave before applying for leave.</w:t>
      </w:r>
    </w:p>
    <w:p w14:paraId="50F49EB3" w14:textId="77777777" w:rsidR="00526BC2" w:rsidRPr="00262D58" w:rsidRDefault="00526BC2" w:rsidP="00526BC2">
      <w:pPr>
        <w:rPr>
          <w:szCs w:val="24"/>
        </w:rPr>
      </w:pPr>
      <w:r w:rsidRPr="00262D58">
        <w:rPr>
          <w:szCs w:val="24"/>
        </w:rPr>
        <w:t>It should be noted that any period of leave does not extend the contract end date.</w:t>
      </w:r>
    </w:p>
    <w:p w14:paraId="27444278" w14:textId="77777777" w:rsidR="00F77EE7" w:rsidRDefault="00F77EE7" w:rsidP="00F77EE7">
      <w:pPr>
        <w:sectPr w:rsidR="00F77EE7" w:rsidSect="00075396">
          <w:pgSz w:w="11906" w:h="16838"/>
          <w:pgMar w:top="1440" w:right="1961" w:bottom="1440" w:left="1440" w:header="708" w:footer="708" w:gutter="0"/>
          <w:cols w:space="708"/>
          <w:titlePg/>
          <w:docGrid w:linePitch="360"/>
        </w:sectPr>
      </w:pPr>
    </w:p>
    <w:p w14:paraId="54B558CC" w14:textId="682A4DBC" w:rsidR="00F77EE7" w:rsidRPr="00AD3D3C" w:rsidRDefault="00F77EE7" w:rsidP="00AE5F29">
      <w:pPr>
        <w:pStyle w:val="Heading2"/>
        <w:numPr>
          <w:ilvl w:val="0"/>
          <w:numId w:val="17"/>
        </w:numPr>
      </w:pPr>
      <w:bookmarkStart w:id="43" w:name="_Toc233626540"/>
      <w:r>
        <w:lastRenderedPageBreak/>
        <w:t>General Obligations</w:t>
      </w:r>
      <w:bookmarkEnd w:id="43"/>
    </w:p>
    <w:p w14:paraId="77197F9F" w14:textId="356BD120" w:rsidR="00F77EE7" w:rsidRPr="007D4E6D" w:rsidRDefault="00F77EE7" w:rsidP="00F77EE7">
      <w:pPr>
        <w:pStyle w:val="Heading3"/>
      </w:pPr>
      <w:bookmarkStart w:id="44" w:name="_Toc233626541"/>
      <w:r>
        <w:t xml:space="preserve">3.1 </w:t>
      </w:r>
      <w:r w:rsidR="00E36C05">
        <w:t>Values, principles, and conduct</w:t>
      </w:r>
      <w:bookmarkEnd w:id="44"/>
    </w:p>
    <w:p w14:paraId="4314D731" w14:textId="224CB3A2" w:rsidR="00526BC2" w:rsidRPr="00262D58" w:rsidRDefault="00526BC2" w:rsidP="00526BC2">
      <w:pPr>
        <w:rPr>
          <w:szCs w:val="24"/>
        </w:rPr>
      </w:pPr>
      <w:r w:rsidRPr="00262D58">
        <w:rPr>
          <w:szCs w:val="24"/>
        </w:rPr>
        <w:t xml:space="preserve">In performing their duties, all ACTPS employees - including </w:t>
      </w:r>
      <w:r w:rsidRPr="00262D58">
        <w:t xml:space="preserve">Executives - </w:t>
      </w:r>
      <w:r w:rsidRPr="00262D58">
        <w:rPr>
          <w:szCs w:val="24"/>
        </w:rPr>
        <w:t xml:space="preserve">must comply with the public sector values, principles and conduct set out in the PSM Act. </w:t>
      </w:r>
    </w:p>
    <w:p w14:paraId="119059D5" w14:textId="77777777" w:rsidR="00526BC2" w:rsidRPr="00262D58" w:rsidRDefault="00526BC2" w:rsidP="00526BC2">
      <w:pPr>
        <w:rPr>
          <w:szCs w:val="24"/>
        </w:rPr>
      </w:pPr>
      <w:r w:rsidRPr="00262D58">
        <w:rPr>
          <w:szCs w:val="24"/>
        </w:rPr>
        <w:t xml:space="preserve">Section 7 of the PSM Act sets out the public sector values: Respect, Integrity, Collaboration, and Innovation. </w:t>
      </w:r>
    </w:p>
    <w:p w14:paraId="5B7A9A65" w14:textId="5487ACF7" w:rsidR="00526BC2" w:rsidRDefault="00526BC2" w:rsidP="00526BC2">
      <w:pPr>
        <w:rPr>
          <w:szCs w:val="24"/>
        </w:rPr>
      </w:pPr>
      <w:r w:rsidRPr="00262D58">
        <w:rPr>
          <w:szCs w:val="24"/>
        </w:rPr>
        <w:t xml:space="preserve">Section 8 of the PSM Act provides that </w:t>
      </w:r>
      <w:r w:rsidRPr="00262D58">
        <w:t>Executives</w:t>
      </w:r>
      <w:r w:rsidRPr="00262D58">
        <w:rPr>
          <w:szCs w:val="24"/>
        </w:rPr>
        <w:t xml:space="preserve"> must do their job in accordance with the </w:t>
      </w:r>
      <w:r w:rsidRPr="005D4097">
        <w:rPr>
          <w:szCs w:val="24"/>
        </w:rPr>
        <w:t>best practice principle, the merit and equity principle,</w:t>
      </w:r>
      <w:r w:rsidR="000C50EA">
        <w:rPr>
          <w:szCs w:val="24"/>
        </w:rPr>
        <w:t xml:space="preserve"> </w:t>
      </w:r>
      <w:r w:rsidR="000C50EA" w:rsidRPr="005D4097">
        <w:rPr>
          <w:szCs w:val="24"/>
        </w:rPr>
        <w:t>and the closing the gap principle</w:t>
      </w:r>
      <w:r w:rsidRPr="005D4097">
        <w:rPr>
          <w:szCs w:val="24"/>
        </w:rPr>
        <w:t>.</w:t>
      </w:r>
      <w:r w:rsidRPr="00262D58">
        <w:rPr>
          <w:szCs w:val="24"/>
        </w:rPr>
        <w:t xml:space="preserve"> </w:t>
      </w:r>
    </w:p>
    <w:p w14:paraId="42512BE6" w14:textId="77777777" w:rsidR="003E15C6" w:rsidRPr="00262D58" w:rsidRDefault="003E15C6" w:rsidP="003E15C6">
      <w:pPr>
        <w:rPr>
          <w:szCs w:val="24"/>
        </w:rPr>
      </w:pPr>
      <w:r>
        <w:rPr>
          <w:szCs w:val="24"/>
        </w:rPr>
        <w:t xml:space="preserve">Further information about the merit and equity principle is available in the ACTPS Recruitment Policy and Guidelines: </w:t>
      </w:r>
      <w:hyperlink r:id="rId31" w:history="1">
        <w:r w:rsidRPr="00142F0A">
          <w:rPr>
            <w:rStyle w:val="Hyperlink"/>
            <w:szCs w:val="24"/>
          </w:rPr>
          <w:t>https://www.cmtedd.act.gov.au/__data/assets/pdf_file/0009/1758141/ACTPS-Recruitment-Policy-and-Guidelines.pdf</w:t>
        </w:r>
      </w:hyperlink>
      <w:r>
        <w:rPr>
          <w:szCs w:val="24"/>
        </w:rPr>
        <w:t>.</w:t>
      </w:r>
    </w:p>
    <w:p w14:paraId="70265CDB" w14:textId="04C1C08B" w:rsidR="00526BC2" w:rsidRPr="003E15C6" w:rsidRDefault="00A87320" w:rsidP="003E15C6">
      <w:pPr>
        <w:rPr>
          <w:rStyle w:val="Hyperlink"/>
        </w:rPr>
      </w:pPr>
      <w:r>
        <w:rPr>
          <w:szCs w:val="24"/>
        </w:rPr>
        <w:t xml:space="preserve">Further information about the closing the gap principle is available here: </w:t>
      </w:r>
      <w:hyperlink r:id="rId32" w:history="1">
        <w:r w:rsidR="00A343F3" w:rsidRPr="003E15C6">
          <w:rPr>
            <w:rStyle w:val="Hyperlink"/>
          </w:rPr>
          <w:t>https://actgovernment.sharepoint.com/sites/intranet-ClosingTheGapCulturalCapability</w:t>
        </w:r>
      </w:hyperlink>
      <w:r w:rsidR="00A343F3" w:rsidRPr="003E15C6">
        <w:rPr>
          <w:rStyle w:val="Hyperlink"/>
        </w:rPr>
        <w:t xml:space="preserve">. </w:t>
      </w:r>
    </w:p>
    <w:p w14:paraId="5B11ABDB" w14:textId="77777777" w:rsidR="000C50EA" w:rsidRPr="00262D58" w:rsidRDefault="000C50EA" w:rsidP="000C50EA">
      <w:pPr>
        <w:rPr>
          <w:szCs w:val="24"/>
        </w:rPr>
      </w:pPr>
      <w:r w:rsidRPr="00710884">
        <w:rPr>
          <w:rStyle w:val="Hyperlink"/>
          <w:color w:val="auto"/>
          <w:u w:val="none"/>
        </w:rPr>
        <w:t>Senior Executive Service members should be familiar with Ngunnawal knowledge systems, governance</w:t>
      </w:r>
      <w:r w:rsidRPr="00710884">
        <w:rPr>
          <w:szCs w:val="24"/>
        </w:rPr>
        <w:t xml:space="preserve"> </w:t>
      </w:r>
      <w:r w:rsidRPr="006E3BD7">
        <w:rPr>
          <w:szCs w:val="24"/>
        </w:rPr>
        <w:t xml:space="preserve">structures and lived experience as central to good public administration, as well as the </w:t>
      </w:r>
      <w:hyperlink r:id="rId33" w:history="1">
        <w:r w:rsidRPr="006E3BD7">
          <w:rPr>
            <w:rStyle w:val="Hyperlink"/>
            <w:szCs w:val="24"/>
          </w:rPr>
          <w:t>ACT Aboriginal and Torres Strait Islander Agreement 2019-2028</w:t>
        </w:r>
      </w:hyperlink>
      <w:r w:rsidRPr="006E3BD7">
        <w:t xml:space="preserve"> and the </w:t>
      </w:r>
      <w:hyperlink r:id="rId34" w:history="1">
        <w:r w:rsidRPr="00007DCD">
          <w:rPr>
            <w:rStyle w:val="Hyperlink"/>
          </w:rPr>
          <w:t>National Closing the Gap Agreement</w:t>
        </w:r>
      </w:hyperlink>
      <w:r w:rsidRPr="00007DCD">
        <w:rPr>
          <w:szCs w:val="24"/>
        </w:rPr>
        <w:t>.</w:t>
      </w:r>
    </w:p>
    <w:p w14:paraId="68A114AB" w14:textId="42563114" w:rsidR="00526BC2" w:rsidRPr="00262D58" w:rsidRDefault="00526BC2" w:rsidP="00526BC2">
      <w:pPr>
        <w:rPr>
          <w:szCs w:val="24"/>
        </w:rPr>
      </w:pPr>
      <w:r w:rsidRPr="00262D58">
        <w:rPr>
          <w:szCs w:val="24"/>
        </w:rPr>
        <w:t xml:space="preserve">Section 9 of the PSM Act sets out the conduct requirements to which </w:t>
      </w:r>
      <w:r w:rsidRPr="00262D58">
        <w:t>Executives</w:t>
      </w:r>
      <w:r w:rsidRPr="00262D58">
        <w:rPr>
          <w:szCs w:val="24"/>
        </w:rPr>
        <w:t xml:space="preserve"> must adhere. </w:t>
      </w:r>
      <w:r w:rsidR="000C50EA" w:rsidRPr="00262D58">
        <w:rPr>
          <w:szCs w:val="24"/>
        </w:rPr>
        <w:t xml:space="preserve">In this section, </w:t>
      </w:r>
      <w:r w:rsidR="000C50EA">
        <w:rPr>
          <w:szCs w:val="24"/>
        </w:rPr>
        <w:t>from</w:t>
      </w:r>
      <w:r w:rsidR="000C50EA" w:rsidRPr="00262D58">
        <w:rPr>
          <w:szCs w:val="24"/>
        </w:rPr>
        <w:t xml:space="preserve"> 1 July 2026</w:t>
      </w:r>
      <w:r w:rsidR="000C50EA">
        <w:rPr>
          <w:szCs w:val="24"/>
        </w:rPr>
        <w:t>,</w:t>
      </w:r>
      <w:r w:rsidR="000C50EA" w:rsidRPr="00262D58">
        <w:rPr>
          <w:szCs w:val="24"/>
        </w:rPr>
        <w:t xml:space="preserve"> failing to act in a way that is consistent with the </w:t>
      </w:r>
      <w:r w:rsidR="000C50EA" w:rsidRPr="00262D58">
        <w:rPr>
          <w:i/>
          <w:iCs w:val="0"/>
          <w:szCs w:val="24"/>
        </w:rPr>
        <w:t>closing the gap principle</w:t>
      </w:r>
      <w:r w:rsidR="000C50EA" w:rsidRPr="00262D58">
        <w:rPr>
          <w:szCs w:val="24"/>
        </w:rPr>
        <w:t xml:space="preserve"> may be</w:t>
      </w:r>
      <w:r w:rsidR="000C50EA">
        <w:rPr>
          <w:szCs w:val="24"/>
        </w:rPr>
        <w:t xml:space="preserve"> considered</w:t>
      </w:r>
      <w:r w:rsidR="000C50EA" w:rsidRPr="00262D58">
        <w:rPr>
          <w:szCs w:val="24"/>
        </w:rPr>
        <w:t xml:space="preserve"> misconduct. A breach of section 9 of the PSM Act may constitute grounds for suspension or termination of employment (see Part 5 of PSM Standards and part 5 of this Handbook for further information). </w:t>
      </w:r>
    </w:p>
    <w:p w14:paraId="2D7AEB3D" w14:textId="731738E1" w:rsidR="00526BC2" w:rsidRPr="00262D58" w:rsidRDefault="00526BC2" w:rsidP="00526BC2">
      <w:pPr>
        <w:rPr>
          <w:szCs w:val="24"/>
        </w:rPr>
      </w:pPr>
      <w:r w:rsidRPr="00262D58">
        <w:rPr>
          <w:szCs w:val="24"/>
        </w:rPr>
        <w:t xml:space="preserve">The ACTPS Code of Conduct </w:t>
      </w:r>
      <w:r w:rsidR="000C50EA">
        <w:rPr>
          <w:szCs w:val="24"/>
        </w:rPr>
        <w:t>provides further guidance on an SES member’s obligations under</w:t>
      </w:r>
      <w:r w:rsidR="00952909">
        <w:rPr>
          <w:szCs w:val="24"/>
        </w:rPr>
        <w:t xml:space="preserve"> </w:t>
      </w:r>
      <w:r w:rsidRPr="00262D58">
        <w:rPr>
          <w:szCs w:val="24"/>
        </w:rPr>
        <w:t>section</w:t>
      </w:r>
      <w:r w:rsidR="000C50EA">
        <w:rPr>
          <w:szCs w:val="24"/>
        </w:rPr>
        <w:t>s</w:t>
      </w:r>
      <w:r w:rsidRPr="00262D58">
        <w:rPr>
          <w:szCs w:val="24"/>
        </w:rPr>
        <w:t xml:space="preserve"> 7, 8 and 9 of the PSM Act.</w:t>
      </w:r>
    </w:p>
    <w:p w14:paraId="20DF6F73" w14:textId="081494CA" w:rsidR="00F77EE7" w:rsidRPr="007D4E6D" w:rsidRDefault="00F77EE7" w:rsidP="00F77EE7">
      <w:pPr>
        <w:pStyle w:val="Heading3"/>
      </w:pPr>
      <w:bookmarkStart w:id="45" w:name="_Toc233626542"/>
      <w:r>
        <w:t xml:space="preserve">3.2 </w:t>
      </w:r>
      <w:r w:rsidR="00E36C05">
        <w:t>Executive capabilities</w:t>
      </w:r>
      <w:bookmarkEnd w:id="45"/>
    </w:p>
    <w:p w14:paraId="2B0F1DE5" w14:textId="77777777" w:rsidR="00526BC2" w:rsidRPr="00262D58" w:rsidRDefault="00526BC2" w:rsidP="00526BC2">
      <w:pPr>
        <w:rPr>
          <w:szCs w:val="24"/>
        </w:rPr>
      </w:pPr>
      <w:r w:rsidRPr="00262D58">
        <w:rPr>
          <w:szCs w:val="24"/>
        </w:rPr>
        <w:t>The ACTPS Shared Capability Framework (the Capability Framework) has been developed to describe the skills, knowledge and behaviour that can universally be expected of every ACT public servant at different organisational levels in every workplace across the service.</w:t>
      </w:r>
    </w:p>
    <w:p w14:paraId="15DF2853" w14:textId="77777777" w:rsidR="00526BC2" w:rsidRPr="00262D58" w:rsidRDefault="00526BC2" w:rsidP="00526BC2">
      <w:pPr>
        <w:rPr>
          <w:szCs w:val="24"/>
        </w:rPr>
      </w:pPr>
      <w:r w:rsidRPr="00262D58">
        <w:rPr>
          <w:szCs w:val="24"/>
        </w:rPr>
        <w:t xml:space="preserve">Executive Capabilities are incorporated into the ACTPS Shared Capability Framework to drive realisation of strategic priorities, organisational outcomes, and stewardship of the service. The Executive Capabilities can be found on the ACT Government website at </w:t>
      </w:r>
      <w:hyperlink r:id="rId35" w:history="1">
        <w:r w:rsidRPr="00E96241">
          <w:rPr>
            <w:rStyle w:val="Hyperlink"/>
            <w:rFonts w:eastAsiaTheme="majorEastAsia"/>
          </w:rPr>
          <w:t>https://www.cmtedd.act.gov.au/employment-framework/performance-framework/actps-shared-capability</w:t>
        </w:r>
      </w:hyperlink>
      <w:r w:rsidRPr="00262D58">
        <w:rPr>
          <w:szCs w:val="24"/>
        </w:rPr>
        <w:t xml:space="preserve">. </w:t>
      </w:r>
    </w:p>
    <w:p w14:paraId="7DDF919D" w14:textId="46E414D2" w:rsidR="00F77EE7" w:rsidRPr="007D4E6D" w:rsidRDefault="00F77EE7" w:rsidP="00F77EE7">
      <w:pPr>
        <w:pStyle w:val="Heading3"/>
      </w:pPr>
      <w:bookmarkStart w:id="46" w:name="_Toc233626543"/>
      <w:r>
        <w:t xml:space="preserve">3.3 </w:t>
      </w:r>
      <w:r w:rsidR="00E36C05">
        <w:t xml:space="preserve">Performance </w:t>
      </w:r>
      <w:r w:rsidR="00B76F6B">
        <w:t>m</w:t>
      </w:r>
      <w:r w:rsidR="00E36C05">
        <w:t>anagement</w:t>
      </w:r>
      <w:bookmarkEnd w:id="46"/>
    </w:p>
    <w:p w14:paraId="5BE2F6DC" w14:textId="77777777" w:rsidR="00526BC2" w:rsidRPr="00262D58" w:rsidRDefault="00526BC2" w:rsidP="00526BC2">
      <w:pPr>
        <w:rPr>
          <w:szCs w:val="24"/>
        </w:rPr>
      </w:pPr>
      <w:r w:rsidRPr="00262D58">
        <w:rPr>
          <w:szCs w:val="24"/>
        </w:rPr>
        <w:t xml:space="preserve">It is a requirement of section 44 of the PSM Standards that within 3 months of their engagement, an Executive must give the engager a draft performance agreement setting out the Executive’s performance expectations. The engager must approve the performance agreement or, after consulting with the Executive, amend and approve the performance agreement. The performance agreement is useful in monitoring the performance and progress of government business and is an essential component in the process for improving </w:t>
      </w:r>
      <w:r w:rsidRPr="00262D58">
        <w:rPr>
          <w:szCs w:val="24"/>
        </w:rPr>
        <w:lastRenderedPageBreak/>
        <w:t xml:space="preserve">performance and accountability in the Service. A performance agreement is specifically developed to assist in the assessment of how </w:t>
      </w:r>
      <w:r w:rsidRPr="00262D58">
        <w:t>Executives</w:t>
      </w:r>
      <w:r w:rsidRPr="00262D58">
        <w:rPr>
          <w:szCs w:val="24"/>
        </w:rPr>
        <w:t xml:space="preserve"> have met their performance expectations, delivered legal obligations and how they have performed against the ACTPS values, principles, and conduct included in the PSM Act. It also assists in the assessment of their performance in their role and provides an opportunity to better understand an Executive’s achievements against strategic priorities and organisational plans.</w:t>
      </w:r>
    </w:p>
    <w:p w14:paraId="079D5265" w14:textId="77777777" w:rsidR="00526BC2" w:rsidRPr="00262D58" w:rsidRDefault="00526BC2" w:rsidP="00526BC2">
      <w:pPr>
        <w:tabs>
          <w:tab w:val="left" w:pos="990"/>
        </w:tabs>
        <w:rPr>
          <w:szCs w:val="24"/>
        </w:rPr>
      </w:pPr>
      <w:r w:rsidRPr="00262D58">
        <w:rPr>
          <w:szCs w:val="24"/>
        </w:rPr>
        <w:t>At a minimum, performance agreements should be reviewed at the beginning of each financial year to reflect changes to budget outcomes. However, performance agreements may be reviewed from time to time depending on operational and organisational changes.</w:t>
      </w:r>
    </w:p>
    <w:p w14:paraId="396E9694" w14:textId="77777777" w:rsidR="00526BC2" w:rsidRPr="00262D58" w:rsidRDefault="00526BC2" w:rsidP="00526BC2">
      <w:pPr>
        <w:tabs>
          <w:tab w:val="left" w:pos="990"/>
        </w:tabs>
        <w:rPr>
          <w:szCs w:val="24"/>
        </w:rPr>
      </w:pPr>
      <w:r w:rsidRPr="00262D58">
        <w:rPr>
          <w:szCs w:val="24"/>
        </w:rPr>
        <w:t xml:space="preserve">The performance agreement templates are available from your directorate’s human resources team. The </w:t>
      </w:r>
      <w:hyperlink r:id="rId36" w:history="1">
        <w:r w:rsidRPr="00E96241">
          <w:rPr>
            <w:rStyle w:val="Hyperlink"/>
            <w:rFonts w:eastAsiaTheme="majorEastAsia"/>
          </w:rPr>
          <w:t>ACTPS Performance Development</w:t>
        </w:r>
      </w:hyperlink>
      <w:r w:rsidRPr="00262D58">
        <w:rPr>
          <w:szCs w:val="24"/>
        </w:rPr>
        <w:t xml:space="preserve"> page available on the Employment Portal offers guidance on conducting performance discussions. It includes specific advice tailored for Executives. Executives should familiarise themselves with the material available on this page, paying particular attention to the guide titled ‘</w:t>
      </w:r>
      <w:hyperlink r:id="rId37" w:history="1">
        <w:r w:rsidRPr="00E96241">
          <w:rPr>
            <w:rStyle w:val="Hyperlink"/>
            <w:rFonts w:eastAsiaTheme="majorEastAsia"/>
          </w:rPr>
          <w:t>Leading Performance and Development: A Guide for ACTPS Executives</w:t>
        </w:r>
      </w:hyperlink>
      <w:r w:rsidRPr="00262D58">
        <w:rPr>
          <w:szCs w:val="24"/>
        </w:rPr>
        <w:t>’.</w:t>
      </w:r>
    </w:p>
    <w:p w14:paraId="76E0A3F9" w14:textId="626EA8B3" w:rsidR="00F77EE7" w:rsidRPr="007D4E6D" w:rsidRDefault="00F77EE7" w:rsidP="00F77EE7">
      <w:pPr>
        <w:pStyle w:val="Heading3"/>
      </w:pPr>
      <w:bookmarkStart w:id="47" w:name="_Toc233626544"/>
      <w:r>
        <w:t xml:space="preserve">3.4 </w:t>
      </w:r>
      <w:r w:rsidR="00E36C05">
        <w:t>Underperformance</w:t>
      </w:r>
      <w:bookmarkEnd w:id="47"/>
    </w:p>
    <w:p w14:paraId="4289D308" w14:textId="77777777" w:rsidR="00526BC2" w:rsidRPr="00262D58" w:rsidRDefault="00526BC2" w:rsidP="00526BC2">
      <w:pPr>
        <w:tabs>
          <w:tab w:val="left" w:pos="990"/>
        </w:tabs>
      </w:pPr>
      <w:r w:rsidRPr="00262D58">
        <w:rPr>
          <w:szCs w:val="24"/>
        </w:rPr>
        <w:t>S</w:t>
      </w:r>
      <w:r w:rsidRPr="00262D58">
        <w:t>ection 45 of the PSM Standards sets out the minimum requirements for conducting an under-performance process for an Executive. The engager must inform the Executive of the reasons why the engager believes the Executive has failed to meet one or more of the agreed performance expectations. If appropriate, the engager must also ask the Executive to demonstrate how they have met the performance expectations. If the Executive does not meet the performance expectation within a stated period, the Executive’s SETs may be changed, or their employment may be ended.</w:t>
      </w:r>
    </w:p>
    <w:p w14:paraId="6FFE2415" w14:textId="1007E2C6" w:rsidR="00526BC2" w:rsidRPr="00262D58" w:rsidRDefault="00526BC2" w:rsidP="00526BC2">
      <w:pPr>
        <w:tabs>
          <w:tab w:val="left" w:pos="990"/>
        </w:tabs>
      </w:pPr>
      <w:r w:rsidRPr="00262D58">
        <w:t xml:space="preserve">When undertaking an underperformance process, it is important that performance is measured and assessed against the ACTPS </w:t>
      </w:r>
      <w:r w:rsidR="00B76F6B">
        <w:t>v</w:t>
      </w:r>
      <w:r w:rsidRPr="00262D58">
        <w:t xml:space="preserve">alues and </w:t>
      </w:r>
      <w:r w:rsidR="00B76F6B">
        <w:t>e</w:t>
      </w:r>
      <w:r w:rsidRPr="00262D58">
        <w:t xml:space="preserve">xecutive </w:t>
      </w:r>
      <w:r w:rsidR="00B76F6B">
        <w:t>c</w:t>
      </w:r>
      <w:r w:rsidRPr="00262D58">
        <w:t xml:space="preserve">apabilities, as well as the Executive’s performance agreement and position description. </w:t>
      </w:r>
    </w:p>
    <w:p w14:paraId="3F0FDB36" w14:textId="1B9E8F1F" w:rsidR="00F77EE7" w:rsidRPr="007D4E6D" w:rsidRDefault="00F77EE7" w:rsidP="00F77EE7">
      <w:pPr>
        <w:pStyle w:val="Heading3"/>
      </w:pPr>
      <w:bookmarkStart w:id="48" w:name="_Toc233626545"/>
      <w:r>
        <w:t xml:space="preserve">3.5 </w:t>
      </w:r>
      <w:r w:rsidR="00E36C05">
        <w:t>Disclosure of Private Interests</w:t>
      </w:r>
      <w:bookmarkEnd w:id="48"/>
    </w:p>
    <w:p w14:paraId="5AE06658" w14:textId="77777777" w:rsidR="00262D58" w:rsidRPr="00262D58" w:rsidRDefault="00262D58" w:rsidP="00262D58">
      <w:pPr>
        <w:rPr>
          <w:szCs w:val="24"/>
        </w:rPr>
      </w:pPr>
      <w:r w:rsidRPr="00262D58">
        <w:rPr>
          <w:szCs w:val="24"/>
        </w:rPr>
        <w:t xml:space="preserve">Both inside and outside the ACTPS, decisions made by </w:t>
      </w:r>
      <w:r w:rsidRPr="00262D58">
        <w:t>Executives</w:t>
      </w:r>
      <w:r w:rsidRPr="00262D58">
        <w:rPr>
          <w:szCs w:val="24"/>
        </w:rPr>
        <w:t xml:space="preserve"> should be, and be perceived to be, professional, impartial and beyond reproach. E</w:t>
      </w:r>
      <w:r w:rsidRPr="00262D58">
        <w:t>xecutives</w:t>
      </w:r>
      <w:r w:rsidRPr="00262D58">
        <w:rPr>
          <w:szCs w:val="24"/>
        </w:rPr>
        <w:t xml:space="preserve"> need to be aware that their decisions are likely to be subject to both internal and external scrutiny. Maintaining public confidence in the ACTPS is crucial to good government.</w:t>
      </w:r>
    </w:p>
    <w:p w14:paraId="704FD38D" w14:textId="77777777" w:rsidR="00262D58" w:rsidRPr="00262D58" w:rsidRDefault="00262D58" w:rsidP="00262D58">
      <w:pPr>
        <w:rPr>
          <w:szCs w:val="24"/>
        </w:rPr>
      </w:pPr>
      <w:r w:rsidRPr="00262D58">
        <w:t>Executives</w:t>
      </w:r>
      <w:r w:rsidRPr="00262D58">
        <w:rPr>
          <w:szCs w:val="24"/>
        </w:rPr>
        <w:t xml:space="preserve"> are required, under section 46 of the PSM Standards, to disclose to their engager financial or other interests if the interests could conflict, or could reasonably be perceived to conflict, with the </w:t>
      </w:r>
      <w:r w:rsidRPr="00262D58">
        <w:t>Executive</w:t>
      </w:r>
      <w:r w:rsidRPr="00262D58">
        <w:rPr>
          <w:szCs w:val="24"/>
        </w:rPr>
        <w:t xml:space="preserve">’s engagement in the service. </w:t>
      </w:r>
    </w:p>
    <w:p w14:paraId="0E5637F5" w14:textId="727D6403" w:rsidR="00262D58" w:rsidRPr="00262D58" w:rsidRDefault="00262D58" w:rsidP="00262D58">
      <w:pPr>
        <w:rPr>
          <w:szCs w:val="24"/>
        </w:rPr>
      </w:pPr>
      <w:r w:rsidRPr="00262D58">
        <w:rPr>
          <w:szCs w:val="24"/>
        </w:rPr>
        <w:t xml:space="preserve">All </w:t>
      </w:r>
      <w:r w:rsidRPr="00262D58">
        <w:t>Executives</w:t>
      </w:r>
      <w:r w:rsidRPr="00262D58">
        <w:rPr>
          <w:szCs w:val="24"/>
        </w:rPr>
        <w:t xml:space="preserve"> are required to complete a </w:t>
      </w:r>
      <w:hyperlink r:id="rId38" w:history="1">
        <w:r w:rsidRPr="00E96241">
          <w:rPr>
            <w:rStyle w:val="Hyperlink"/>
            <w:rFonts w:eastAsiaTheme="majorEastAsia"/>
          </w:rPr>
          <w:t>Disclosure of Private Interests (DPI) form</w:t>
        </w:r>
      </w:hyperlink>
      <w:r w:rsidRPr="00262D58">
        <w:rPr>
          <w:szCs w:val="24"/>
        </w:rPr>
        <w:t xml:space="preserve"> containing their personal and financial interests on commencement. The DPI should be given to the Executive’s respective director-general and an electronic copy be sent to One Gov Recruitment and Information Services for storage on their personnel file. For a director</w:t>
      </w:r>
      <w:r w:rsidRPr="00262D58">
        <w:rPr>
          <w:szCs w:val="24"/>
        </w:rPr>
        <w:noBreakHyphen/>
        <w:t>general, this statement should be provided to the relevant minister(s) for information and forwarded to the Head of Service. It will be stored securely and confidentially by the Office of Industrial Relations and Workforce Strategy in the Chief Minister, Treasury and Economic Development Directorate (CMTEDD).</w:t>
      </w:r>
    </w:p>
    <w:p w14:paraId="428857F4" w14:textId="77777777" w:rsidR="00262D58" w:rsidRPr="00262D58" w:rsidRDefault="00262D58" w:rsidP="00262D58">
      <w:pPr>
        <w:rPr>
          <w:szCs w:val="24"/>
        </w:rPr>
      </w:pPr>
      <w:r w:rsidRPr="00262D58">
        <w:rPr>
          <w:szCs w:val="24"/>
        </w:rPr>
        <w:t>Disclosures must be updated every 12 months or as soon as possible after any relevant facts requiring a change come to the Executive’s notice.</w:t>
      </w:r>
    </w:p>
    <w:p w14:paraId="1D0554AA" w14:textId="107FC33D" w:rsidR="00262D58" w:rsidRPr="00262D58" w:rsidRDefault="00262D58" w:rsidP="00262D58">
      <w:pPr>
        <w:rPr>
          <w:szCs w:val="24"/>
        </w:rPr>
      </w:pPr>
      <w:r w:rsidRPr="00262D58">
        <w:rPr>
          <w:szCs w:val="24"/>
        </w:rPr>
        <w:lastRenderedPageBreak/>
        <w:t xml:space="preserve">Further information is available on the </w:t>
      </w:r>
      <w:hyperlink r:id="rId39" w:history="1">
        <w:r w:rsidRPr="00E96241">
          <w:rPr>
            <w:rStyle w:val="Hyperlink"/>
            <w:rFonts w:eastAsiaTheme="majorEastAsia"/>
          </w:rPr>
          <w:t>OneGov Service Centre SharePoint site</w:t>
        </w:r>
      </w:hyperlink>
      <w:r w:rsidRPr="00262D58">
        <w:rPr>
          <w:szCs w:val="24"/>
        </w:rPr>
        <w:t>.</w:t>
      </w:r>
    </w:p>
    <w:p w14:paraId="0EAD389C" w14:textId="77777777" w:rsidR="00262D58" w:rsidRPr="00262D58" w:rsidRDefault="00262D58" w:rsidP="008D31D8">
      <w:r w:rsidRPr="00262D58">
        <w:t>Executives must also adhere to the ACTPS Conflict of Interest Policy which advises all ACT public servants of their responsibility to declare and manage their conflicts of interest; whether they be perceived, potential or actual. This policy is available on the ACTPS employment portal.</w:t>
      </w:r>
    </w:p>
    <w:p w14:paraId="27A81C73" w14:textId="6C1F7A8C" w:rsidR="00F77EE7" w:rsidRPr="007D4E6D" w:rsidRDefault="00F77EE7" w:rsidP="00262D58">
      <w:pPr>
        <w:pStyle w:val="Heading3"/>
      </w:pPr>
      <w:bookmarkStart w:id="49" w:name="_Toc233626546"/>
      <w:r>
        <w:t xml:space="preserve">3.6 </w:t>
      </w:r>
      <w:r w:rsidR="00E36C05">
        <w:t>Second jobs</w:t>
      </w:r>
      <w:bookmarkEnd w:id="49"/>
    </w:p>
    <w:p w14:paraId="30394DEF" w14:textId="77777777" w:rsidR="00262D58" w:rsidRPr="00262D58" w:rsidRDefault="00262D58" w:rsidP="00262D58">
      <w:pPr>
        <w:spacing w:after="120"/>
        <w:rPr>
          <w:szCs w:val="24"/>
        </w:rPr>
      </w:pPr>
      <w:r w:rsidRPr="00262D58">
        <w:rPr>
          <w:szCs w:val="24"/>
        </w:rPr>
        <w:t>Under section 244 of the PSM Act and section 108 of the PSM Standards, prior written approval must be obtained prior to engaging or continuing in other employment or professional practices. In the case of directors-general, written approval must be sought from the Head of Service. In the case of Executives, written approval must be sought from the relevant director</w:t>
      </w:r>
      <w:r w:rsidRPr="00262D58">
        <w:rPr>
          <w:szCs w:val="24"/>
        </w:rPr>
        <w:noBreakHyphen/>
        <w:t xml:space="preserve">general. Further information is available in the </w:t>
      </w:r>
      <w:hyperlink r:id="rId40" w:history="1">
        <w:r w:rsidRPr="00E96241">
          <w:rPr>
            <w:rStyle w:val="Hyperlink"/>
            <w:rFonts w:eastAsiaTheme="majorEastAsia"/>
          </w:rPr>
          <w:t>Second Jobs and Volunteering Policy</w:t>
        </w:r>
      </w:hyperlink>
      <w:r w:rsidRPr="00262D58">
        <w:rPr>
          <w:szCs w:val="24"/>
        </w:rPr>
        <w:t>.</w:t>
      </w:r>
    </w:p>
    <w:p w14:paraId="0CB82028" w14:textId="11E60AE3" w:rsidR="00F77EE7" w:rsidRPr="007D4E6D" w:rsidRDefault="00F77EE7" w:rsidP="00F77EE7">
      <w:pPr>
        <w:pStyle w:val="Heading3"/>
      </w:pPr>
      <w:bookmarkStart w:id="50" w:name="_Toc233626547"/>
      <w:r>
        <w:t xml:space="preserve">3.7 </w:t>
      </w:r>
      <w:r w:rsidR="00E36C05">
        <w:t>Media responsibilities</w:t>
      </w:r>
      <w:bookmarkEnd w:id="50"/>
    </w:p>
    <w:p w14:paraId="4D1B6F56" w14:textId="77777777" w:rsidR="00262D58" w:rsidRPr="00262D58" w:rsidRDefault="00262D58" w:rsidP="00262D58">
      <w:r w:rsidRPr="00262D58">
        <w:t xml:space="preserve">From time to time, Executives are required to make official comments to the media or at public events. It is important that any whole-of-government (WHoG) media responses are cleared by the relevant Communications and Engagement team and that any speaking notes for public appearances have been endorsed by the relevant director-general or appropriate delegate.  Further information is available at the </w:t>
      </w:r>
      <w:hyperlink r:id="rId41" w:history="1">
        <w:r w:rsidRPr="00E96241">
          <w:rPr>
            <w:rStyle w:val="Hyperlink"/>
            <w:rFonts w:eastAsiaTheme="majorEastAsia"/>
          </w:rPr>
          <w:t>ACT Government Communications SharePoint site</w:t>
        </w:r>
      </w:hyperlink>
      <w:r w:rsidRPr="00262D58">
        <w:t xml:space="preserve">. </w:t>
      </w:r>
    </w:p>
    <w:p w14:paraId="2BD62712" w14:textId="77777777" w:rsidR="00F77EE7" w:rsidRDefault="00F77EE7" w:rsidP="00612E15">
      <w:pPr>
        <w:sectPr w:rsidR="00F77EE7" w:rsidSect="00075396">
          <w:pgSz w:w="11906" w:h="16838"/>
          <w:pgMar w:top="1440" w:right="1961" w:bottom="1440" w:left="1440" w:header="708" w:footer="708" w:gutter="0"/>
          <w:cols w:space="708"/>
          <w:titlePg/>
          <w:docGrid w:linePitch="360"/>
        </w:sectPr>
      </w:pPr>
    </w:p>
    <w:p w14:paraId="57B6E25F" w14:textId="72B421DD" w:rsidR="00F77EE7" w:rsidRPr="00AD3D3C" w:rsidRDefault="00E36C05" w:rsidP="00AE5F29">
      <w:pPr>
        <w:pStyle w:val="Heading2"/>
        <w:numPr>
          <w:ilvl w:val="0"/>
          <w:numId w:val="17"/>
        </w:numPr>
      </w:pPr>
      <w:bookmarkStart w:id="51" w:name="_Toc233626548"/>
      <w:r>
        <w:lastRenderedPageBreak/>
        <w:t>SES Development</w:t>
      </w:r>
      <w:bookmarkEnd w:id="51"/>
    </w:p>
    <w:p w14:paraId="7C58CAD6" w14:textId="576FACA3" w:rsidR="00F77EE7" w:rsidRPr="007D4E6D" w:rsidRDefault="00F77EE7" w:rsidP="00F77EE7">
      <w:pPr>
        <w:pStyle w:val="Heading3"/>
      </w:pPr>
      <w:bookmarkStart w:id="52" w:name="_Toc233626549"/>
      <w:r>
        <w:t xml:space="preserve">4.1 </w:t>
      </w:r>
      <w:r w:rsidR="00A231F3">
        <w:t>SES development programs</w:t>
      </w:r>
      <w:bookmarkEnd w:id="52"/>
    </w:p>
    <w:p w14:paraId="3F7EDB00" w14:textId="77777777" w:rsidR="00262D58" w:rsidRPr="00262D58" w:rsidRDefault="00262D58" w:rsidP="00262D58">
      <w:pPr>
        <w:rPr>
          <w:szCs w:val="24"/>
        </w:rPr>
      </w:pPr>
      <w:r w:rsidRPr="00262D58">
        <w:rPr>
          <w:szCs w:val="24"/>
        </w:rPr>
        <w:t>A range of targeted, contemporary Executive development initiatives are available for ACT Government SES officers, including:</w:t>
      </w:r>
    </w:p>
    <w:p w14:paraId="00A462B3" w14:textId="77777777" w:rsidR="00262D58" w:rsidRPr="00262D58" w:rsidRDefault="00262D58" w:rsidP="00262D58">
      <w:pPr>
        <w:numPr>
          <w:ilvl w:val="0"/>
          <w:numId w:val="19"/>
        </w:numPr>
        <w:spacing w:before="0" w:after="0"/>
        <w:rPr>
          <w:szCs w:val="24"/>
        </w:rPr>
      </w:pPr>
      <w:r w:rsidRPr="00262D58">
        <w:rPr>
          <w:szCs w:val="24"/>
        </w:rPr>
        <w:t>SES Induction</w:t>
      </w:r>
    </w:p>
    <w:p w14:paraId="3D6B1C62" w14:textId="77777777" w:rsidR="00262D58" w:rsidRPr="00262D58" w:rsidRDefault="00262D58" w:rsidP="00262D58">
      <w:pPr>
        <w:numPr>
          <w:ilvl w:val="0"/>
          <w:numId w:val="19"/>
        </w:numPr>
        <w:spacing w:before="0" w:after="0"/>
        <w:rPr>
          <w:szCs w:val="24"/>
        </w:rPr>
      </w:pPr>
      <w:r w:rsidRPr="00262D58">
        <w:rPr>
          <w:szCs w:val="24"/>
        </w:rPr>
        <w:t>Leadership development</w:t>
      </w:r>
    </w:p>
    <w:p w14:paraId="512CADA6" w14:textId="77777777" w:rsidR="00262D58" w:rsidRPr="00262D58" w:rsidRDefault="00262D58" w:rsidP="00262D58">
      <w:pPr>
        <w:numPr>
          <w:ilvl w:val="0"/>
          <w:numId w:val="19"/>
        </w:numPr>
        <w:spacing w:before="0" w:after="0"/>
        <w:rPr>
          <w:szCs w:val="24"/>
        </w:rPr>
      </w:pPr>
      <w:r w:rsidRPr="00262D58">
        <w:rPr>
          <w:szCs w:val="24"/>
        </w:rPr>
        <w:t xml:space="preserve">SES Career Development </w:t>
      </w:r>
    </w:p>
    <w:p w14:paraId="3A0E9AA3" w14:textId="77777777" w:rsidR="00262D58" w:rsidRPr="00262D58" w:rsidRDefault="00262D58" w:rsidP="00262D58">
      <w:pPr>
        <w:numPr>
          <w:ilvl w:val="0"/>
          <w:numId w:val="19"/>
        </w:numPr>
        <w:spacing w:before="0" w:after="0"/>
        <w:rPr>
          <w:szCs w:val="24"/>
        </w:rPr>
      </w:pPr>
      <w:r w:rsidRPr="00262D58">
        <w:rPr>
          <w:szCs w:val="24"/>
        </w:rPr>
        <w:t>SES Speaker Series</w:t>
      </w:r>
    </w:p>
    <w:p w14:paraId="5D4F372E" w14:textId="77777777" w:rsidR="00262D58" w:rsidRPr="00262D58" w:rsidRDefault="00262D58" w:rsidP="00262D58">
      <w:pPr>
        <w:numPr>
          <w:ilvl w:val="0"/>
          <w:numId w:val="19"/>
        </w:numPr>
        <w:spacing w:before="0" w:after="0"/>
        <w:rPr>
          <w:szCs w:val="24"/>
        </w:rPr>
      </w:pPr>
      <w:r w:rsidRPr="00262D58">
        <w:rPr>
          <w:szCs w:val="24"/>
        </w:rPr>
        <w:t xml:space="preserve">Executive coaching </w:t>
      </w:r>
    </w:p>
    <w:p w14:paraId="2E12F6ED" w14:textId="77777777" w:rsidR="00262D58" w:rsidRPr="00262D58" w:rsidRDefault="00262D58" w:rsidP="00262D58">
      <w:pPr>
        <w:spacing w:before="0" w:after="0"/>
        <w:ind w:left="720"/>
        <w:rPr>
          <w:szCs w:val="24"/>
        </w:rPr>
      </w:pPr>
    </w:p>
    <w:p w14:paraId="28B9579A" w14:textId="722408E1" w:rsidR="00262D58" w:rsidRPr="00262D58" w:rsidRDefault="00262D58" w:rsidP="00262D58">
      <w:pPr>
        <w:rPr>
          <w:szCs w:val="24"/>
        </w:rPr>
      </w:pPr>
      <w:r w:rsidRPr="00262D58">
        <w:rPr>
          <w:szCs w:val="24"/>
        </w:rPr>
        <w:t xml:space="preserve">The ACTPS also participates in a range of established development initiatives via external providers, such as ANZSOG (Australia and New Zealand School of Government) and IPAA (Institute of Public Administration Australia). To find out more about the ACT </w:t>
      </w:r>
      <w:r w:rsidR="00B76F6B">
        <w:rPr>
          <w:szCs w:val="24"/>
        </w:rPr>
        <w:t>G</w:t>
      </w:r>
      <w:r w:rsidRPr="00262D58">
        <w:rPr>
          <w:szCs w:val="24"/>
        </w:rPr>
        <w:t xml:space="preserve">overnment’s corporate memberships for these organisations please contact the Executive Leadership &amp; Talent team by email: </w:t>
      </w:r>
      <w:hyperlink r:id="rId42" w:history="1">
        <w:r w:rsidRPr="00E96241">
          <w:rPr>
            <w:rStyle w:val="Hyperlink"/>
            <w:rFonts w:eastAsiaTheme="majorEastAsia"/>
          </w:rPr>
          <w:t>ExecutiveTalent@act.gov.au</w:t>
        </w:r>
      </w:hyperlink>
      <w:r w:rsidRPr="00262D58">
        <w:rPr>
          <w:szCs w:val="24"/>
        </w:rPr>
        <w:t xml:space="preserve">. </w:t>
      </w:r>
    </w:p>
    <w:p w14:paraId="0E98CBFB" w14:textId="6F4CBCD7" w:rsidR="00F77EE7" w:rsidRPr="007D4E6D" w:rsidRDefault="00F77EE7" w:rsidP="00F77EE7">
      <w:pPr>
        <w:pStyle w:val="Heading3"/>
      </w:pPr>
      <w:bookmarkStart w:id="53" w:name="_Toc233626550"/>
      <w:r>
        <w:t xml:space="preserve">4.2 </w:t>
      </w:r>
      <w:r w:rsidR="00A231F3">
        <w:t>Handover periods</w:t>
      </w:r>
      <w:bookmarkEnd w:id="53"/>
    </w:p>
    <w:p w14:paraId="4AEE5711" w14:textId="77777777" w:rsidR="00262D58" w:rsidRPr="00262D58" w:rsidRDefault="00262D58" w:rsidP="00262D58">
      <w:pPr>
        <w:pStyle w:val="BodyText"/>
        <w:spacing w:line="240" w:lineRule="auto"/>
        <w:jc w:val="left"/>
        <w:rPr>
          <w:rFonts w:ascii="Calibri" w:eastAsia="Aptos" w:hAnsi="Calibri" w:cs="Calibri"/>
          <w:strike/>
          <w:sz w:val="22"/>
          <w:szCs w:val="22"/>
        </w:rPr>
      </w:pPr>
      <w:r w:rsidRPr="00262D58">
        <w:rPr>
          <w:rFonts w:ascii="Calibri" w:hAnsi="Calibri" w:cs="Calibri"/>
          <w:sz w:val="22"/>
          <w:szCs w:val="22"/>
        </w:rPr>
        <w:t xml:space="preserve">Simultaneous contracts cannot be issued to more than one Executive for the same position due to the potential conflict in exercising the position’s functions at the same time. For this reason, two Executives must not be under contract in the same position for a handover period. </w:t>
      </w:r>
    </w:p>
    <w:p w14:paraId="348F001E" w14:textId="77777777" w:rsidR="00262D58" w:rsidRPr="00262D58" w:rsidRDefault="00262D58" w:rsidP="00262D58">
      <w:pPr>
        <w:pStyle w:val="BodyText"/>
        <w:spacing w:line="240" w:lineRule="auto"/>
        <w:jc w:val="left"/>
        <w:rPr>
          <w:rFonts w:ascii="Calibri" w:hAnsi="Calibri" w:cs="Calibri"/>
          <w:sz w:val="22"/>
          <w:szCs w:val="22"/>
        </w:rPr>
      </w:pPr>
    </w:p>
    <w:p w14:paraId="6D0449AD" w14:textId="77777777" w:rsidR="00262D58" w:rsidRPr="00262D58" w:rsidRDefault="00262D58" w:rsidP="00262D58">
      <w:pPr>
        <w:pStyle w:val="BodyText"/>
        <w:spacing w:line="240" w:lineRule="auto"/>
        <w:jc w:val="left"/>
        <w:rPr>
          <w:rFonts w:ascii="Calibri" w:hAnsi="Calibri" w:cs="Calibri"/>
          <w:sz w:val="22"/>
          <w:szCs w:val="22"/>
        </w:rPr>
      </w:pPr>
      <w:r w:rsidRPr="00262D58">
        <w:rPr>
          <w:rFonts w:ascii="Calibri" w:hAnsi="Calibri" w:cs="Calibri"/>
          <w:sz w:val="22"/>
          <w:szCs w:val="22"/>
        </w:rPr>
        <w:t>Executives are expected to arrange a handover meeting or handover notes prior to the commencement of the incoming Executive and the exit of the outgoing Executive. Approval may be given in exceptional circumstances for a minimal overlap only. If such an arrangement is approved, a different executive position number must be sought and agreed from the Head of Service for the overlap period. The Executives must ensure they do not simultaneously exercise the same functions for the duration of the overlap period.</w:t>
      </w:r>
    </w:p>
    <w:p w14:paraId="3C0202B1" w14:textId="77777777" w:rsidR="00F77EE7" w:rsidRDefault="00F77EE7" w:rsidP="00BA666E">
      <w:pPr>
        <w:sectPr w:rsidR="00F77EE7" w:rsidSect="00075396">
          <w:pgSz w:w="11906" w:h="16838"/>
          <w:pgMar w:top="1440" w:right="1961" w:bottom="1440" w:left="1440" w:header="708" w:footer="708" w:gutter="0"/>
          <w:cols w:space="708"/>
          <w:titlePg/>
          <w:docGrid w:linePitch="360"/>
        </w:sectPr>
      </w:pPr>
    </w:p>
    <w:p w14:paraId="0B70D7E5" w14:textId="3621E7BF" w:rsidR="00F77EE7" w:rsidRPr="00AD3D3C" w:rsidRDefault="00E36C05" w:rsidP="00AE5F29">
      <w:pPr>
        <w:pStyle w:val="Heading2"/>
        <w:numPr>
          <w:ilvl w:val="0"/>
          <w:numId w:val="17"/>
        </w:numPr>
      </w:pPr>
      <w:bookmarkStart w:id="54" w:name="_Toc233626551"/>
      <w:r>
        <w:lastRenderedPageBreak/>
        <w:t>SES Misconduct</w:t>
      </w:r>
      <w:bookmarkEnd w:id="54"/>
    </w:p>
    <w:p w14:paraId="2A79E589" w14:textId="38B3E46F" w:rsidR="00F77EE7" w:rsidRPr="007D4E6D" w:rsidRDefault="00E36C05" w:rsidP="00F77EE7">
      <w:pPr>
        <w:pStyle w:val="Heading3"/>
      </w:pPr>
      <w:bookmarkStart w:id="55" w:name="_Toc233626552"/>
      <w:r>
        <w:t>5</w:t>
      </w:r>
      <w:r w:rsidR="00F77EE7">
        <w:t xml:space="preserve">.1 </w:t>
      </w:r>
      <w:r w:rsidR="00A231F3">
        <w:t>Misconduct</w:t>
      </w:r>
      <w:bookmarkEnd w:id="55"/>
    </w:p>
    <w:p w14:paraId="08C22DD9" w14:textId="1A258C48" w:rsidR="00262D58" w:rsidRPr="00B32C14" w:rsidRDefault="00262D58" w:rsidP="00262D58">
      <w:pPr>
        <w:rPr>
          <w:rFonts w:cs="Calibri"/>
          <w:szCs w:val="24"/>
        </w:rPr>
      </w:pPr>
      <w:r w:rsidRPr="00262D58">
        <w:rPr>
          <w:szCs w:val="24"/>
        </w:rPr>
        <w:t xml:space="preserve">Misconduct means a failure to comply with section 9 (public sector conduct) of the PSM Act. If the Head of Service (or delegate) receives an allegation or becomes aware that an Executive has acted in a way that may be misconduct under the PSM Act, the Head of Service (or delegate) must investigate the allegation in accordance with the misconduct policy or ask the </w:t>
      </w:r>
      <w:r w:rsidR="00B76F6B">
        <w:rPr>
          <w:szCs w:val="24"/>
        </w:rPr>
        <w:t>P</w:t>
      </w:r>
      <w:r w:rsidRPr="00262D58">
        <w:rPr>
          <w:szCs w:val="24"/>
        </w:rPr>
        <w:t xml:space="preserve">ublic </w:t>
      </w:r>
      <w:r w:rsidR="00B76F6B">
        <w:rPr>
          <w:szCs w:val="24"/>
        </w:rPr>
        <w:t>S</w:t>
      </w:r>
      <w:r w:rsidRPr="00262D58">
        <w:rPr>
          <w:szCs w:val="24"/>
        </w:rPr>
        <w:t xml:space="preserve">ector </w:t>
      </w:r>
      <w:r w:rsidR="00B76F6B">
        <w:rPr>
          <w:szCs w:val="24"/>
        </w:rPr>
        <w:t>S</w:t>
      </w:r>
      <w:r w:rsidRPr="00262D58">
        <w:rPr>
          <w:szCs w:val="24"/>
        </w:rPr>
        <w:t xml:space="preserve">tandards </w:t>
      </w:r>
      <w:r w:rsidR="00B76F6B">
        <w:rPr>
          <w:szCs w:val="24"/>
        </w:rPr>
        <w:t>C</w:t>
      </w:r>
      <w:r w:rsidRPr="00262D58">
        <w:rPr>
          <w:szCs w:val="24"/>
        </w:rPr>
        <w:t>ommission</w:t>
      </w:r>
      <w:r w:rsidR="00B76F6B">
        <w:rPr>
          <w:szCs w:val="24"/>
        </w:rPr>
        <w:t>er</w:t>
      </w:r>
      <w:r w:rsidRPr="00262D58">
        <w:rPr>
          <w:szCs w:val="24"/>
        </w:rPr>
        <w:t xml:space="preserve"> to investigate the misconduct. </w:t>
      </w:r>
      <w:hyperlink r:id="rId43" w:history="1">
        <w:r w:rsidRPr="00E96241">
          <w:rPr>
            <w:rStyle w:val="Hyperlink"/>
            <w:rFonts w:eastAsiaTheme="majorEastAsia"/>
          </w:rPr>
          <w:t>Guidelines to the Misconduct Process</w:t>
        </w:r>
      </w:hyperlink>
      <w:r w:rsidRPr="00262D58">
        <w:rPr>
          <w:rFonts w:cs="Calibri"/>
          <w:szCs w:val="24"/>
        </w:rPr>
        <w:t xml:space="preserve"> (Part 12: Process for Executives).</w:t>
      </w:r>
      <w:r w:rsidR="00B32C14">
        <w:rPr>
          <w:rFonts w:cs="Calibri"/>
          <w:szCs w:val="24"/>
        </w:rPr>
        <w:t xml:space="preserve"> </w:t>
      </w:r>
      <w:r w:rsidRPr="00262D58">
        <w:rPr>
          <w:szCs w:val="24"/>
        </w:rPr>
        <w:t xml:space="preserve">Further details on misconduct procedures can be found in Part 5 of the PSM Standards.  </w:t>
      </w:r>
    </w:p>
    <w:p w14:paraId="197C80DF" w14:textId="49EEB55A" w:rsidR="00F77EE7" w:rsidRPr="007D4E6D" w:rsidRDefault="00E36C05" w:rsidP="00F77EE7">
      <w:pPr>
        <w:pStyle w:val="Heading3"/>
      </w:pPr>
      <w:bookmarkStart w:id="56" w:name="_Toc233626553"/>
      <w:r>
        <w:t>5</w:t>
      </w:r>
      <w:r w:rsidR="00F77EE7">
        <w:t xml:space="preserve">.2 </w:t>
      </w:r>
      <w:r w:rsidR="00A231F3">
        <w:t>Suspension</w:t>
      </w:r>
      <w:bookmarkEnd w:id="56"/>
    </w:p>
    <w:p w14:paraId="7CEF247E" w14:textId="77777777" w:rsidR="00262D58" w:rsidRPr="00262D58" w:rsidRDefault="00262D58" w:rsidP="00262D58">
      <w:pPr>
        <w:rPr>
          <w:szCs w:val="24"/>
        </w:rPr>
      </w:pPr>
      <w:r w:rsidRPr="00262D58">
        <w:rPr>
          <w:szCs w:val="24"/>
        </w:rPr>
        <w:t xml:space="preserve">The Head of Service (or delegate) may suspend an </w:t>
      </w:r>
      <w:r w:rsidRPr="00262D58">
        <w:t>Executive</w:t>
      </w:r>
      <w:r w:rsidRPr="00262D58">
        <w:rPr>
          <w:szCs w:val="24"/>
        </w:rPr>
        <w:t xml:space="preserve"> until the end of a misconduct investigation if satisfied that it is in the interests of the service. The </w:t>
      </w:r>
      <w:r w:rsidRPr="00262D58">
        <w:t>Executive</w:t>
      </w:r>
      <w:r w:rsidRPr="00262D58">
        <w:rPr>
          <w:szCs w:val="24"/>
        </w:rPr>
        <w:t xml:space="preserve"> will be provided with a written notice of suspension containing the reason for the suspension and the expiration or review date.</w:t>
      </w:r>
    </w:p>
    <w:p w14:paraId="2CF687B5" w14:textId="4C96EEFB" w:rsidR="00262D58" w:rsidRPr="00262D58" w:rsidRDefault="00262D58" w:rsidP="00262D58">
      <w:pPr>
        <w:rPr>
          <w:szCs w:val="24"/>
        </w:rPr>
      </w:pPr>
      <w:r w:rsidRPr="00262D58">
        <w:rPr>
          <w:szCs w:val="24"/>
        </w:rPr>
        <w:t xml:space="preserve">The suspension may be with or without pay, or the </w:t>
      </w:r>
      <w:r w:rsidRPr="00262D58">
        <w:t>Executive</w:t>
      </w:r>
      <w:r w:rsidRPr="00262D58">
        <w:rPr>
          <w:szCs w:val="24"/>
        </w:rPr>
        <w:t xml:space="preserve"> may be transferred to other duties.  While it would normally be expected that a suspension would be without pay, the employer may have regard to the reasons for the suspension and the potential for financial hardship.</w:t>
      </w:r>
      <w:r w:rsidR="00B32C14">
        <w:rPr>
          <w:szCs w:val="24"/>
        </w:rPr>
        <w:t xml:space="preserve"> </w:t>
      </w:r>
      <w:r w:rsidRPr="00262D58">
        <w:rPr>
          <w:szCs w:val="24"/>
        </w:rPr>
        <w:t xml:space="preserve">Further details on suspension can be found in section 47 of the PSM Standards.  </w:t>
      </w:r>
    </w:p>
    <w:p w14:paraId="43D3ADB5" w14:textId="4E9DAE5E" w:rsidR="00F77EE7" w:rsidRPr="007D4E6D" w:rsidRDefault="00E36C05" w:rsidP="00F77EE7">
      <w:pPr>
        <w:pStyle w:val="Heading3"/>
      </w:pPr>
      <w:bookmarkStart w:id="57" w:name="_Toc233626554"/>
      <w:r>
        <w:t>5</w:t>
      </w:r>
      <w:r w:rsidR="00F77EE7">
        <w:t xml:space="preserve">.3 </w:t>
      </w:r>
      <w:r w:rsidR="00A231F3">
        <w:t>Disciplinary action</w:t>
      </w:r>
      <w:bookmarkEnd w:id="57"/>
    </w:p>
    <w:p w14:paraId="149AA35F" w14:textId="32741413" w:rsidR="00262D58" w:rsidRPr="00262D58" w:rsidRDefault="00262D58" w:rsidP="00262D58">
      <w:pPr>
        <w:rPr>
          <w:szCs w:val="24"/>
        </w:rPr>
      </w:pPr>
      <w:r w:rsidRPr="00262D58">
        <w:rPr>
          <w:szCs w:val="24"/>
        </w:rPr>
        <w:t xml:space="preserve">If an </w:t>
      </w:r>
      <w:r w:rsidRPr="00262D58">
        <w:t xml:space="preserve">Executive </w:t>
      </w:r>
      <w:r w:rsidRPr="00262D58">
        <w:rPr>
          <w:szCs w:val="24"/>
        </w:rPr>
        <w:t xml:space="preserve">is found to have engaged in misconduct, the Head of Service (or delegate) may counsel the </w:t>
      </w:r>
      <w:r w:rsidRPr="00262D58">
        <w:t>Executive</w:t>
      </w:r>
      <w:r w:rsidRPr="00262D58">
        <w:rPr>
          <w:szCs w:val="24"/>
        </w:rPr>
        <w:t xml:space="preserve">, give the </w:t>
      </w:r>
      <w:r w:rsidRPr="00262D58">
        <w:t>Executive</w:t>
      </w:r>
      <w:r w:rsidRPr="00262D58">
        <w:rPr>
          <w:szCs w:val="24"/>
        </w:rPr>
        <w:t xml:space="preserve"> a warning, place conditions on the </w:t>
      </w:r>
      <w:r w:rsidRPr="00262D58">
        <w:t>Executive</w:t>
      </w:r>
      <w:r w:rsidRPr="00262D58">
        <w:rPr>
          <w:szCs w:val="24"/>
        </w:rPr>
        <w:t xml:space="preserve">’s continuing employment, deduct an amount from the </w:t>
      </w:r>
      <w:r w:rsidRPr="00262D58">
        <w:t>Executive</w:t>
      </w:r>
      <w:r w:rsidRPr="00262D58">
        <w:rPr>
          <w:szCs w:val="24"/>
        </w:rPr>
        <w:t xml:space="preserve">’s salary, change the </w:t>
      </w:r>
      <w:r w:rsidRPr="00262D58">
        <w:t>Executive</w:t>
      </w:r>
      <w:r w:rsidRPr="00262D58">
        <w:rPr>
          <w:szCs w:val="24"/>
        </w:rPr>
        <w:t xml:space="preserve">’s contract or end the </w:t>
      </w:r>
      <w:r w:rsidRPr="00262D58">
        <w:t>Executive</w:t>
      </w:r>
      <w:r w:rsidRPr="00262D58">
        <w:rPr>
          <w:szCs w:val="24"/>
        </w:rPr>
        <w:t>’s engagement.</w:t>
      </w:r>
      <w:r w:rsidR="00B32C14">
        <w:rPr>
          <w:szCs w:val="24"/>
        </w:rPr>
        <w:t xml:space="preserve"> </w:t>
      </w:r>
      <w:r w:rsidRPr="00262D58">
        <w:rPr>
          <w:szCs w:val="24"/>
        </w:rPr>
        <w:t xml:space="preserve">Further details on disciplinary action can be found in section 48 of the PSM Standards.  </w:t>
      </w:r>
    </w:p>
    <w:p w14:paraId="023786A5" w14:textId="034F1F34" w:rsidR="00F77EE7" w:rsidRPr="007D4E6D" w:rsidRDefault="00E36C05" w:rsidP="00F77EE7">
      <w:pPr>
        <w:pStyle w:val="Heading3"/>
      </w:pPr>
      <w:bookmarkStart w:id="58" w:name="_Toc233626555"/>
      <w:r>
        <w:t>5</w:t>
      </w:r>
      <w:r w:rsidR="00F77EE7">
        <w:t xml:space="preserve">.4 </w:t>
      </w:r>
      <w:r w:rsidR="00A231F3">
        <w:t>Grievance and discipline resolution</w:t>
      </w:r>
      <w:bookmarkEnd w:id="58"/>
    </w:p>
    <w:p w14:paraId="7FC86E21" w14:textId="77777777" w:rsidR="00262D58" w:rsidRPr="00262D58" w:rsidRDefault="00262D58" w:rsidP="00262D58">
      <w:pPr>
        <w:rPr>
          <w:szCs w:val="24"/>
        </w:rPr>
      </w:pPr>
      <w:r w:rsidRPr="00262D58">
        <w:t xml:space="preserve">Provisions in the PSM Act relating to grievances and appeals </w:t>
      </w:r>
      <w:r w:rsidRPr="00262D58">
        <w:rPr>
          <w:i/>
          <w:iCs w:val="0"/>
        </w:rPr>
        <w:t>do not</w:t>
      </w:r>
      <w:r w:rsidRPr="00262D58">
        <w:t xml:space="preserve"> apply to Executives (i.e. there are no prescribed processes in the PSM Act or any subordinate legislation). The provisions set out in the </w:t>
      </w:r>
      <w:r w:rsidRPr="00262D58">
        <w:rPr>
          <w:szCs w:val="24"/>
        </w:rPr>
        <w:t>ACT Public Service Administrative and Related Classifications Enterprise Agreement</w:t>
      </w:r>
      <w:r w:rsidRPr="00262D58">
        <w:t xml:space="preserve"> may provide guidance on processes that may be applied to assist in the investigation of misconduct investigations. This should be considered on a case-by-case basis.</w:t>
      </w:r>
    </w:p>
    <w:p w14:paraId="79A676B8" w14:textId="77777777" w:rsidR="00262D58" w:rsidRPr="00262D58" w:rsidRDefault="00262D58" w:rsidP="00262D58">
      <w:pPr>
        <w:rPr>
          <w:szCs w:val="24"/>
        </w:rPr>
      </w:pPr>
      <w:r w:rsidRPr="00262D58">
        <w:rPr>
          <w:szCs w:val="24"/>
        </w:rPr>
        <w:t xml:space="preserve">Most issues in relation to the workplace can be resolved through regular communication or through advice (e.g. the relevant human resources area).  However, there may be some instances where an </w:t>
      </w:r>
      <w:r w:rsidRPr="00262D58">
        <w:t>Executive</w:t>
      </w:r>
      <w:r w:rsidRPr="00262D58">
        <w:rPr>
          <w:szCs w:val="24"/>
        </w:rPr>
        <w:t xml:space="preserve"> may prefer to seek an informal review.</w:t>
      </w:r>
    </w:p>
    <w:p w14:paraId="6E5DEE7C" w14:textId="77777777" w:rsidR="00262D58" w:rsidRPr="00262D58" w:rsidRDefault="00262D58" w:rsidP="00262D58">
      <w:pPr>
        <w:rPr>
          <w:szCs w:val="24"/>
        </w:rPr>
      </w:pPr>
      <w:r w:rsidRPr="00262D58">
        <w:rPr>
          <w:szCs w:val="24"/>
        </w:rPr>
        <w:t>The first option is to seek a review of the matter by the relevant director-general.  The second is to seek a review by the Head of Service. The final avenue is an independent review by another, agreed person such as a director-general from another directorate or a person not employed in the ACTPS.</w:t>
      </w:r>
    </w:p>
    <w:p w14:paraId="36493457" w14:textId="77777777" w:rsidR="00262D58" w:rsidRPr="00262D58" w:rsidRDefault="00262D58" w:rsidP="00262D58">
      <w:pPr>
        <w:rPr>
          <w:szCs w:val="24"/>
        </w:rPr>
      </w:pPr>
      <w:r w:rsidRPr="00262D58">
        <w:rPr>
          <w:szCs w:val="24"/>
        </w:rPr>
        <w:t>Such an independent review would focus on realistic outcomes and resolution through adoption of recommendations. There are no decision</w:t>
      </w:r>
      <w:r w:rsidRPr="00262D58">
        <w:rPr>
          <w:szCs w:val="24"/>
        </w:rPr>
        <w:noBreakHyphen/>
        <w:t>making powers associated with such a review.</w:t>
      </w:r>
    </w:p>
    <w:p w14:paraId="0C146850" w14:textId="77777777" w:rsidR="00E36C05" w:rsidRDefault="00E36C05" w:rsidP="00BA666E">
      <w:pPr>
        <w:sectPr w:rsidR="00E36C05" w:rsidSect="00075396">
          <w:pgSz w:w="11906" w:h="16838"/>
          <w:pgMar w:top="1440" w:right="1961" w:bottom="1440" w:left="1440" w:header="708" w:footer="708" w:gutter="0"/>
          <w:cols w:space="708"/>
          <w:titlePg/>
          <w:docGrid w:linePitch="360"/>
        </w:sectPr>
      </w:pPr>
    </w:p>
    <w:p w14:paraId="703FC9A5" w14:textId="24E5AF95" w:rsidR="00E36C05" w:rsidRPr="00AD3D3C" w:rsidRDefault="00262D58" w:rsidP="00AE5F29">
      <w:pPr>
        <w:pStyle w:val="Heading2"/>
        <w:numPr>
          <w:ilvl w:val="0"/>
          <w:numId w:val="17"/>
        </w:numPr>
      </w:pPr>
      <w:bookmarkStart w:id="59" w:name="_Toc233626556"/>
      <w:r>
        <w:lastRenderedPageBreak/>
        <w:t>Non-renewal or Termination of Contract</w:t>
      </w:r>
      <w:bookmarkEnd w:id="59"/>
    </w:p>
    <w:p w14:paraId="3E4209C7" w14:textId="34EE3213" w:rsidR="00E36C05" w:rsidRPr="007D4E6D" w:rsidRDefault="00E36C05" w:rsidP="00E36C05">
      <w:pPr>
        <w:pStyle w:val="Heading3"/>
      </w:pPr>
      <w:bookmarkStart w:id="60" w:name="_Toc233626557"/>
      <w:r>
        <w:t xml:space="preserve">6.1 </w:t>
      </w:r>
      <w:r w:rsidR="00A231F3">
        <w:t>Termination by an SES member</w:t>
      </w:r>
      <w:bookmarkEnd w:id="60"/>
    </w:p>
    <w:p w14:paraId="69C7E53E" w14:textId="77777777" w:rsidR="00262D58" w:rsidRPr="00262D58" w:rsidRDefault="00262D58" w:rsidP="00262D58">
      <w:pPr>
        <w:rPr>
          <w:szCs w:val="24"/>
        </w:rPr>
      </w:pPr>
      <w:r w:rsidRPr="00262D58">
        <w:rPr>
          <w:szCs w:val="24"/>
        </w:rPr>
        <w:t xml:space="preserve">An </w:t>
      </w:r>
      <w:r w:rsidRPr="00262D58">
        <w:t>Executive</w:t>
      </w:r>
      <w:r w:rsidRPr="00262D58">
        <w:rPr>
          <w:szCs w:val="24"/>
        </w:rPr>
        <w:t xml:space="preserve"> may terminate their long-term contract by resigning at any time and giving 8 weeks’ notice in writing. An </w:t>
      </w:r>
      <w:r w:rsidRPr="00262D58">
        <w:t>Executive</w:t>
      </w:r>
      <w:r w:rsidRPr="00262D58">
        <w:rPr>
          <w:szCs w:val="24"/>
        </w:rPr>
        <w:t xml:space="preserve"> is not required to give reasons in the notice. In some circumstances it may be possible for the </w:t>
      </w:r>
      <w:r w:rsidRPr="00262D58">
        <w:t>Executive</w:t>
      </w:r>
      <w:r w:rsidRPr="00262D58">
        <w:rPr>
          <w:szCs w:val="24"/>
        </w:rPr>
        <w:t xml:space="preserve"> to reach agreement with the relevant director-general for a shorter notice period to apply. There is no provision for any payment to be made in lieu of notice where the termination is at the initiative of the employee.</w:t>
      </w:r>
    </w:p>
    <w:p w14:paraId="3A956A88" w14:textId="77777777" w:rsidR="00262D58" w:rsidRPr="00262D58" w:rsidRDefault="00262D58" w:rsidP="00262D58">
      <w:pPr>
        <w:rPr>
          <w:szCs w:val="24"/>
        </w:rPr>
      </w:pPr>
      <w:r w:rsidRPr="00262D58">
        <w:rPr>
          <w:szCs w:val="24"/>
        </w:rPr>
        <w:t xml:space="preserve">On resigning, </w:t>
      </w:r>
      <w:r w:rsidRPr="00262D58">
        <w:t>Executives</w:t>
      </w:r>
      <w:r w:rsidRPr="00262D58">
        <w:rPr>
          <w:szCs w:val="24"/>
        </w:rPr>
        <w:t xml:space="preserve"> are entitled to be paid out any outstanding salary, and any accrued annual leave and long service leave entitlements.</w:t>
      </w:r>
    </w:p>
    <w:p w14:paraId="4A2683EE" w14:textId="77777777" w:rsidR="00262D58" w:rsidRPr="00262D58" w:rsidRDefault="00262D58" w:rsidP="00262D58">
      <w:pPr>
        <w:spacing w:after="120"/>
        <w:contextualSpacing/>
        <w:rPr>
          <w:szCs w:val="24"/>
        </w:rPr>
      </w:pPr>
      <w:r w:rsidRPr="00262D58">
        <w:rPr>
          <w:szCs w:val="24"/>
        </w:rPr>
        <w:t>Annual leave and long service leave payments are calculated on cash salary and do not include any employer provided benefits or cash in lieu of such benefits.</w:t>
      </w:r>
    </w:p>
    <w:p w14:paraId="27A42205" w14:textId="270AEBCB" w:rsidR="00E36C05" w:rsidRPr="007D4E6D" w:rsidRDefault="00E36C05" w:rsidP="00E36C05">
      <w:pPr>
        <w:pStyle w:val="Heading3"/>
      </w:pPr>
      <w:bookmarkStart w:id="61" w:name="_Toc233626558"/>
      <w:r>
        <w:t xml:space="preserve">6.2 </w:t>
      </w:r>
      <w:r w:rsidR="00A231F3">
        <w:t>Termination by the employer</w:t>
      </w:r>
      <w:bookmarkEnd w:id="61"/>
    </w:p>
    <w:p w14:paraId="0D6BD647" w14:textId="77777777" w:rsidR="00262D58" w:rsidRPr="00262D58" w:rsidRDefault="00262D58" w:rsidP="00262D58">
      <w:pPr>
        <w:spacing w:after="120"/>
        <w:rPr>
          <w:szCs w:val="24"/>
          <w:lang w:eastAsia="en-AU"/>
        </w:rPr>
      </w:pPr>
      <w:r w:rsidRPr="00262D58">
        <w:rPr>
          <w:szCs w:val="24"/>
          <w:lang w:eastAsia="en-AU"/>
        </w:rPr>
        <w:t xml:space="preserve">Under section 38 of the PSM Act, the Head of Service (or delegate) may end the </w:t>
      </w:r>
      <w:r w:rsidRPr="00262D58">
        <w:t>Executive</w:t>
      </w:r>
      <w:r w:rsidRPr="00262D58">
        <w:rPr>
          <w:szCs w:val="24"/>
          <w:lang w:eastAsia="en-AU"/>
        </w:rPr>
        <w:t>’s engagement, on behalf of the Territory, in accordance with any prescribed requirement or prescribed notice period:</w:t>
      </w:r>
    </w:p>
    <w:p w14:paraId="7D080C33" w14:textId="77777777" w:rsidR="00262D58" w:rsidRPr="00262D58" w:rsidRDefault="00262D58" w:rsidP="00262D58">
      <w:pPr>
        <w:numPr>
          <w:ilvl w:val="0"/>
          <w:numId w:val="20"/>
        </w:numPr>
        <w:autoSpaceDE w:val="0"/>
        <w:autoSpaceDN w:val="0"/>
        <w:adjustRightInd w:val="0"/>
        <w:spacing w:before="0" w:after="0"/>
        <w:rPr>
          <w:szCs w:val="24"/>
          <w:lang w:eastAsia="en-AU"/>
        </w:rPr>
      </w:pPr>
      <w:r w:rsidRPr="00262D58">
        <w:rPr>
          <w:szCs w:val="24"/>
          <w:lang w:eastAsia="en-AU"/>
        </w:rPr>
        <w:t>under section 41 (Loss of eligibility); or</w:t>
      </w:r>
    </w:p>
    <w:p w14:paraId="38C8F963" w14:textId="77777777" w:rsidR="00262D58" w:rsidRPr="00262D58" w:rsidRDefault="00262D58" w:rsidP="00262D58">
      <w:pPr>
        <w:numPr>
          <w:ilvl w:val="0"/>
          <w:numId w:val="20"/>
        </w:numPr>
        <w:autoSpaceDE w:val="0"/>
        <w:autoSpaceDN w:val="0"/>
        <w:adjustRightInd w:val="0"/>
        <w:spacing w:before="0" w:after="0"/>
        <w:rPr>
          <w:szCs w:val="24"/>
          <w:lang w:eastAsia="en-AU"/>
        </w:rPr>
      </w:pPr>
      <w:r w:rsidRPr="00262D58">
        <w:rPr>
          <w:szCs w:val="24"/>
          <w:lang w:eastAsia="en-AU"/>
        </w:rPr>
        <w:t>under section 42 (Invalidity retirement); or</w:t>
      </w:r>
    </w:p>
    <w:p w14:paraId="1114245C" w14:textId="77777777" w:rsidR="00262D58" w:rsidRPr="00262D58" w:rsidRDefault="00262D58" w:rsidP="00262D58">
      <w:pPr>
        <w:numPr>
          <w:ilvl w:val="0"/>
          <w:numId w:val="20"/>
        </w:numPr>
        <w:autoSpaceDE w:val="0"/>
        <w:autoSpaceDN w:val="0"/>
        <w:adjustRightInd w:val="0"/>
        <w:spacing w:before="0" w:after="0"/>
        <w:rPr>
          <w:szCs w:val="24"/>
          <w:lang w:eastAsia="en-AU"/>
        </w:rPr>
      </w:pPr>
      <w:r w:rsidRPr="00262D58">
        <w:rPr>
          <w:szCs w:val="24"/>
          <w:lang w:eastAsia="en-AU"/>
        </w:rPr>
        <w:t xml:space="preserve">if a misconduct procedure finds the disciplinary action to be taken is to end the </w:t>
      </w:r>
      <w:r w:rsidRPr="00262D58">
        <w:t>Executive</w:t>
      </w:r>
      <w:r w:rsidRPr="00262D58">
        <w:rPr>
          <w:szCs w:val="24"/>
          <w:lang w:eastAsia="en-AU"/>
        </w:rPr>
        <w:t>’s engagement; or</w:t>
      </w:r>
    </w:p>
    <w:p w14:paraId="4CC38549" w14:textId="77777777" w:rsidR="00262D58" w:rsidRPr="00262D58" w:rsidRDefault="00262D58" w:rsidP="00262D58">
      <w:pPr>
        <w:numPr>
          <w:ilvl w:val="0"/>
          <w:numId w:val="20"/>
        </w:numPr>
        <w:autoSpaceDE w:val="0"/>
        <w:autoSpaceDN w:val="0"/>
        <w:adjustRightInd w:val="0"/>
        <w:spacing w:before="0" w:after="0"/>
        <w:rPr>
          <w:szCs w:val="24"/>
          <w:lang w:eastAsia="en-AU"/>
        </w:rPr>
      </w:pPr>
      <w:r w:rsidRPr="00262D58">
        <w:rPr>
          <w:szCs w:val="24"/>
          <w:lang w:eastAsia="en-AU"/>
        </w:rPr>
        <w:t xml:space="preserve">if the engager loses confidence in the </w:t>
      </w:r>
      <w:r w:rsidRPr="00262D58">
        <w:t>Executive</w:t>
      </w:r>
      <w:r w:rsidRPr="00262D58">
        <w:rPr>
          <w:szCs w:val="24"/>
          <w:lang w:eastAsia="en-AU"/>
        </w:rPr>
        <w:t xml:space="preserve">’s ability to exercise the functions which the </w:t>
      </w:r>
      <w:r w:rsidRPr="00262D58">
        <w:t>Executive</w:t>
      </w:r>
      <w:r w:rsidRPr="00262D58">
        <w:rPr>
          <w:szCs w:val="24"/>
          <w:lang w:eastAsia="en-AU"/>
        </w:rPr>
        <w:t xml:space="preserve"> has been engaged to exercise; or</w:t>
      </w:r>
    </w:p>
    <w:p w14:paraId="03DD0D47" w14:textId="77777777" w:rsidR="00262D58" w:rsidRPr="00262D58" w:rsidRDefault="00262D58" w:rsidP="00262D58">
      <w:pPr>
        <w:numPr>
          <w:ilvl w:val="0"/>
          <w:numId w:val="20"/>
        </w:numPr>
        <w:autoSpaceDE w:val="0"/>
        <w:autoSpaceDN w:val="0"/>
        <w:adjustRightInd w:val="0"/>
        <w:spacing w:before="0" w:after="0"/>
        <w:rPr>
          <w:szCs w:val="24"/>
          <w:lang w:eastAsia="en-AU"/>
        </w:rPr>
      </w:pPr>
      <w:r w:rsidRPr="00262D58">
        <w:rPr>
          <w:szCs w:val="24"/>
          <w:lang w:eastAsia="en-AU"/>
        </w:rPr>
        <w:t xml:space="preserve">if the </w:t>
      </w:r>
      <w:r w:rsidRPr="00262D58">
        <w:t>Executive</w:t>
      </w:r>
      <w:r w:rsidRPr="00262D58">
        <w:rPr>
          <w:szCs w:val="24"/>
          <w:lang w:eastAsia="en-AU"/>
        </w:rPr>
        <w:t xml:space="preserve">’s position is no longer required for the efficient and effective operation of the service—if the engager is unable to give the </w:t>
      </w:r>
      <w:r w:rsidRPr="00262D58">
        <w:t>Executive</w:t>
      </w:r>
      <w:r w:rsidRPr="00262D58">
        <w:rPr>
          <w:szCs w:val="24"/>
          <w:lang w:eastAsia="en-AU"/>
        </w:rPr>
        <w:t xml:space="preserve"> another suitable </w:t>
      </w:r>
      <w:r w:rsidRPr="00262D58">
        <w:t>Executive</w:t>
      </w:r>
      <w:r w:rsidRPr="00262D58">
        <w:rPr>
          <w:szCs w:val="24"/>
          <w:lang w:eastAsia="en-AU"/>
        </w:rPr>
        <w:t xml:space="preserve"> position; or</w:t>
      </w:r>
    </w:p>
    <w:p w14:paraId="52530268" w14:textId="77777777" w:rsidR="00262D58" w:rsidRPr="00262D58" w:rsidRDefault="00262D58" w:rsidP="00262D58">
      <w:pPr>
        <w:numPr>
          <w:ilvl w:val="0"/>
          <w:numId w:val="20"/>
        </w:numPr>
        <w:autoSpaceDE w:val="0"/>
        <w:autoSpaceDN w:val="0"/>
        <w:adjustRightInd w:val="0"/>
        <w:spacing w:before="0" w:after="0"/>
        <w:rPr>
          <w:szCs w:val="24"/>
          <w:lang w:eastAsia="en-AU"/>
        </w:rPr>
      </w:pPr>
      <w:r w:rsidRPr="00262D58">
        <w:rPr>
          <w:szCs w:val="24"/>
          <w:lang w:eastAsia="en-AU"/>
        </w:rPr>
        <w:t xml:space="preserve">if the engager considers it is in the interest of the service for the </w:t>
      </w:r>
      <w:r w:rsidRPr="00262D58">
        <w:t>Executive</w:t>
      </w:r>
      <w:r w:rsidRPr="00262D58">
        <w:rPr>
          <w:szCs w:val="24"/>
          <w:lang w:eastAsia="en-AU"/>
        </w:rPr>
        <w:t>’s engagement to be ended.</w:t>
      </w:r>
    </w:p>
    <w:p w14:paraId="19B4E008" w14:textId="4B08BCDB" w:rsidR="00E36C05" w:rsidRPr="007D4E6D" w:rsidRDefault="00E36C05" w:rsidP="00E36C05">
      <w:pPr>
        <w:pStyle w:val="Heading3"/>
      </w:pPr>
      <w:bookmarkStart w:id="62" w:name="_Toc233626559"/>
      <w:r>
        <w:t xml:space="preserve">6.3 </w:t>
      </w:r>
      <w:r w:rsidR="00A231F3">
        <w:t>Termination benefits</w:t>
      </w:r>
      <w:bookmarkEnd w:id="62"/>
    </w:p>
    <w:p w14:paraId="631CCDEC" w14:textId="77777777" w:rsidR="00262D58" w:rsidRPr="00262D58" w:rsidRDefault="00262D58" w:rsidP="00262D58">
      <w:pPr>
        <w:autoSpaceDE w:val="0"/>
        <w:autoSpaceDN w:val="0"/>
        <w:adjustRightInd w:val="0"/>
        <w:rPr>
          <w:szCs w:val="24"/>
          <w:lang w:eastAsia="en-AU"/>
        </w:rPr>
      </w:pPr>
      <w:r w:rsidRPr="00262D58">
        <w:rPr>
          <w:szCs w:val="24"/>
          <w:lang w:eastAsia="en-AU"/>
        </w:rPr>
        <w:t xml:space="preserve">If the Head of Service (or delegate) ends an </w:t>
      </w:r>
      <w:r w:rsidRPr="00262D58">
        <w:t>Executive</w:t>
      </w:r>
      <w:r w:rsidRPr="00262D58">
        <w:rPr>
          <w:szCs w:val="24"/>
          <w:lang w:eastAsia="en-AU"/>
        </w:rPr>
        <w:t xml:space="preserve">’s engagement under sections 38 (d), (e) or (f) of the PSM Act (loss of confidence, </w:t>
      </w:r>
      <w:r w:rsidRPr="00262D58">
        <w:rPr>
          <w:szCs w:val="24"/>
        </w:rPr>
        <w:t>changed operational requirements or interest of the service)</w:t>
      </w:r>
      <w:r w:rsidRPr="00262D58">
        <w:rPr>
          <w:szCs w:val="24"/>
          <w:lang w:eastAsia="en-AU"/>
        </w:rPr>
        <w:t xml:space="preserve">, the </w:t>
      </w:r>
      <w:r w:rsidRPr="00262D58">
        <w:t>Executive</w:t>
      </w:r>
      <w:r w:rsidRPr="00262D58">
        <w:rPr>
          <w:szCs w:val="24"/>
          <w:lang w:eastAsia="en-AU"/>
        </w:rPr>
        <w:t xml:space="preserve"> must be paid the greater of:</w:t>
      </w:r>
    </w:p>
    <w:p w14:paraId="2D7BB56B" w14:textId="77777777" w:rsidR="00262D58" w:rsidRPr="00262D58" w:rsidRDefault="00262D58" w:rsidP="00262D58">
      <w:pPr>
        <w:numPr>
          <w:ilvl w:val="0"/>
          <w:numId w:val="21"/>
        </w:numPr>
        <w:autoSpaceDE w:val="0"/>
        <w:autoSpaceDN w:val="0"/>
        <w:adjustRightInd w:val="0"/>
        <w:spacing w:before="0" w:after="0"/>
        <w:rPr>
          <w:szCs w:val="24"/>
          <w:lang w:eastAsia="en-AU"/>
        </w:rPr>
      </w:pPr>
      <w:r w:rsidRPr="00262D58">
        <w:rPr>
          <w:szCs w:val="24"/>
          <w:lang w:eastAsia="en-AU"/>
        </w:rPr>
        <w:t>an amount equivalent to 2 weeks of the Executive’s salary for every year of relevant service but not more than an amount equivalent to 44 weeks of the Executive’s salary; and</w:t>
      </w:r>
    </w:p>
    <w:p w14:paraId="7DEB96AB" w14:textId="77777777" w:rsidR="00262D58" w:rsidRPr="00262D58" w:rsidRDefault="00262D58" w:rsidP="00262D58">
      <w:pPr>
        <w:numPr>
          <w:ilvl w:val="0"/>
          <w:numId w:val="21"/>
        </w:numPr>
        <w:autoSpaceDE w:val="0"/>
        <w:autoSpaceDN w:val="0"/>
        <w:adjustRightInd w:val="0"/>
        <w:spacing w:before="0" w:after="0"/>
        <w:rPr>
          <w:szCs w:val="24"/>
          <w:lang w:val="en-US"/>
        </w:rPr>
      </w:pPr>
      <w:r w:rsidRPr="00262D58">
        <w:rPr>
          <w:szCs w:val="24"/>
          <w:lang w:eastAsia="en-AU"/>
        </w:rPr>
        <w:t>an amount equivalent to 6 months of the Executive’s salary.</w:t>
      </w:r>
    </w:p>
    <w:p w14:paraId="5A30F26F" w14:textId="723C0948" w:rsidR="00E36C05" w:rsidRPr="007D4E6D" w:rsidRDefault="00E36C05" w:rsidP="00E36C05">
      <w:pPr>
        <w:pStyle w:val="Heading3"/>
      </w:pPr>
      <w:bookmarkStart w:id="63" w:name="_Toc233626560"/>
      <w:r>
        <w:t xml:space="preserve">6.4 </w:t>
      </w:r>
      <w:r w:rsidR="00A231F3">
        <w:t>Non-renewal of contract</w:t>
      </w:r>
      <w:bookmarkEnd w:id="63"/>
    </w:p>
    <w:p w14:paraId="4312965E" w14:textId="77777777" w:rsidR="00262D58" w:rsidRPr="00262D58" w:rsidRDefault="00262D58" w:rsidP="00262D58">
      <w:pPr>
        <w:rPr>
          <w:szCs w:val="24"/>
        </w:rPr>
      </w:pPr>
      <w:r w:rsidRPr="00262D58">
        <w:rPr>
          <w:szCs w:val="24"/>
        </w:rPr>
        <w:t xml:space="preserve">Under section 55 of the PSM Standards, where an </w:t>
      </w:r>
      <w:r w:rsidRPr="00262D58">
        <w:t>Executive</w:t>
      </w:r>
      <w:r w:rsidRPr="00262D58">
        <w:rPr>
          <w:szCs w:val="24"/>
        </w:rPr>
        <w:t xml:space="preserve"> is not to be re</w:t>
      </w:r>
      <w:r w:rsidRPr="00262D58">
        <w:rPr>
          <w:szCs w:val="24"/>
        </w:rPr>
        <w:noBreakHyphen/>
        <w:t>engaged at the end of a long</w:t>
      </w:r>
      <w:r w:rsidRPr="00262D58">
        <w:rPr>
          <w:szCs w:val="24"/>
        </w:rPr>
        <w:noBreakHyphen/>
        <w:t xml:space="preserve">term contract, if the Head of Service does not provide a minimum of 3 months’ written notice, a payment must be made in lieu of that notice.  This notice requirement applies to a decision not to re-engage any Executive on a long-term contract, regardless of the length of that long term contract.  It also applies to an Executive who was re-engaged under section 55A of the PSM Standards. </w:t>
      </w:r>
    </w:p>
    <w:p w14:paraId="405DEDFD" w14:textId="77777777" w:rsidR="00262D58" w:rsidRPr="00262D58" w:rsidRDefault="00262D58" w:rsidP="00262D58">
      <w:pPr>
        <w:pStyle w:val="BodyText2"/>
        <w:spacing w:line="240" w:lineRule="auto"/>
        <w:rPr>
          <w:szCs w:val="24"/>
        </w:rPr>
      </w:pPr>
      <w:r w:rsidRPr="00262D58">
        <w:rPr>
          <w:szCs w:val="24"/>
        </w:rPr>
        <w:lastRenderedPageBreak/>
        <w:t>Section 55 of the PSM Standards outlines the circumstances in which a payment must be made if the required notice has not been given. Section 55 also outlines the circumstances in which this payment is not required, for example if the Executive has accepted another position in the public sector or is entitled to a special benefit or redundancy type payment.</w:t>
      </w:r>
    </w:p>
    <w:p w14:paraId="51DC6E45" w14:textId="303C0884" w:rsidR="00E36C05" w:rsidRPr="007D4E6D" w:rsidRDefault="00E36C05" w:rsidP="00E36C05">
      <w:pPr>
        <w:pStyle w:val="Heading3"/>
      </w:pPr>
      <w:bookmarkStart w:id="64" w:name="_Toc233626561"/>
      <w:r>
        <w:t xml:space="preserve">6.5 </w:t>
      </w:r>
      <w:r w:rsidR="00A231F3">
        <w:t xml:space="preserve">Financial and </w:t>
      </w:r>
      <w:r w:rsidR="00B76F6B">
        <w:t>c</w:t>
      </w:r>
      <w:r w:rsidR="00A231F3">
        <w:t>areer counselling</w:t>
      </w:r>
      <w:bookmarkEnd w:id="64"/>
    </w:p>
    <w:p w14:paraId="2FC1E2AB" w14:textId="2D8373B5" w:rsidR="00262D58" w:rsidRPr="00262D58" w:rsidRDefault="00262D58" w:rsidP="00262D58">
      <w:pPr>
        <w:spacing w:after="120"/>
        <w:rPr>
          <w:szCs w:val="24"/>
        </w:rPr>
      </w:pPr>
      <w:r w:rsidRPr="00262D58">
        <w:rPr>
          <w:szCs w:val="24"/>
        </w:rPr>
        <w:t xml:space="preserve">Where an Executive’s long-term contract is terminated early, or being considered for early termination, due to operational reasons, there is scope to provide, with regard to all the circumstances, additional support including: </w:t>
      </w:r>
    </w:p>
    <w:p w14:paraId="3C21843A" w14:textId="77777777" w:rsidR="00262D58" w:rsidRPr="00262D58" w:rsidRDefault="00262D58" w:rsidP="00262D58">
      <w:pPr>
        <w:numPr>
          <w:ilvl w:val="0"/>
          <w:numId w:val="21"/>
        </w:numPr>
        <w:autoSpaceDE w:val="0"/>
        <w:autoSpaceDN w:val="0"/>
        <w:adjustRightInd w:val="0"/>
        <w:spacing w:before="0" w:after="0"/>
        <w:rPr>
          <w:szCs w:val="24"/>
          <w:lang w:eastAsia="en-AU"/>
        </w:rPr>
      </w:pPr>
      <w:r w:rsidRPr="00262D58">
        <w:rPr>
          <w:szCs w:val="24"/>
          <w:lang w:eastAsia="en-AU"/>
        </w:rPr>
        <w:t>supplementation of accredited financial counselling up to the maximum identified in the template enterprise agreement for non-Executive staff; and</w:t>
      </w:r>
    </w:p>
    <w:p w14:paraId="6CDA7132" w14:textId="77777777" w:rsidR="00262D58" w:rsidRPr="00262D58" w:rsidRDefault="00262D58" w:rsidP="00262D58">
      <w:pPr>
        <w:numPr>
          <w:ilvl w:val="0"/>
          <w:numId w:val="21"/>
        </w:numPr>
        <w:autoSpaceDE w:val="0"/>
        <w:autoSpaceDN w:val="0"/>
        <w:adjustRightInd w:val="0"/>
        <w:spacing w:before="0" w:after="0"/>
        <w:rPr>
          <w:szCs w:val="24"/>
          <w:lang w:eastAsia="en-AU"/>
        </w:rPr>
      </w:pPr>
      <w:r w:rsidRPr="00262D58">
        <w:rPr>
          <w:szCs w:val="24"/>
          <w:lang w:eastAsia="en-AU"/>
        </w:rPr>
        <w:t xml:space="preserve">supplementation of accredited career/outplacement counselling up to a maximum of $5,000. These may be billed to the directorate. </w:t>
      </w:r>
    </w:p>
    <w:p w14:paraId="35DC2D78" w14:textId="1071A3A0" w:rsidR="00BD7553" w:rsidRPr="003C6195" w:rsidRDefault="00BD7553" w:rsidP="00BA666E"/>
    <w:p w14:paraId="3ABF7FBA" w14:textId="3DF44DA2" w:rsidR="00E04BD3" w:rsidRPr="00AD3D3C" w:rsidRDefault="00322377" w:rsidP="00E04BD3">
      <w:pPr>
        <w:pStyle w:val="Heading2"/>
      </w:pPr>
      <w:bookmarkStart w:id="65" w:name="_Toc233626562"/>
      <w:r>
        <w:rPr>
          <w:noProof/>
          <w:lang w:val="en-GB" w:eastAsia="en-AU"/>
          <w14:ligatures w14:val="standardContextual"/>
        </w:rPr>
        <w:drawing>
          <wp:anchor distT="0" distB="0" distL="114300" distR="114300" simplePos="0" relativeHeight="251658241" behindDoc="0" locked="0" layoutInCell="1" allowOverlap="1" wp14:anchorId="5C6B1122" wp14:editId="447A1EEC">
            <wp:simplePos x="0" y="0"/>
            <wp:positionH relativeFrom="column">
              <wp:posOffset>0</wp:posOffset>
            </wp:positionH>
            <wp:positionV relativeFrom="page">
              <wp:posOffset>9243257</wp:posOffset>
            </wp:positionV>
            <wp:extent cx="1574800" cy="801370"/>
            <wp:effectExtent l="0" t="0" r="0" b="0"/>
            <wp:wrapNone/>
            <wp:docPr id="2034989759"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8331"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4800" cy="801370"/>
                    </a:xfrm>
                    <a:prstGeom prst="rect">
                      <a:avLst/>
                    </a:prstGeom>
                  </pic:spPr>
                </pic:pic>
              </a:graphicData>
            </a:graphic>
            <wp14:sizeRelH relativeFrom="page">
              <wp14:pctWidth>0</wp14:pctWidth>
            </wp14:sizeRelH>
            <wp14:sizeRelV relativeFrom="page">
              <wp14:pctHeight>0</wp14:pctHeight>
            </wp14:sizeRelV>
          </wp:anchor>
        </w:drawing>
      </w:r>
      <w:r w:rsidR="00E04BD3">
        <w:t>Approval Authority</w:t>
      </w:r>
      <w:bookmarkEnd w:id="65"/>
    </w:p>
    <w:tbl>
      <w:tblPr>
        <w:tblW w:w="82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6420"/>
      </w:tblGrid>
      <w:tr w:rsidR="00BF50F1" w:rsidRPr="00B71586" w14:paraId="7B2BC06D" w14:textId="77777777" w:rsidTr="00FE52E6">
        <w:trPr>
          <w:trHeight w:val="390"/>
        </w:trPr>
        <w:tc>
          <w:tcPr>
            <w:tcW w:w="1815" w:type="dxa"/>
            <w:tcBorders>
              <w:top w:val="single" w:sz="6" w:space="0" w:color="000000"/>
              <w:left w:val="nil"/>
              <w:bottom w:val="single" w:sz="18" w:space="0" w:color="000000"/>
              <w:right w:val="nil"/>
            </w:tcBorders>
            <w:hideMark/>
          </w:tcPr>
          <w:p w14:paraId="01806430" w14:textId="77777777" w:rsidR="00BF50F1" w:rsidRPr="00BF50F1" w:rsidRDefault="00BF50F1" w:rsidP="00FE52E6">
            <w:pPr>
              <w:rPr>
                <w:lang w:eastAsia="en-AU"/>
              </w:rPr>
            </w:pPr>
            <w:r w:rsidRPr="00BF50F1">
              <w:rPr>
                <w:b/>
                <w:lang w:val="en-US" w:eastAsia="en-AU"/>
              </w:rPr>
              <w:t>Item</w:t>
            </w:r>
            <w:r w:rsidRPr="00BF50F1">
              <w:rPr>
                <w:lang w:eastAsia="en-AU"/>
              </w:rPr>
              <w:t> </w:t>
            </w:r>
          </w:p>
        </w:tc>
        <w:tc>
          <w:tcPr>
            <w:tcW w:w="6420" w:type="dxa"/>
            <w:tcBorders>
              <w:top w:val="single" w:sz="6" w:space="0" w:color="000000"/>
              <w:left w:val="nil"/>
              <w:bottom w:val="single" w:sz="18" w:space="0" w:color="000000"/>
              <w:right w:val="nil"/>
            </w:tcBorders>
            <w:hideMark/>
          </w:tcPr>
          <w:p w14:paraId="35904820" w14:textId="77777777" w:rsidR="00BF50F1" w:rsidRPr="00BF50F1" w:rsidRDefault="00BF50F1" w:rsidP="00FE52E6">
            <w:pPr>
              <w:rPr>
                <w:lang w:eastAsia="en-AU"/>
              </w:rPr>
            </w:pPr>
            <w:r w:rsidRPr="00BF50F1">
              <w:rPr>
                <w:b/>
                <w:lang w:val="en-US" w:eastAsia="en-AU"/>
              </w:rPr>
              <w:t>Details</w:t>
            </w:r>
            <w:r w:rsidRPr="00BF50F1">
              <w:rPr>
                <w:lang w:eastAsia="en-AU"/>
              </w:rPr>
              <w:t> </w:t>
            </w:r>
          </w:p>
        </w:tc>
      </w:tr>
      <w:tr w:rsidR="00BF50F1" w:rsidRPr="00B71586" w14:paraId="0DDBDCCA" w14:textId="77777777" w:rsidTr="00FE52E6">
        <w:trPr>
          <w:trHeight w:val="360"/>
        </w:trPr>
        <w:tc>
          <w:tcPr>
            <w:tcW w:w="1815" w:type="dxa"/>
            <w:tcBorders>
              <w:top w:val="single" w:sz="18" w:space="0" w:color="000000"/>
              <w:left w:val="nil"/>
              <w:bottom w:val="dotted" w:sz="6" w:space="0" w:color="000000"/>
              <w:right w:val="nil"/>
            </w:tcBorders>
            <w:hideMark/>
          </w:tcPr>
          <w:p w14:paraId="588201DE" w14:textId="77777777" w:rsidR="00BF50F1" w:rsidRPr="00BF50F1" w:rsidRDefault="00BF50F1" w:rsidP="00FE52E6">
            <w:pPr>
              <w:rPr>
                <w:lang w:eastAsia="en-AU"/>
              </w:rPr>
            </w:pPr>
            <w:r w:rsidRPr="00BF50F1">
              <w:rPr>
                <w:lang w:val="en-US" w:eastAsia="en-AU"/>
              </w:rPr>
              <w:t>Document name:</w:t>
            </w:r>
            <w:r w:rsidRPr="00BF50F1">
              <w:rPr>
                <w:lang w:eastAsia="en-AU"/>
              </w:rPr>
              <w:t> </w:t>
            </w:r>
          </w:p>
        </w:tc>
        <w:tc>
          <w:tcPr>
            <w:tcW w:w="6420" w:type="dxa"/>
            <w:tcBorders>
              <w:top w:val="single" w:sz="18" w:space="0" w:color="000000"/>
              <w:left w:val="nil"/>
              <w:bottom w:val="dotted" w:sz="6" w:space="0" w:color="000000"/>
              <w:right w:val="nil"/>
            </w:tcBorders>
            <w:hideMark/>
          </w:tcPr>
          <w:p w14:paraId="0E8E8DA0" w14:textId="5B166A57" w:rsidR="00BF50F1" w:rsidRPr="00BF50F1" w:rsidRDefault="00BF50F1" w:rsidP="00FE52E6">
            <w:pPr>
              <w:rPr>
                <w:lang w:eastAsia="en-AU"/>
              </w:rPr>
            </w:pPr>
            <w:r>
              <w:rPr>
                <w:lang w:eastAsia="en-AU"/>
              </w:rPr>
              <w:t>Senior Executive Service Handbook</w:t>
            </w:r>
          </w:p>
        </w:tc>
      </w:tr>
      <w:tr w:rsidR="00BF50F1" w:rsidRPr="00B71586" w14:paraId="0082020D" w14:textId="77777777" w:rsidTr="00FE52E6">
        <w:trPr>
          <w:trHeight w:val="390"/>
        </w:trPr>
        <w:tc>
          <w:tcPr>
            <w:tcW w:w="1815" w:type="dxa"/>
            <w:tcBorders>
              <w:top w:val="dotted" w:sz="6" w:space="0" w:color="000000"/>
              <w:left w:val="nil"/>
              <w:bottom w:val="dotted" w:sz="6" w:space="0" w:color="000000"/>
              <w:right w:val="nil"/>
            </w:tcBorders>
            <w:hideMark/>
          </w:tcPr>
          <w:p w14:paraId="46B1E48F" w14:textId="77777777" w:rsidR="00BF50F1" w:rsidRPr="00BF50F1" w:rsidRDefault="00BF50F1" w:rsidP="00FE52E6">
            <w:pPr>
              <w:rPr>
                <w:lang w:eastAsia="en-AU"/>
              </w:rPr>
            </w:pPr>
            <w:r w:rsidRPr="00BF50F1">
              <w:rPr>
                <w:lang w:val="en-US" w:eastAsia="en-AU"/>
              </w:rPr>
              <w:t>Document owner:</w:t>
            </w:r>
            <w:r w:rsidRPr="00BF50F1">
              <w:rPr>
                <w:lang w:eastAsia="en-AU"/>
              </w:rPr>
              <w:t> </w:t>
            </w:r>
          </w:p>
        </w:tc>
        <w:tc>
          <w:tcPr>
            <w:tcW w:w="6420" w:type="dxa"/>
            <w:tcBorders>
              <w:top w:val="dotted" w:sz="6" w:space="0" w:color="000000"/>
              <w:left w:val="nil"/>
              <w:bottom w:val="dotted" w:sz="6" w:space="0" w:color="000000"/>
              <w:right w:val="nil"/>
            </w:tcBorders>
            <w:hideMark/>
          </w:tcPr>
          <w:p w14:paraId="319A1E1D" w14:textId="20E377D6" w:rsidR="00BF50F1" w:rsidRPr="00BF50F1" w:rsidRDefault="00BF50F1" w:rsidP="00FE52E6">
            <w:pPr>
              <w:rPr>
                <w:lang w:eastAsia="en-AU"/>
              </w:rPr>
            </w:pPr>
            <w:r>
              <w:rPr>
                <w:lang w:val="en-US" w:eastAsia="en-AU"/>
              </w:rPr>
              <w:t xml:space="preserve">Capability, Culture and Governance Group, </w:t>
            </w:r>
            <w:r w:rsidRPr="00BF50F1">
              <w:rPr>
                <w:lang w:val="en-US" w:eastAsia="en-AU"/>
              </w:rPr>
              <w:t>OIRWS, CMTEDD</w:t>
            </w:r>
            <w:r w:rsidRPr="00BF50F1">
              <w:rPr>
                <w:lang w:eastAsia="en-AU"/>
              </w:rPr>
              <w:t> </w:t>
            </w:r>
          </w:p>
        </w:tc>
      </w:tr>
      <w:tr w:rsidR="00BF50F1" w:rsidRPr="00B71586" w14:paraId="3F16941C" w14:textId="77777777" w:rsidTr="00FE52E6">
        <w:trPr>
          <w:trHeight w:val="390"/>
        </w:trPr>
        <w:tc>
          <w:tcPr>
            <w:tcW w:w="1815" w:type="dxa"/>
            <w:tcBorders>
              <w:top w:val="dotted" w:sz="6" w:space="0" w:color="000000"/>
              <w:left w:val="nil"/>
              <w:bottom w:val="dotted" w:sz="6" w:space="0" w:color="000000"/>
              <w:right w:val="nil"/>
            </w:tcBorders>
          </w:tcPr>
          <w:p w14:paraId="75333865" w14:textId="1BE2E7AE" w:rsidR="00BF50F1" w:rsidRPr="00BF50F1" w:rsidRDefault="00BF50F1" w:rsidP="00FE52E6">
            <w:pPr>
              <w:rPr>
                <w:lang w:val="en-US" w:eastAsia="en-AU"/>
              </w:rPr>
            </w:pPr>
            <w:r>
              <w:rPr>
                <w:lang w:val="en-US" w:eastAsia="en-AU"/>
              </w:rPr>
              <w:t>Contact:</w:t>
            </w:r>
          </w:p>
        </w:tc>
        <w:tc>
          <w:tcPr>
            <w:tcW w:w="6420" w:type="dxa"/>
            <w:tcBorders>
              <w:top w:val="dotted" w:sz="6" w:space="0" w:color="000000"/>
              <w:left w:val="nil"/>
              <w:bottom w:val="dotted" w:sz="6" w:space="0" w:color="000000"/>
              <w:right w:val="nil"/>
            </w:tcBorders>
          </w:tcPr>
          <w:p w14:paraId="49077B6B" w14:textId="69BC6BF9" w:rsidR="00BF50F1" w:rsidRDefault="00BF50F1" w:rsidP="00FE52E6">
            <w:pPr>
              <w:rPr>
                <w:lang w:val="en-US" w:eastAsia="en-AU"/>
              </w:rPr>
            </w:pPr>
            <w:hyperlink r:id="rId44" w:history="1">
              <w:r w:rsidRPr="00BF50F1">
                <w:rPr>
                  <w:rStyle w:val="Hyperlink"/>
                  <w:lang w:val="en-US" w:eastAsia="en-AU"/>
                </w:rPr>
                <w:t>executive.employment@act.gov.au</w:t>
              </w:r>
            </w:hyperlink>
            <w:r>
              <w:rPr>
                <w:lang w:val="en-US" w:eastAsia="en-AU"/>
              </w:rPr>
              <w:t xml:space="preserve"> </w:t>
            </w:r>
          </w:p>
        </w:tc>
      </w:tr>
      <w:tr w:rsidR="00BF50F1" w:rsidRPr="00B71586" w14:paraId="3C0D648E" w14:textId="77777777" w:rsidTr="00FE52E6">
        <w:trPr>
          <w:trHeight w:val="390"/>
        </w:trPr>
        <w:tc>
          <w:tcPr>
            <w:tcW w:w="1815" w:type="dxa"/>
            <w:tcBorders>
              <w:top w:val="dotted" w:sz="6" w:space="0" w:color="000000"/>
              <w:left w:val="nil"/>
              <w:bottom w:val="dotted" w:sz="6" w:space="0" w:color="000000"/>
              <w:right w:val="nil"/>
            </w:tcBorders>
            <w:hideMark/>
          </w:tcPr>
          <w:p w14:paraId="16955317" w14:textId="7696C893" w:rsidR="00BF50F1" w:rsidRPr="00BF50F1" w:rsidRDefault="00BF50F1" w:rsidP="00FE52E6">
            <w:pPr>
              <w:rPr>
                <w:lang w:eastAsia="en-AU"/>
              </w:rPr>
            </w:pPr>
            <w:r w:rsidRPr="00BF50F1">
              <w:rPr>
                <w:lang w:val="en-US" w:eastAsia="en-AU"/>
              </w:rPr>
              <w:t>Approved by</w:t>
            </w:r>
            <w:r>
              <w:rPr>
                <w:lang w:val="en-US" w:eastAsia="en-AU"/>
              </w:rPr>
              <w:t>:</w:t>
            </w:r>
            <w:r w:rsidRPr="00BF50F1">
              <w:rPr>
                <w:lang w:eastAsia="en-AU"/>
              </w:rPr>
              <w:t> </w:t>
            </w:r>
          </w:p>
        </w:tc>
        <w:tc>
          <w:tcPr>
            <w:tcW w:w="6420" w:type="dxa"/>
            <w:tcBorders>
              <w:top w:val="dotted" w:sz="6" w:space="0" w:color="000000"/>
              <w:left w:val="nil"/>
              <w:bottom w:val="dotted" w:sz="6" w:space="0" w:color="000000"/>
              <w:right w:val="nil"/>
            </w:tcBorders>
            <w:hideMark/>
          </w:tcPr>
          <w:p w14:paraId="79A14CD4" w14:textId="5B3FAF24" w:rsidR="00BF50F1" w:rsidRPr="00BF50F1" w:rsidRDefault="004F57CE" w:rsidP="00FE52E6">
            <w:pPr>
              <w:rPr>
                <w:lang w:eastAsia="en-AU"/>
              </w:rPr>
            </w:pPr>
            <w:r>
              <w:t>Head of Service</w:t>
            </w:r>
          </w:p>
        </w:tc>
      </w:tr>
      <w:tr w:rsidR="00BF50F1" w:rsidRPr="00B71586" w14:paraId="417307AA" w14:textId="77777777" w:rsidTr="00FE52E6">
        <w:trPr>
          <w:trHeight w:val="390"/>
        </w:trPr>
        <w:tc>
          <w:tcPr>
            <w:tcW w:w="1815" w:type="dxa"/>
            <w:tcBorders>
              <w:top w:val="dotted" w:sz="6" w:space="0" w:color="000000"/>
              <w:left w:val="nil"/>
              <w:bottom w:val="dotted" w:sz="6" w:space="0" w:color="000000"/>
              <w:right w:val="nil"/>
            </w:tcBorders>
            <w:hideMark/>
          </w:tcPr>
          <w:p w14:paraId="68D75D4C" w14:textId="77777777" w:rsidR="00BF50F1" w:rsidRPr="00BF50F1" w:rsidRDefault="00BF50F1" w:rsidP="00FE52E6">
            <w:pPr>
              <w:rPr>
                <w:lang w:eastAsia="en-AU"/>
              </w:rPr>
            </w:pPr>
            <w:r w:rsidRPr="00BF50F1">
              <w:rPr>
                <w:lang w:val="en-US" w:eastAsia="en-AU"/>
              </w:rPr>
              <w:t>Approval date:</w:t>
            </w:r>
            <w:r w:rsidRPr="00BF50F1">
              <w:rPr>
                <w:lang w:eastAsia="en-AU"/>
              </w:rPr>
              <w:t> </w:t>
            </w:r>
          </w:p>
        </w:tc>
        <w:tc>
          <w:tcPr>
            <w:tcW w:w="6420" w:type="dxa"/>
            <w:tcBorders>
              <w:top w:val="dotted" w:sz="6" w:space="0" w:color="000000"/>
              <w:left w:val="nil"/>
              <w:bottom w:val="dotted" w:sz="6" w:space="0" w:color="000000"/>
              <w:right w:val="nil"/>
            </w:tcBorders>
            <w:hideMark/>
          </w:tcPr>
          <w:p w14:paraId="292311EA" w14:textId="68223158" w:rsidR="00BF50F1" w:rsidRPr="00BF50F1" w:rsidRDefault="00A228B1" w:rsidP="00FE52E6">
            <w:pPr>
              <w:rPr>
                <w:lang w:eastAsia="en-AU"/>
              </w:rPr>
            </w:pPr>
            <w:r>
              <w:rPr>
                <w:lang w:val="en-US" w:eastAsia="en-AU"/>
              </w:rPr>
              <w:t>June</w:t>
            </w:r>
            <w:r w:rsidR="00BF50F1" w:rsidRPr="00BF50F1">
              <w:rPr>
                <w:lang w:val="en-US" w:eastAsia="en-AU"/>
              </w:rPr>
              <w:t> 2026</w:t>
            </w:r>
            <w:r w:rsidR="00BF50F1" w:rsidRPr="00BF50F1">
              <w:rPr>
                <w:lang w:eastAsia="en-AU"/>
              </w:rPr>
              <w:t> </w:t>
            </w:r>
          </w:p>
        </w:tc>
      </w:tr>
      <w:tr w:rsidR="00BF50F1" w:rsidRPr="00B71586" w14:paraId="13858F1E" w14:textId="77777777" w:rsidTr="00FE52E6">
        <w:trPr>
          <w:trHeight w:val="390"/>
        </w:trPr>
        <w:tc>
          <w:tcPr>
            <w:tcW w:w="1815" w:type="dxa"/>
            <w:tcBorders>
              <w:top w:val="dotted" w:sz="6" w:space="0" w:color="000000"/>
              <w:left w:val="nil"/>
              <w:bottom w:val="dotted" w:sz="6" w:space="0" w:color="000000"/>
              <w:right w:val="nil"/>
            </w:tcBorders>
            <w:hideMark/>
          </w:tcPr>
          <w:p w14:paraId="74F9CD6F" w14:textId="77777777" w:rsidR="00BF50F1" w:rsidRPr="00BF50F1" w:rsidRDefault="00BF50F1" w:rsidP="00FE52E6">
            <w:pPr>
              <w:rPr>
                <w:lang w:eastAsia="en-AU"/>
              </w:rPr>
            </w:pPr>
            <w:r w:rsidRPr="00BF50F1">
              <w:rPr>
                <w:lang w:val="en-US" w:eastAsia="en-AU"/>
              </w:rPr>
              <w:t>Review date:</w:t>
            </w:r>
            <w:r w:rsidRPr="00BF50F1">
              <w:rPr>
                <w:lang w:eastAsia="en-AU"/>
              </w:rPr>
              <w:t> </w:t>
            </w:r>
          </w:p>
        </w:tc>
        <w:tc>
          <w:tcPr>
            <w:tcW w:w="6420" w:type="dxa"/>
            <w:tcBorders>
              <w:top w:val="dotted" w:sz="6" w:space="0" w:color="000000"/>
              <w:left w:val="nil"/>
              <w:bottom w:val="dotted" w:sz="6" w:space="0" w:color="000000"/>
              <w:right w:val="nil"/>
            </w:tcBorders>
            <w:hideMark/>
          </w:tcPr>
          <w:p w14:paraId="2E4B22DF" w14:textId="792C9C59" w:rsidR="00BF50F1" w:rsidRPr="00BF50F1" w:rsidRDefault="00A228B1" w:rsidP="00FE52E6">
            <w:pPr>
              <w:rPr>
                <w:lang w:eastAsia="en-AU"/>
              </w:rPr>
            </w:pPr>
            <w:r>
              <w:rPr>
                <w:lang w:val="en-US" w:eastAsia="en-AU"/>
              </w:rPr>
              <w:t>June</w:t>
            </w:r>
            <w:r w:rsidR="00BF50F1" w:rsidRPr="00BF50F1">
              <w:rPr>
                <w:lang w:val="en-US" w:eastAsia="en-AU"/>
              </w:rPr>
              <w:t> 2029</w:t>
            </w:r>
            <w:r w:rsidR="00BF50F1" w:rsidRPr="00BF50F1">
              <w:rPr>
                <w:lang w:eastAsia="en-AU"/>
              </w:rPr>
              <w:t> </w:t>
            </w:r>
          </w:p>
        </w:tc>
      </w:tr>
    </w:tbl>
    <w:p w14:paraId="6D03E693" w14:textId="77777777" w:rsidR="00BF50F1" w:rsidRDefault="00BF50F1">
      <w:pPr>
        <w:rPr>
          <w:noProof/>
          <w:lang w:eastAsia="en-AU"/>
          <w14:ligatures w14:val="standardContextual"/>
        </w:rPr>
      </w:pPr>
    </w:p>
    <w:p w14:paraId="1B779447" w14:textId="77777777" w:rsidR="00535D3E" w:rsidRDefault="00535D3E" w:rsidP="00535D3E">
      <w:pPr>
        <w:rPr>
          <w:b/>
          <w:noProof/>
          <w:lang w:val="en-US" w:eastAsia="en-AU"/>
          <w14:ligatures w14:val="standardContextual"/>
        </w:rPr>
      </w:pPr>
    </w:p>
    <w:p w14:paraId="20EC0EEE" w14:textId="5C598E7E" w:rsidR="00594640" w:rsidRDefault="00594640" w:rsidP="006723B6"/>
    <w:sectPr w:rsidR="00594640" w:rsidSect="0045223D">
      <w:footerReference w:type="first" r:id="rId45"/>
      <w:pgSz w:w="11906" w:h="16838"/>
      <w:pgMar w:top="1440" w:right="196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7C617" w14:textId="77777777" w:rsidR="005441A8" w:rsidRDefault="005441A8" w:rsidP="00BA666E">
      <w:r>
        <w:separator/>
      </w:r>
    </w:p>
  </w:endnote>
  <w:endnote w:type="continuationSeparator" w:id="0">
    <w:p w14:paraId="4321758D" w14:textId="77777777" w:rsidR="005441A8" w:rsidRDefault="005441A8" w:rsidP="00BA666E">
      <w:r>
        <w:continuationSeparator/>
      </w:r>
    </w:p>
  </w:endnote>
  <w:endnote w:type="continuationNotice" w:id="1">
    <w:p w14:paraId="341031D7" w14:textId="77777777" w:rsidR="005441A8" w:rsidRDefault="005441A8" w:rsidP="00BA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610806"/>
      <w:docPartObj>
        <w:docPartGallery w:val="Page Numbers (Bottom of Page)"/>
        <w:docPartUnique/>
      </w:docPartObj>
    </w:sdtPr>
    <w:sdtContent>
      <w:p w14:paraId="69072257" w14:textId="692F336E" w:rsidR="00F30E50" w:rsidRDefault="00F30E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A06AB" w14:textId="77777777" w:rsidR="008A2BE1" w:rsidRDefault="008A2BE1" w:rsidP="00F30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323426462"/>
      <w:docPartObj>
        <w:docPartGallery w:val="Page Numbers (Bottom of Page)"/>
        <w:docPartUnique/>
      </w:docPartObj>
    </w:sdtPr>
    <w:sdtContent>
      <w:p w14:paraId="2C45EE3B" w14:textId="77777777" w:rsidR="001E49B4" w:rsidRPr="003A0EC4" w:rsidRDefault="001E49B4"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sdt>
    <w:sdtPr>
      <w:rPr>
        <w:sz w:val="18"/>
        <w:szCs w:val="18"/>
      </w:rPr>
      <w:id w:val="-1967728817"/>
      <w:placeholder>
        <w:docPart w:val="29017B08C160D84ABA40B95201D18DE7"/>
      </w:placeholder>
      <w:temporary/>
      <w:showingPlcHdr/>
      <w15:appearance w15:val="hidden"/>
    </w:sdtPr>
    <w:sdtContent>
      <w:p w14:paraId="659008D0" w14:textId="593A8D12" w:rsidR="009724C2" w:rsidRPr="001E49B4" w:rsidRDefault="001E49B4" w:rsidP="001E49B4">
        <w:pPr>
          <w:pStyle w:val="Footer"/>
          <w:ind w:right="360"/>
          <w:rPr>
            <w:sz w:val="18"/>
            <w:szCs w:val="18"/>
          </w:rPr>
        </w:pPr>
        <w:r w:rsidRPr="003A0EC4">
          <w:rPr>
            <w:sz w:val="18"/>
            <w:szCs w:val="18"/>
          </w:rPr>
          <w:t>[Type here]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55D" w14:textId="60092BF8" w:rsidR="008A2BE1" w:rsidRPr="003A0EC4" w:rsidRDefault="008A2BE1" w:rsidP="000943E9">
    <w:pPr>
      <w:pStyle w:val="Footer"/>
      <w:tabs>
        <w:tab w:val="clear" w:pos="4513"/>
        <w:tab w:val="clear" w:pos="9026"/>
        <w:tab w:val="left" w:pos="1473"/>
      </w:tabs>
      <w:ind w:right="360"/>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81677751"/>
      <w:docPartObj>
        <w:docPartGallery w:val="Page Numbers (Bottom of Page)"/>
        <w:docPartUnique/>
      </w:docPartObj>
    </w:sdtPr>
    <w:sdtContent>
      <w:p w14:paraId="7961A5FE" w14:textId="77777777" w:rsidR="000943E9" w:rsidRPr="003A0EC4" w:rsidRDefault="000943E9"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p w14:paraId="322A0A65" w14:textId="091CC13B" w:rsidR="000943E9" w:rsidRPr="001E49B4" w:rsidRDefault="000943E9" w:rsidP="001E49B4">
    <w:pPr>
      <w:pStyle w:val="Footer"/>
      <w:ind w:right="360"/>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8865" w14:textId="3C135552" w:rsidR="000943E9" w:rsidRPr="003A0EC4" w:rsidRDefault="000943E9" w:rsidP="000943E9">
    <w:pPr>
      <w:pStyle w:val="Footer"/>
      <w:ind w:right="360"/>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FD1B" w14:textId="77777777" w:rsidR="00130E34" w:rsidRPr="003A0EC4" w:rsidRDefault="00130E34" w:rsidP="000943E9">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CC09" w14:textId="77777777" w:rsidR="005441A8" w:rsidRDefault="005441A8" w:rsidP="00BA666E">
      <w:r>
        <w:separator/>
      </w:r>
    </w:p>
  </w:footnote>
  <w:footnote w:type="continuationSeparator" w:id="0">
    <w:p w14:paraId="7A7E0CC5" w14:textId="77777777" w:rsidR="005441A8" w:rsidRDefault="005441A8" w:rsidP="00BA666E">
      <w:r>
        <w:continuationSeparator/>
      </w:r>
    </w:p>
  </w:footnote>
  <w:footnote w:type="continuationNotice" w:id="1">
    <w:p w14:paraId="77EF0297" w14:textId="77777777" w:rsidR="005441A8" w:rsidRDefault="005441A8" w:rsidP="00BA666E"/>
  </w:footnote>
  <w:footnote w:id="2">
    <w:p w14:paraId="65F84D2A" w14:textId="11DB4AA6" w:rsidR="00A231F3" w:rsidRDefault="00A231F3">
      <w:pPr>
        <w:pStyle w:val="FootnoteText"/>
      </w:pPr>
      <w:r>
        <w:rPr>
          <w:rStyle w:val="FootnoteReference"/>
        </w:rPr>
        <w:footnoteRef/>
      </w:r>
      <w:r>
        <w:t xml:space="preserve"> </w:t>
      </w:r>
      <w:r w:rsidRPr="00D173DC">
        <w:rPr>
          <w:rFonts w:cs="Calibri"/>
        </w:rPr>
        <w:t xml:space="preserve">Legislation referred to in this handbook can be found on the ACT Legislation Register, accessible at </w:t>
      </w:r>
      <w:hyperlink r:id="rId1" w:history="1">
        <w:r w:rsidR="000D33F5" w:rsidRPr="00025C92">
          <w:rPr>
            <w:rStyle w:val="Hyperlink"/>
            <w:rFonts w:eastAsiaTheme="majorEastAsia" w:cs="Calibri"/>
          </w:rPr>
          <w:t>http://www.legislation.act.gov.au</w:t>
        </w:r>
      </w:hyperlink>
      <w:r w:rsidR="000D33F5">
        <w:rPr>
          <w:rFonts w:cs="Calibri"/>
        </w:rPr>
        <w:t xml:space="preserve"> </w:t>
      </w:r>
    </w:p>
  </w:footnote>
  <w:footnote w:id="3">
    <w:p w14:paraId="478C6F82" w14:textId="1F9DFF73" w:rsidR="00A231F3" w:rsidRDefault="00A231F3">
      <w:pPr>
        <w:pStyle w:val="FootnoteText"/>
      </w:pPr>
      <w:r>
        <w:rPr>
          <w:rStyle w:val="FootnoteReference"/>
        </w:rPr>
        <w:footnoteRef/>
      </w:r>
      <w:r>
        <w:t xml:space="preserve"> </w:t>
      </w:r>
      <w:r w:rsidRPr="00D173DC">
        <w:rPr>
          <w:rFonts w:cs="Calibri"/>
        </w:rPr>
        <w:t xml:space="preserve">Remuneration Tribunal determinations can be found on the Tribunal website, accessible at </w:t>
      </w:r>
      <w:hyperlink r:id="rId2" w:history="1">
        <w:r w:rsidRPr="00DB7937">
          <w:rPr>
            <w:rStyle w:val="Hyperlink"/>
            <w:rFonts w:eastAsiaTheme="majorEastAsia" w:cs="Calibri"/>
          </w:rPr>
          <w:t>www.remunerationtribunal.act.gov.au/determinations</w:t>
        </w:r>
      </w:hyperlink>
    </w:p>
  </w:footnote>
  <w:footnote w:id="4">
    <w:p w14:paraId="2374B119" w14:textId="77777777" w:rsidR="00A231F3" w:rsidRPr="00254D5D" w:rsidRDefault="00A231F3" w:rsidP="00A231F3">
      <w:pPr>
        <w:pStyle w:val="FootnoteText"/>
        <w:rPr>
          <w:rFonts w:cs="Calibri"/>
        </w:rPr>
      </w:pPr>
      <w:r w:rsidRPr="00254D5D">
        <w:rPr>
          <w:rStyle w:val="FootnoteReference"/>
          <w:rFonts w:eastAsiaTheme="majorEastAsia" w:cs="Calibri"/>
        </w:rPr>
        <w:footnoteRef/>
      </w:r>
      <w:r w:rsidRPr="00254D5D">
        <w:rPr>
          <w:rFonts w:cs="Calibri"/>
        </w:rPr>
        <w:t xml:space="preserve"> A ‘prescribed selection process’ includes advertising the position to members of the community, undertak</w:t>
      </w:r>
      <w:r>
        <w:rPr>
          <w:rFonts w:cs="Calibri"/>
        </w:rPr>
        <w:t>ing</w:t>
      </w:r>
      <w:r w:rsidRPr="00254D5D">
        <w:rPr>
          <w:rFonts w:cs="Calibri"/>
        </w:rPr>
        <w:t xml:space="preserve"> a comparative assessment of applicants based on each applicant’s claim against the selection criteria and completing a selection report </w:t>
      </w:r>
      <w:r>
        <w:rPr>
          <w:rFonts w:cs="Calibri"/>
        </w:rPr>
        <w:t>[</w:t>
      </w:r>
      <w:r w:rsidRPr="00254D5D">
        <w:rPr>
          <w:rFonts w:cs="Calibri"/>
        </w:rPr>
        <w:t>see section 27(1) of the PSM Act (Application of the merit and equity principle) and Part 2 of the PSM Standards (Selection process)</w:t>
      </w:r>
      <w:r>
        <w:rPr>
          <w:rFonts w:cs="Calibri"/>
        </w:rPr>
        <w:t>]</w:t>
      </w:r>
      <w:r w:rsidRPr="00254D5D">
        <w:rPr>
          <w:rFonts w:cs="Calibri"/>
        </w:rPr>
        <w:t xml:space="preserve">. </w:t>
      </w:r>
    </w:p>
  </w:footnote>
  <w:footnote w:id="5">
    <w:p w14:paraId="67796625" w14:textId="77777777" w:rsidR="00CE4774" w:rsidRPr="00254D5D" w:rsidRDefault="00CE4774" w:rsidP="00CE4774">
      <w:pPr>
        <w:pStyle w:val="FootnoteText"/>
        <w:rPr>
          <w:rFonts w:cs="Calibri"/>
        </w:rPr>
      </w:pPr>
      <w:r w:rsidRPr="00254D5D">
        <w:rPr>
          <w:rStyle w:val="FootnoteReference"/>
          <w:rFonts w:eastAsiaTheme="majorEastAsia" w:cs="Calibri"/>
        </w:rPr>
        <w:footnoteRef/>
      </w:r>
      <w:r w:rsidRPr="00254D5D">
        <w:rPr>
          <w:rFonts w:cs="Calibri"/>
        </w:rPr>
        <w:t xml:space="preserve"> See </w:t>
      </w:r>
      <w:r w:rsidRPr="00254D5D">
        <w:rPr>
          <w:rFonts w:cs="Calibri"/>
          <w:szCs w:val="24"/>
        </w:rPr>
        <w:t>section 81 of the PSM Standards 2016</w:t>
      </w:r>
    </w:p>
  </w:footnote>
  <w:footnote w:id="6">
    <w:p w14:paraId="53791FD4" w14:textId="77777777" w:rsidR="00526BC2" w:rsidRPr="00917153" w:rsidRDefault="00526BC2" w:rsidP="00526BC2">
      <w:pPr>
        <w:pStyle w:val="FootnoteText"/>
        <w:rPr>
          <w:rFonts w:cs="Calibri"/>
        </w:rPr>
      </w:pPr>
      <w:r w:rsidRPr="00917153">
        <w:rPr>
          <w:rStyle w:val="FootnoteReference"/>
          <w:rFonts w:eastAsiaTheme="majorEastAsia" w:cs="Calibri"/>
        </w:rPr>
        <w:footnoteRef/>
      </w:r>
      <w:r w:rsidRPr="00917153">
        <w:rPr>
          <w:rFonts w:cs="Calibri"/>
        </w:rPr>
        <w:t xml:space="preserve"> Section 63(2) provides that a SES member is not entitled to annual leave loading. </w:t>
      </w:r>
      <w:r>
        <w:rPr>
          <w:rFonts w:cs="Calibri"/>
        </w:rPr>
        <w:t xml:space="preserve">At the time of drafting, the current agreement is </w:t>
      </w:r>
      <w:hyperlink r:id="rId3" w:history="1">
        <w:r w:rsidRPr="00D90146">
          <w:rPr>
            <w:rStyle w:val="Hyperlink"/>
            <w:rFonts w:eastAsiaTheme="majorEastAsia"/>
            <w:szCs w:val="24"/>
          </w:rPr>
          <w:t>ACT Public Service Administrative and Related Classifications Enterprise Agreement</w:t>
        </w:r>
      </w:hyperlink>
      <w:r>
        <w:rPr>
          <w:szCs w:val="24"/>
        </w:rPr>
        <w:t xml:space="preserve"> </w:t>
      </w:r>
      <w:hyperlink r:id="rId4" w:history="1">
        <w:r w:rsidRPr="00EA7A34">
          <w:rPr>
            <w:rStyle w:val="Hyperlink"/>
            <w:rFonts w:eastAsiaTheme="majorEastAsia"/>
            <w:szCs w:val="24"/>
          </w:rPr>
          <w:t>2023-2026.</w:t>
        </w:r>
      </w:hyperlink>
      <w:r>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F01" w14:textId="486FF77D" w:rsidR="009572B8" w:rsidRDefault="00BA2369">
    <w:pPr>
      <w:pStyle w:val="Header"/>
    </w:pPr>
    <w:r>
      <w:rPr>
        <w:noProof/>
        <w14:ligatures w14:val="standardContextual"/>
      </w:rPr>
      <mc:AlternateContent>
        <mc:Choice Requires="wps">
          <w:drawing>
            <wp:anchor distT="0" distB="0" distL="114300" distR="114300" simplePos="0" relativeHeight="251658240" behindDoc="0" locked="0" layoutInCell="1" allowOverlap="1" wp14:anchorId="0A764BD5" wp14:editId="3D9A72E3">
              <wp:simplePos x="0" y="0"/>
              <wp:positionH relativeFrom="column">
                <wp:posOffset>-408618</wp:posOffset>
              </wp:positionH>
              <wp:positionV relativeFrom="paragraph">
                <wp:posOffset>-554355</wp:posOffset>
              </wp:positionV>
              <wp:extent cx="0" cy="11546006"/>
              <wp:effectExtent l="0" t="0" r="12700" b="11430"/>
              <wp:wrapNone/>
              <wp:docPr id="1028645097" name="Straight Connector 3"/>
              <wp:cNvGraphicFramePr/>
              <a:graphic xmlns:a="http://schemas.openxmlformats.org/drawingml/2006/main">
                <a:graphicData uri="http://schemas.microsoft.com/office/word/2010/wordprocessingShape">
                  <wps:wsp>
                    <wps:cNvCnPr/>
                    <wps:spPr>
                      <a:xfrm>
                        <a:off x="0" y="0"/>
                        <a:ext cx="0" cy="11546006"/>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6A8DA6"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15pt,-43.65pt" to="-32.1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" strokecolor="#0d0d0d [3069]" strokeweight=".5pt">
              <v:stroke joinstyle="miter"/>
            </v:line>
          </w:pict>
        </mc:Fallback>
      </mc:AlternateContent>
    </w:r>
    <w:r w:rsidR="009572B8">
      <w:rPr>
        <w:noProof/>
      </w:rPr>
      <mc:AlternateContent>
        <mc:Choice Requires="wps">
          <w:drawing>
            <wp:anchor distT="0" distB="0" distL="114300" distR="114300" simplePos="0" relativeHeight="251658241" behindDoc="0" locked="0" layoutInCell="1" allowOverlap="1" wp14:anchorId="0517B7C7" wp14:editId="71373C62">
              <wp:simplePos x="0" y="0"/>
              <wp:positionH relativeFrom="column">
                <wp:posOffset>-522605</wp:posOffset>
              </wp:positionH>
              <wp:positionV relativeFrom="paragraph">
                <wp:posOffset>942265</wp:posOffset>
              </wp:positionV>
              <wp:extent cx="216000" cy="216000"/>
              <wp:effectExtent l="0" t="0" r="0" b="0"/>
              <wp:wrapNone/>
              <wp:docPr id="991278093" name="Oval 2"/>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1D28BF" id="Oval 2" o:spid="_x0000_s1026" style="position:absolute;margin-left:-41.15pt;margin-top:74.2pt;width:17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" fillcolor="#6e46e0"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E2E50"/>
    <w:multiLevelType w:val="hybridMultilevel"/>
    <w:tmpl w:val="C190269C"/>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BC6BE7"/>
    <w:multiLevelType w:val="hybridMultilevel"/>
    <w:tmpl w:val="75F0D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5" w15:restartNumberingAfterBreak="0">
    <w:nsid w:val="19F636CD"/>
    <w:multiLevelType w:val="hybridMultilevel"/>
    <w:tmpl w:val="08FC1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7E776C"/>
    <w:multiLevelType w:val="hybridMultilevel"/>
    <w:tmpl w:val="065AFD58"/>
    <w:lvl w:ilvl="0" w:tplc="A232F45E">
      <w:start w:val="1"/>
      <w:numFmt w:val="decimal"/>
      <w:lvlText w:val="%1."/>
      <w:lvlJc w:val="left"/>
      <w:pPr>
        <w:ind w:left="720" w:hanging="360"/>
      </w:pPr>
      <w:rPr>
        <w:b w:val="0"/>
        <w:bCs/>
        <w:i w:val="0"/>
        <w:iCs/>
        <w:strike w:val="0"/>
        <w:dstrike w:val="0"/>
        <w:u w:val="none"/>
        <w:effect w:val="none"/>
      </w:rPr>
    </w:lvl>
    <w:lvl w:ilvl="1" w:tplc="C1F43EC2">
      <w:start w:val="1"/>
      <w:numFmt w:val="lowerLetter"/>
      <w:lvlText w:val="%2."/>
      <w:lvlJc w:val="left"/>
      <w:pPr>
        <w:ind w:left="1440" w:hanging="360"/>
      </w:pPr>
      <w:rPr>
        <w:i w:val="0"/>
        <w:iCs w:val="0"/>
        <w:color w:val="auto"/>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700E5"/>
    <w:multiLevelType w:val="hybridMultilevel"/>
    <w:tmpl w:val="E8E2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2D4294"/>
    <w:multiLevelType w:val="hybridMultilevel"/>
    <w:tmpl w:val="F9E8C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356EF1"/>
    <w:multiLevelType w:val="multilevel"/>
    <w:tmpl w:val="BE208C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C82C66"/>
    <w:multiLevelType w:val="hybridMultilevel"/>
    <w:tmpl w:val="2652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C15D5"/>
    <w:multiLevelType w:val="hybridMultilevel"/>
    <w:tmpl w:val="70CA55BA"/>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661459"/>
    <w:multiLevelType w:val="hybridMultilevel"/>
    <w:tmpl w:val="4D9A9386"/>
    <w:lvl w:ilvl="0" w:tplc="0C090001">
      <w:start w:val="1"/>
      <w:numFmt w:val="bullet"/>
      <w:lvlText w:val=""/>
      <w:lvlJc w:val="left"/>
      <w:pPr>
        <w:ind w:left="1145" w:hanging="72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5" w15:restartNumberingAfterBreak="0">
    <w:nsid w:val="507C5CB7"/>
    <w:multiLevelType w:val="multilevel"/>
    <w:tmpl w:val="3498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0B6EAF"/>
    <w:multiLevelType w:val="hybridMultilevel"/>
    <w:tmpl w:val="1588409A"/>
    <w:lvl w:ilvl="0" w:tplc="4C5CF296">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8369A4"/>
    <w:multiLevelType w:val="hybridMultilevel"/>
    <w:tmpl w:val="B3D22EEA"/>
    <w:lvl w:ilvl="0" w:tplc="55DC494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572451"/>
    <w:multiLevelType w:val="hybridMultilevel"/>
    <w:tmpl w:val="A6BAA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0735C6"/>
    <w:multiLevelType w:val="multilevel"/>
    <w:tmpl w:val="5ED456AE"/>
    <w:lvl w:ilvl="0">
      <w:start w:val="1"/>
      <w:numFmt w:val="bullet"/>
      <w:lvlText w:val=""/>
      <w:lvlJc w:val="left"/>
      <w:pPr>
        <w:ind w:left="720" w:hanging="360"/>
      </w:pPr>
      <w:rPr>
        <w:rFonts w:ascii="Symbol" w:hAnsi="Symbol" w:hint="default"/>
      </w:rPr>
    </w:lvl>
    <w:lvl w:ilvl="1">
      <w:start w:val="6"/>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874727C"/>
    <w:multiLevelType w:val="multilevel"/>
    <w:tmpl w:val="6DACD83A"/>
    <w:lvl w:ilvl="0">
      <w:start w:val="1"/>
      <w:numFmt w:val="decimal"/>
      <w:lvlText w:val="%1."/>
      <w:lvlJc w:val="left"/>
      <w:pPr>
        <w:ind w:left="360" w:hanging="360"/>
      </w:pPr>
      <w:rPr>
        <w:rFonts w:hint="default"/>
      </w:rPr>
    </w:lvl>
    <w:lvl w:ilvl="1">
      <w:start w:val="6"/>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EFA4D92"/>
    <w:multiLevelType w:val="hybridMultilevel"/>
    <w:tmpl w:val="5C34A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A71493"/>
    <w:multiLevelType w:val="hybridMultilevel"/>
    <w:tmpl w:val="BF280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1472229">
    <w:abstractNumId w:val="7"/>
  </w:num>
  <w:num w:numId="2" w16cid:durableId="863640098">
    <w:abstractNumId w:val="4"/>
  </w:num>
  <w:num w:numId="3" w16cid:durableId="1678847481">
    <w:abstractNumId w:val="16"/>
  </w:num>
  <w:num w:numId="4" w16cid:durableId="1249928375">
    <w:abstractNumId w:val="2"/>
  </w:num>
  <w:num w:numId="5" w16cid:durableId="1519275277">
    <w:abstractNumId w:val="11"/>
  </w:num>
  <w:num w:numId="6" w16cid:durableId="1329359717">
    <w:abstractNumId w:val="0"/>
  </w:num>
  <w:num w:numId="7" w16cid:durableId="1328482827">
    <w:abstractNumId w:val="15"/>
  </w:num>
  <w:num w:numId="8" w16cid:durableId="1225219295">
    <w:abstractNumId w:val="8"/>
  </w:num>
  <w:num w:numId="9" w16cid:durableId="419567611">
    <w:abstractNumId w:val="21"/>
  </w:num>
  <w:num w:numId="10" w16cid:durableId="1752120150">
    <w:abstractNumId w:val="5"/>
  </w:num>
  <w:num w:numId="11" w16cid:durableId="1029991842">
    <w:abstractNumId w:val="17"/>
  </w:num>
  <w:num w:numId="12" w16cid:durableId="1799257485">
    <w:abstractNumId w:val="14"/>
  </w:num>
  <w:num w:numId="13" w16cid:durableId="1162308268">
    <w:abstractNumId w:val="13"/>
  </w:num>
  <w:num w:numId="14" w16cid:durableId="585769105">
    <w:abstractNumId w:val="9"/>
  </w:num>
  <w:num w:numId="15" w16cid:durableId="1278440523">
    <w:abstractNumId w:val="3"/>
  </w:num>
  <w:num w:numId="16" w16cid:durableId="73668715">
    <w:abstractNumId w:val="18"/>
  </w:num>
  <w:num w:numId="17" w16cid:durableId="1834032448">
    <w:abstractNumId w:val="1"/>
  </w:num>
  <w:num w:numId="18" w16cid:durableId="618805451">
    <w:abstractNumId w:val="22"/>
  </w:num>
  <w:num w:numId="19" w16cid:durableId="971399928">
    <w:abstractNumId w:val="12"/>
  </w:num>
  <w:num w:numId="20" w16cid:durableId="1726103701">
    <w:abstractNumId w:val="23"/>
  </w:num>
  <w:num w:numId="21" w16cid:durableId="1603105583">
    <w:abstractNumId w:val="19"/>
  </w:num>
  <w:num w:numId="22" w16cid:durableId="958536629">
    <w:abstractNumId w:val="20"/>
  </w:num>
  <w:num w:numId="23" w16cid:durableId="176431207">
    <w:abstractNumId w:val="10"/>
  </w:num>
  <w:num w:numId="24" w16cid:durableId="1944455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07DCD"/>
    <w:rsid w:val="000138B7"/>
    <w:rsid w:val="00025C92"/>
    <w:rsid w:val="00031F52"/>
    <w:rsid w:val="00032711"/>
    <w:rsid w:val="00032960"/>
    <w:rsid w:val="00045B32"/>
    <w:rsid w:val="00056DA7"/>
    <w:rsid w:val="000573FF"/>
    <w:rsid w:val="00060049"/>
    <w:rsid w:val="00065EC0"/>
    <w:rsid w:val="000665E2"/>
    <w:rsid w:val="00071A0B"/>
    <w:rsid w:val="000726A4"/>
    <w:rsid w:val="00072B6E"/>
    <w:rsid w:val="00075396"/>
    <w:rsid w:val="000943E9"/>
    <w:rsid w:val="00094907"/>
    <w:rsid w:val="000A0994"/>
    <w:rsid w:val="000A1CC3"/>
    <w:rsid w:val="000C32D9"/>
    <w:rsid w:val="000C50EA"/>
    <w:rsid w:val="000C75FA"/>
    <w:rsid w:val="000D33F5"/>
    <w:rsid w:val="000D3B4B"/>
    <w:rsid w:val="000D5C7F"/>
    <w:rsid w:val="000E3666"/>
    <w:rsid w:val="000F0FE9"/>
    <w:rsid w:val="000F1730"/>
    <w:rsid w:val="000F17C3"/>
    <w:rsid w:val="000F4E35"/>
    <w:rsid w:val="000F637F"/>
    <w:rsid w:val="000F63A1"/>
    <w:rsid w:val="00105DB1"/>
    <w:rsid w:val="001101F1"/>
    <w:rsid w:val="0011323F"/>
    <w:rsid w:val="00114DF0"/>
    <w:rsid w:val="001169FA"/>
    <w:rsid w:val="0011708E"/>
    <w:rsid w:val="00120AF4"/>
    <w:rsid w:val="00121970"/>
    <w:rsid w:val="001227E9"/>
    <w:rsid w:val="00122F7C"/>
    <w:rsid w:val="00126288"/>
    <w:rsid w:val="001276CE"/>
    <w:rsid w:val="00127D3D"/>
    <w:rsid w:val="00130E34"/>
    <w:rsid w:val="001310E1"/>
    <w:rsid w:val="00131548"/>
    <w:rsid w:val="00135D07"/>
    <w:rsid w:val="00136543"/>
    <w:rsid w:val="00147A01"/>
    <w:rsid w:val="00150671"/>
    <w:rsid w:val="0015372A"/>
    <w:rsid w:val="00163361"/>
    <w:rsid w:val="001654BE"/>
    <w:rsid w:val="00166DCC"/>
    <w:rsid w:val="0017244C"/>
    <w:rsid w:val="00172684"/>
    <w:rsid w:val="00180F44"/>
    <w:rsid w:val="0018461D"/>
    <w:rsid w:val="00194682"/>
    <w:rsid w:val="00195522"/>
    <w:rsid w:val="001A0533"/>
    <w:rsid w:val="001A1860"/>
    <w:rsid w:val="001A196B"/>
    <w:rsid w:val="001A46DA"/>
    <w:rsid w:val="001A5918"/>
    <w:rsid w:val="001D0BCB"/>
    <w:rsid w:val="001D0D6A"/>
    <w:rsid w:val="001D1A8A"/>
    <w:rsid w:val="001E49B4"/>
    <w:rsid w:val="001E5336"/>
    <w:rsid w:val="001E7A46"/>
    <w:rsid w:val="001F0E49"/>
    <w:rsid w:val="001F3F43"/>
    <w:rsid w:val="001F4642"/>
    <w:rsid w:val="002014E5"/>
    <w:rsid w:val="002038A1"/>
    <w:rsid w:val="00206566"/>
    <w:rsid w:val="00210F5B"/>
    <w:rsid w:val="0021282B"/>
    <w:rsid w:val="0021648A"/>
    <w:rsid w:val="00220F2F"/>
    <w:rsid w:val="00227139"/>
    <w:rsid w:val="00230F5C"/>
    <w:rsid w:val="0023477E"/>
    <w:rsid w:val="00242458"/>
    <w:rsid w:val="00246349"/>
    <w:rsid w:val="00251BD8"/>
    <w:rsid w:val="00262D58"/>
    <w:rsid w:val="00263576"/>
    <w:rsid w:val="0027032B"/>
    <w:rsid w:val="00273E90"/>
    <w:rsid w:val="00283AF1"/>
    <w:rsid w:val="00285BFF"/>
    <w:rsid w:val="00293520"/>
    <w:rsid w:val="00295B52"/>
    <w:rsid w:val="002A2615"/>
    <w:rsid w:val="002A38E5"/>
    <w:rsid w:val="002B6888"/>
    <w:rsid w:val="002C178B"/>
    <w:rsid w:val="002C3D46"/>
    <w:rsid w:val="002D68EF"/>
    <w:rsid w:val="002D6F66"/>
    <w:rsid w:val="002E06F6"/>
    <w:rsid w:val="002E143D"/>
    <w:rsid w:val="002E3252"/>
    <w:rsid w:val="002F4476"/>
    <w:rsid w:val="002F449E"/>
    <w:rsid w:val="002F60F1"/>
    <w:rsid w:val="00302778"/>
    <w:rsid w:val="0031324D"/>
    <w:rsid w:val="00322377"/>
    <w:rsid w:val="00325F58"/>
    <w:rsid w:val="003339AA"/>
    <w:rsid w:val="00340688"/>
    <w:rsid w:val="00353170"/>
    <w:rsid w:val="003559D5"/>
    <w:rsid w:val="0035775E"/>
    <w:rsid w:val="003665D7"/>
    <w:rsid w:val="003712A0"/>
    <w:rsid w:val="003743D5"/>
    <w:rsid w:val="003749E3"/>
    <w:rsid w:val="00374C3C"/>
    <w:rsid w:val="00382F03"/>
    <w:rsid w:val="00390FCA"/>
    <w:rsid w:val="003A0EC4"/>
    <w:rsid w:val="003B0044"/>
    <w:rsid w:val="003B17D1"/>
    <w:rsid w:val="003B2855"/>
    <w:rsid w:val="003C3932"/>
    <w:rsid w:val="003C4C7F"/>
    <w:rsid w:val="003C6195"/>
    <w:rsid w:val="003C6E6B"/>
    <w:rsid w:val="003D0BDE"/>
    <w:rsid w:val="003E15C6"/>
    <w:rsid w:val="003E6337"/>
    <w:rsid w:val="004026F8"/>
    <w:rsid w:val="0040535A"/>
    <w:rsid w:val="00416128"/>
    <w:rsid w:val="00416EFE"/>
    <w:rsid w:val="00417198"/>
    <w:rsid w:val="004231BA"/>
    <w:rsid w:val="00426919"/>
    <w:rsid w:val="00431523"/>
    <w:rsid w:val="00432170"/>
    <w:rsid w:val="00435E76"/>
    <w:rsid w:val="004402A8"/>
    <w:rsid w:val="004506A6"/>
    <w:rsid w:val="004510EC"/>
    <w:rsid w:val="0045223D"/>
    <w:rsid w:val="00453E5B"/>
    <w:rsid w:val="004558DD"/>
    <w:rsid w:val="00472915"/>
    <w:rsid w:val="004752B9"/>
    <w:rsid w:val="00482E9C"/>
    <w:rsid w:val="004831DE"/>
    <w:rsid w:val="004843E6"/>
    <w:rsid w:val="004912F9"/>
    <w:rsid w:val="004946B7"/>
    <w:rsid w:val="004953D0"/>
    <w:rsid w:val="00495CD4"/>
    <w:rsid w:val="004A15E6"/>
    <w:rsid w:val="004A1C59"/>
    <w:rsid w:val="004A6AF6"/>
    <w:rsid w:val="004A7F88"/>
    <w:rsid w:val="004B0A3E"/>
    <w:rsid w:val="004B25ED"/>
    <w:rsid w:val="004B66B6"/>
    <w:rsid w:val="004C01FE"/>
    <w:rsid w:val="004C1A3A"/>
    <w:rsid w:val="004C37C4"/>
    <w:rsid w:val="004C6A49"/>
    <w:rsid w:val="004D6770"/>
    <w:rsid w:val="004E2E6F"/>
    <w:rsid w:val="004E438E"/>
    <w:rsid w:val="004F57CE"/>
    <w:rsid w:val="005002B7"/>
    <w:rsid w:val="00503A78"/>
    <w:rsid w:val="00505168"/>
    <w:rsid w:val="00512417"/>
    <w:rsid w:val="00514AD5"/>
    <w:rsid w:val="00515DBE"/>
    <w:rsid w:val="00515FE1"/>
    <w:rsid w:val="00516807"/>
    <w:rsid w:val="00526BC2"/>
    <w:rsid w:val="00526CB1"/>
    <w:rsid w:val="00533AD3"/>
    <w:rsid w:val="00535D3E"/>
    <w:rsid w:val="005364A6"/>
    <w:rsid w:val="005378CD"/>
    <w:rsid w:val="005440FB"/>
    <w:rsid w:val="005441A8"/>
    <w:rsid w:val="005513FB"/>
    <w:rsid w:val="00564B0F"/>
    <w:rsid w:val="005705E2"/>
    <w:rsid w:val="00583E2D"/>
    <w:rsid w:val="00584105"/>
    <w:rsid w:val="00586CB5"/>
    <w:rsid w:val="00586DCC"/>
    <w:rsid w:val="00594640"/>
    <w:rsid w:val="005973F2"/>
    <w:rsid w:val="00597DF9"/>
    <w:rsid w:val="00597E8D"/>
    <w:rsid w:val="005B1482"/>
    <w:rsid w:val="005B397B"/>
    <w:rsid w:val="005C5584"/>
    <w:rsid w:val="005C561D"/>
    <w:rsid w:val="005D4097"/>
    <w:rsid w:val="005D5AC2"/>
    <w:rsid w:val="005E0121"/>
    <w:rsid w:val="005E07C4"/>
    <w:rsid w:val="005E4218"/>
    <w:rsid w:val="005E5EF9"/>
    <w:rsid w:val="005F0A33"/>
    <w:rsid w:val="005F3493"/>
    <w:rsid w:val="00603153"/>
    <w:rsid w:val="00607FEE"/>
    <w:rsid w:val="00612E15"/>
    <w:rsid w:val="00622545"/>
    <w:rsid w:val="0063478B"/>
    <w:rsid w:val="00636383"/>
    <w:rsid w:val="006509AC"/>
    <w:rsid w:val="006704CD"/>
    <w:rsid w:val="00671152"/>
    <w:rsid w:val="00672137"/>
    <w:rsid w:val="006723B6"/>
    <w:rsid w:val="006830C6"/>
    <w:rsid w:val="006844FF"/>
    <w:rsid w:val="00693547"/>
    <w:rsid w:val="006A3276"/>
    <w:rsid w:val="006A7C35"/>
    <w:rsid w:val="006B3AC5"/>
    <w:rsid w:val="006C0D59"/>
    <w:rsid w:val="006C3418"/>
    <w:rsid w:val="006C654A"/>
    <w:rsid w:val="006C729C"/>
    <w:rsid w:val="006D6F20"/>
    <w:rsid w:val="006E3BD7"/>
    <w:rsid w:val="006E4B42"/>
    <w:rsid w:val="006E6E7A"/>
    <w:rsid w:val="006E7506"/>
    <w:rsid w:val="006F10E4"/>
    <w:rsid w:val="006F4F0D"/>
    <w:rsid w:val="006F7B6E"/>
    <w:rsid w:val="007012DE"/>
    <w:rsid w:val="007055B8"/>
    <w:rsid w:val="007079AD"/>
    <w:rsid w:val="00710884"/>
    <w:rsid w:val="00711297"/>
    <w:rsid w:val="00712477"/>
    <w:rsid w:val="00724855"/>
    <w:rsid w:val="00725F5C"/>
    <w:rsid w:val="00734C98"/>
    <w:rsid w:val="00736768"/>
    <w:rsid w:val="00741312"/>
    <w:rsid w:val="00743D7F"/>
    <w:rsid w:val="007459AE"/>
    <w:rsid w:val="00745A04"/>
    <w:rsid w:val="00752358"/>
    <w:rsid w:val="00761D75"/>
    <w:rsid w:val="007662ED"/>
    <w:rsid w:val="00767285"/>
    <w:rsid w:val="00770D48"/>
    <w:rsid w:val="00770E18"/>
    <w:rsid w:val="007738CD"/>
    <w:rsid w:val="00785A0C"/>
    <w:rsid w:val="00787E73"/>
    <w:rsid w:val="0079357B"/>
    <w:rsid w:val="00795E7C"/>
    <w:rsid w:val="007A0BAB"/>
    <w:rsid w:val="007B27EC"/>
    <w:rsid w:val="007B32AC"/>
    <w:rsid w:val="007B541B"/>
    <w:rsid w:val="007B7344"/>
    <w:rsid w:val="007C559C"/>
    <w:rsid w:val="007C56ED"/>
    <w:rsid w:val="007D4E6D"/>
    <w:rsid w:val="007D6D89"/>
    <w:rsid w:val="007D746A"/>
    <w:rsid w:val="007E1235"/>
    <w:rsid w:val="007F62CD"/>
    <w:rsid w:val="007F7E8B"/>
    <w:rsid w:val="00807655"/>
    <w:rsid w:val="00813BDB"/>
    <w:rsid w:val="00816C66"/>
    <w:rsid w:val="00822FBC"/>
    <w:rsid w:val="008470E7"/>
    <w:rsid w:val="00850CB3"/>
    <w:rsid w:val="008525C2"/>
    <w:rsid w:val="0085272F"/>
    <w:rsid w:val="008544CB"/>
    <w:rsid w:val="008554D0"/>
    <w:rsid w:val="00855B90"/>
    <w:rsid w:val="0085734C"/>
    <w:rsid w:val="008601E6"/>
    <w:rsid w:val="00866BF9"/>
    <w:rsid w:val="00867A20"/>
    <w:rsid w:val="00872F09"/>
    <w:rsid w:val="00875012"/>
    <w:rsid w:val="00880B2B"/>
    <w:rsid w:val="00880E97"/>
    <w:rsid w:val="00883D83"/>
    <w:rsid w:val="0088750D"/>
    <w:rsid w:val="008923C1"/>
    <w:rsid w:val="008A2BE1"/>
    <w:rsid w:val="008A3F5C"/>
    <w:rsid w:val="008B436A"/>
    <w:rsid w:val="008C3769"/>
    <w:rsid w:val="008D31D8"/>
    <w:rsid w:val="008D3FE5"/>
    <w:rsid w:val="008F0453"/>
    <w:rsid w:val="008F21DA"/>
    <w:rsid w:val="008F61F4"/>
    <w:rsid w:val="00903D92"/>
    <w:rsid w:val="00906D82"/>
    <w:rsid w:val="00910645"/>
    <w:rsid w:val="00914984"/>
    <w:rsid w:val="0091601B"/>
    <w:rsid w:val="009242BA"/>
    <w:rsid w:val="00930293"/>
    <w:rsid w:val="00930886"/>
    <w:rsid w:val="00930AD3"/>
    <w:rsid w:val="009366A8"/>
    <w:rsid w:val="009443EA"/>
    <w:rsid w:val="00946B0A"/>
    <w:rsid w:val="0094718B"/>
    <w:rsid w:val="00950576"/>
    <w:rsid w:val="00952909"/>
    <w:rsid w:val="009572B8"/>
    <w:rsid w:val="00963A4E"/>
    <w:rsid w:val="00965D9A"/>
    <w:rsid w:val="009724C2"/>
    <w:rsid w:val="009749C2"/>
    <w:rsid w:val="009842EF"/>
    <w:rsid w:val="00984901"/>
    <w:rsid w:val="00985A04"/>
    <w:rsid w:val="009A042F"/>
    <w:rsid w:val="009A302D"/>
    <w:rsid w:val="009A6416"/>
    <w:rsid w:val="009D23FF"/>
    <w:rsid w:val="009D6BF6"/>
    <w:rsid w:val="00A02630"/>
    <w:rsid w:val="00A039E8"/>
    <w:rsid w:val="00A041DD"/>
    <w:rsid w:val="00A05C5F"/>
    <w:rsid w:val="00A1225F"/>
    <w:rsid w:val="00A12E1A"/>
    <w:rsid w:val="00A152D5"/>
    <w:rsid w:val="00A20B28"/>
    <w:rsid w:val="00A228B1"/>
    <w:rsid w:val="00A231F3"/>
    <w:rsid w:val="00A239B5"/>
    <w:rsid w:val="00A23C4E"/>
    <w:rsid w:val="00A322FF"/>
    <w:rsid w:val="00A32A51"/>
    <w:rsid w:val="00A343F3"/>
    <w:rsid w:val="00A364A4"/>
    <w:rsid w:val="00A3684B"/>
    <w:rsid w:val="00A47127"/>
    <w:rsid w:val="00A61F9F"/>
    <w:rsid w:val="00A62731"/>
    <w:rsid w:val="00A64D89"/>
    <w:rsid w:val="00A65BF9"/>
    <w:rsid w:val="00A67B44"/>
    <w:rsid w:val="00A720D7"/>
    <w:rsid w:val="00A75673"/>
    <w:rsid w:val="00A81DF5"/>
    <w:rsid w:val="00A81F78"/>
    <w:rsid w:val="00A87320"/>
    <w:rsid w:val="00A90282"/>
    <w:rsid w:val="00A91C13"/>
    <w:rsid w:val="00AB0CD7"/>
    <w:rsid w:val="00AB1501"/>
    <w:rsid w:val="00AC1F14"/>
    <w:rsid w:val="00AD3D3C"/>
    <w:rsid w:val="00AD3E09"/>
    <w:rsid w:val="00AE09C7"/>
    <w:rsid w:val="00AE3A47"/>
    <w:rsid w:val="00AE56C7"/>
    <w:rsid w:val="00AE5F29"/>
    <w:rsid w:val="00AE7125"/>
    <w:rsid w:val="00AF0502"/>
    <w:rsid w:val="00B000A2"/>
    <w:rsid w:val="00B01334"/>
    <w:rsid w:val="00B14E15"/>
    <w:rsid w:val="00B24B34"/>
    <w:rsid w:val="00B26CAD"/>
    <w:rsid w:val="00B30352"/>
    <w:rsid w:val="00B328CF"/>
    <w:rsid w:val="00B32C14"/>
    <w:rsid w:val="00B46ADB"/>
    <w:rsid w:val="00B47745"/>
    <w:rsid w:val="00B505B1"/>
    <w:rsid w:val="00B51D02"/>
    <w:rsid w:val="00B53946"/>
    <w:rsid w:val="00B55602"/>
    <w:rsid w:val="00B572A8"/>
    <w:rsid w:val="00B76F6B"/>
    <w:rsid w:val="00B77FC2"/>
    <w:rsid w:val="00B84320"/>
    <w:rsid w:val="00B863D6"/>
    <w:rsid w:val="00B8686E"/>
    <w:rsid w:val="00B87BBF"/>
    <w:rsid w:val="00B90218"/>
    <w:rsid w:val="00B9531B"/>
    <w:rsid w:val="00BA2369"/>
    <w:rsid w:val="00BA33D3"/>
    <w:rsid w:val="00BA60DA"/>
    <w:rsid w:val="00BA666E"/>
    <w:rsid w:val="00BB1B0A"/>
    <w:rsid w:val="00BB1B2A"/>
    <w:rsid w:val="00BB4077"/>
    <w:rsid w:val="00BD00BD"/>
    <w:rsid w:val="00BD2E31"/>
    <w:rsid w:val="00BD7553"/>
    <w:rsid w:val="00BE2441"/>
    <w:rsid w:val="00BE463F"/>
    <w:rsid w:val="00BF199F"/>
    <w:rsid w:val="00BF50F1"/>
    <w:rsid w:val="00BF7FD4"/>
    <w:rsid w:val="00C170D9"/>
    <w:rsid w:val="00C172A5"/>
    <w:rsid w:val="00C2107B"/>
    <w:rsid w:val="00C21925"/>
    <w:rsid w:val="00C249B1"/>
    <w:rsid w:val="00C328D4"/>
    <w:rsid w:val="00C3411F"/>
    <w:rsid w:val="00C36E94"/>
    <w:rsid w:val="00C467D2"/>
    <w:rsid w:val="00C52FE1"/>
    <w:rsid w:val="00C556E7"/>
    <w:rsid w:val="00C606EB"/>
    <w:rsid w:val="00C60B81"/>
    <w:rsid w:val="00C65654"/>
    <w:rsid w:val="00C723DB"/>
    <w:rsid w:val="00C80B46"/>
    <w:rsid w:val="00C94431"/>
    <w:rsid w:val="00C94D78"/>
    <w:rsid w:val="00CA2259"/>
    <w:rsid w:val="00CA41C4"/>
    <w:rsid w:val="00CA495E"/>
    <w:rsid w:val="00CA79F0"/>
    <w:rsid w:val="00CB3638"/>
    <w:rsid w:val="00CC30F7"/>
    <w:rsid w:val="00CC44B3"/>
    <w:rsid w:val="00CC55B8"/>
    <w:rsid w:val="00CC7D4B"/>
    <w:rsid w:val="00CD4563"/>
    <w:rsid w:val="00CD626F"/>
    <w:rsid w:val="00CD6BC3"/>
    <w:rsid w:val="00CD7F7C"/>
    <w:rsid w:val="00CE2E57"/>
    <w:rsid w:val="00CE4774"/>
    <w:rsid w:val="00CF1835"/>
    <w:rsid w:val="00D06408"/>
    <w:rsid w:val="00D1645C"/>
    <w:rsid w:val="00D21CE9"/>
    <w:rsid w:val="00D21F8E"/>
    <w:rsid w:val="00D2777E"/>
    <w:rsid w:val="00D31DBA"/>
    <w:rsid w:val="00D408D1"/>
    <w:rsid w:val="00D4159E"/>
    <w:rsid w:val="00D42AD3"/>
    <w:rsid w:val="00D45016"/>
    <w:rsid w:val="00D47A0E"/>
    <w:rsid w:val="00D50158"/>
    <w:rsid w:val="00D579D3"/>
    <w:rsid w:val="00D60EFC"/>
    <w:rsid w:val="00D65C73"/>
    <w:rsid w:val="00D71000"/>
    <w:rsid w:val="00D74AC4"/>
    <w:rsid w:val="00D7724B"/>
    <w:rsid w:val="00D8335A"/>
    <w:rsid w:val="00D851D2"/>
    <w:rsid w:val="00D85495"/>
    <w:rsid w:val="00D863B5"/>
    <w:rsid w:val="00D95774"/>
    <w:rsid w:val="00D95AD8"/>
    <w:rsid w:val="00D9705B"/>
    <w:rsid w:val="00DC5A4F"/>
    <w:rsid w:val="00DD1132"/>
    <w:rsid w:val="00DD4B1F"/>
    <w:rsid w:val="00DE0584"/>
    <w:rsid w:val="00DE1B9D"/>
    <w:rsid w:val="00DE2476"/>
    <w:rsid w:val="00E04BD3"/>
    <w:rsid w:val="00E06718"/>
    <w:rsid w:val="00E111C2"/>
    <w:rsid w:val="00E12C16"/>
    <w:rsid w:val="00E140DC"/>
    <w:rsid w:val="00E301B8"/>
    <w:rsid w:val="00E33EA0"/>
    <w:rsid w:val="00E35BC8"/>
    <w:rsid w:val="00E36013"/>
    <w:rsid w:val="00E36C05"/>
    <w:rsid w:val="00E44040"/>
    <w:rsid w:val="00E50370"/>
    <w:rsid w:val="00E508F7"/>
    <w:rsid w:val="00E537E4"/>
    <w:rsid w:val="00E60932"/>
    <w:rsid w:val="00E60FDC"/>
    <w:rsid w:val="00E6352B"/>
    <w:rsid w:val="00E70021"/>
    <w:rsid w:val="00E7179E"/>
    <w:rsid w:val="00E77127"/>
    <w:rsid w:val="00E805EC"/>
    <w:rsid w:val="00E846C1"/>
    <w:rsid w:val="00E90452"/>
    <w:rsid w:val="00E96241"/>
    <w:rsid w:val="00E96A42"/>
    <w:rsid w:val="00EA3A4E"/>
    <w:rsid w:val="00EA6983"/>
    <w:rsid w:val="00EB053E"/>
    <w:rsid w:val="00EB3099"/>
    <w:rsid w:val="00EC1B3C"/>
    <w:rsid w:val="00EC260A"/>
    <w:rsid w:val="00EC795B"/>
    <w:rsid w:val="00EE4351"/>
    <w:rsid w:val="00EE56CD"/>
    <w:rsid w:val="00EF1D88"/>
    <w:rsid w:val="00EF5814"/>
    <w:rsid w:val="00F04C54"/>
    <w:rsid w:val="00F11ED4"/>
    <w:rsid w:val="00F30E50"/>
    <w:rsid w:val="00F342AE"/>
    <w:rsid w:val="00F36AE2"/>
    <w:rsid w:val="00F412E9"/>
    <w:rsid w:val="00F515DF"/>
    <w:rsid w:val="00F52214"/>
    <w:rsid w:val="00F52818"/>
    <w:rsid w:val="00F54D81"/>
    <w:rsid w:val="00F60BA7"/>
    <w:rsid w:val="00F66DDA"/>
    <w:rsid w:val="00F71AE1"/>
    <w:rsid w:val="00F77EE7"/>
    <w:rsid w:val="00F83401"/>
    <w:rsid w:val="00F912D4"/>
    <w:rsid w:val="00F91726"/>
    <w:rsid w:val="00F94574"/>
    <w:rsid w:val="00F94BCC"/>
    <w:rsid w:val="00F954C1"/>
    <w:rsid w:val="00FA2B13"/>
    <w:rsid w:val="00FB26FC"/>
    <w:rsid w:val="00FC4B10"/>
    <w:rsid w:val="00FC64BA"/>
    <w:rsid w:val="00FD38BD"/>
    <w:rsid w:val="00FE4CE8"/>
    <w:rsid w:val="00FE5BEE"/>
    <w:rsid w:val="00FF3392"/>
    <w:rsid w:val="00FF6BC0"/>
    <w:rsid w:val="00FF75D4"/>
    <w:rsid w:val="11C6F53C"/>
    <w:rsid w:val="201CA269"/>
    <w:rsid w:val="23702288"/>
    <w:rsid w:val="2479277F"/>
    <w:rsid w:val="560608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7BDF"/>
  <w15:chartTrackingRefBased/>
  <w15:docId w15:val="{AA6389EC-BE3A-4C68-BDB4-32D33EF3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6E"/>
    <w:pPr>
      <w:spacing w:before="40" w:after="180"/>
    </w:pPr>
    <w:rPr>
      <w:rFonts w:ascii="Calibri" w:eastAsia="Times New Roman" w:hAnsi="Calibri" w:cstheme="minorHAnsi"/>
      <w:bCs/>
      <w:iCs/>
      <w:kern w:val="0"/>
      <w:sz w:val="22"/>
      <w:szCs w:val="22"/>
      <w14:ligatures w14:val="none"/>
    </w:rPr>
  </w:style>
  <w:style w:type="paragraph" w:styleId="Heading1">
    <w:name w:val="heading 1"/>
    <w:basedOn w:val="Normal"/>
    <w:next w:val="Normal"/>
    <w:link w:val="Heading1Char"/>
    <w:uiPriority w:val="9"/>
    <w:qFormat/>
    <w:rsid w:val="003D0BDE"/>
    <w:pPr>
      <w:keepNext/>
      <w:keepLines/>
      <w:spacing w:before="720" w:after="737"/>
      <w:outlineLvl w:val="0"/>
    </w:pPr>
    <w:rPr>
      <w:rFonts w:ascii="Montserrat" w:eastAsiaTheme="majorEastAsia" w:hAnsi="Montserrat" w:cstheme="majorBidi"/>
      <w:bCs w:val="0"/>
      <w:iCs w:val="0"/>
      <w:color w:val="6E46E0"/>
      <w:sz w:val="62"/>
      <w:szCs w:val="62"/>
    </w:rPr>
  </w:style>
  <w:style w:type="paragraph" w:styleId="Heading2">
    <w:name w:val="heading 2"/>
    <w:basedOn w:val="Normal"/>
    <w:next w:val="Normal"/>
    <w:link w:val="Heading2Char"/>
    <w:uiPriority w:val="9"/>
    <w:unhideWhenUsed/>
    <w:qFormat/>
    <w:rsid w:val="00607FEE"/>
    <w:pPr>
      <w:keepNext/>
      <w:keepLines/>
      <w:spacing w:before="360" w:after="80"/>
      <w:outlineLvl w:val="1"/>
    </w:pPr>
    <w:rPr>
      <w:rFonts w:ascii="Montserrat SemiBold" w:eastAsiaTheme="majorEastAsia" w:hAnsi="Montserrat SemiBold" w:cstheme="majorBidi"/>
      <w:bCs w:val="0"/>
      <w:iCs w:val="0"/>
      <w:color w:val="6E46E0"/>
      <w:sz w:val="36"/>
      <w:szCs w:val="36"/>
    </w:rPr>
  </w:style>
  <w:style w:type="paragraph" w:styleId="Heading3">
    <w:name w:val="heading 3"/>
    <w:basedOn w:val="Normal"/>
    <w:next w:val="Normal"/>
    <w:link w:val="Heading3Char"/>
    <w:uiPriority w:val="9"/>
    <w:unhideWhenUsed/>
    <w:qFormat/>
    <w:rsid w:val="00607FEE"/>
    <w:pPr>
      <w:keepNext/>
      <w:keepLines/>
      <w:spacing w:before="240" w:after="60"/>
      <w:outlineLvl w:val="2"/>
    </w:pPr>
    <w:rPr>
      <w:rFonts w:ascii="Montserrat SemiBold" w:eastAsiaTheme="majorEastAsia" w:hAnsi="Montserrat SemiBold" w:cstheme="majorBidi"/>
      <w:bCs w:val="0"/>
      <w:iCs w:val="0"/>
      <w:color w:val="404040" w:themeColor="text1" w:themeTint="BF"/>
      <w:sz w:val="28"/>
      <w:szCs w:val="28"/>
      <w:lang w:val="en-GB" w:eastAsia="en-AU"/>
    </w:rPr>
  </w:style>
  <w:style w:type="paragraph" w:styleId="Heading4">
    <w:name w:val="heading 4"/>
    <w:basedOn w:val="Normal"/>
    <w:next w:val="Normal"/>
    <w:link w:val="Heading4Char"/>
    <w:uiPriority w:val="9"/>
    <w:unhideWhenUsed/>
    <w:qFormat/>
    <w:rsid w:val="00210F5B"/>
    <w:pPr>
      <w:keepNext/>
      <w:keepLines/>
      <w:spacing w:before="80" w:after="120"/>
      <w:outlineLvl w:val="3"/>
    </w:pPr>
    <w:rPr>
      <w:rFonts w:ascii="Montserrat Medium" w:eastAsiaTheme="majorEastAsia" w:hAnsi="Montserrat Medium" w:cs="Times New Roman (Headings CS)"/>
      <w:bCs w:val="0"/>
      <w:iCs w:val="0"/>
      <w:sz w:val="24"/>
      <w:szCs w:val="24"/>
    </w:rPr>
  </w:style>
  <w:style w:type="paragraph" w:styleId="Heading5">
    <w:name w:val="heading 5"/>
    <w:basedOn w:val="Normal"/>
    <w:next w:val="Normal"/>
    <w:link w:val="Heading5Char"/>
    <w:uiPriority w:val="9"/>
    <w:unhideWhenUsed/>
    <w:qFormat/>
    <w:rsid w:val="00210F5B"/>
    <w:pPr>
      <w:keepNext/>
      <w:keepLines/>
      <w:spacing w:before="120" w:after="120"/>
      <w:outlineLvl w:val="4"/>
    </w:pPr>
    <w:rPr>
      <w:rFonts w:ascii="Montserrat" w:eastAsiaTheme="majorEastAsia" w:hAnsi="Montserrat" w:cstheme="majorBidi"/>
      <w:bCs w:val="0"/>
      <w:iCs w:val="0"/>
    </w:rPr>
  </w:style>
  <w:style w:type="paragraph" w:styleId="Heading6">
    <w:name w:val="heading 6"/>
    <w:basedOn w:val="Normal"/>
    <w:next w:val="Normal"/>
    <w:link w:val="Heading6Char"/>
    <w:uiPriority w:val="9"/>
    <w:unhideWhenUsed/>
    <w:qFormat/>
    <w:rsid w:val="00880B2B"/>
    <w:pPr>
      <w:keepNext/>
      <w:keepLines/>
      <w:spacing w:before="80" w:after="40"/>
      <w:outlineLvl w:val="5"/>
    </w:pPr>
    <w:rPr>
      <w:rFonts w:eastAsiaTheme="majorEastAsia" w:cstheme="majorBidi"/>
      <w:b/>
      <w:bCs w:val="0"/>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DE"/>
    <w:rPr>
      <w:rFonts w:ascii="Montserrat" w:eastAsiaTheme="majorEastAsia" w:hAnsi="Montserrat" w:cstheme="majorBidi"/>
      <w:color w:val="6E46E0"/>
      <w:kern w:val="0"/>
      <w:sz w:val="62"/>
      <w:szCs w:val="62"/>
      <w14:ligatures w14:val="none"/>
    </w:rPr>
  </w:style>
  <w:style w:type="character" w:customStyle="1" w:styleId="Heading2Char">
    <w:name w:val="Heading 2 Char"/>
    <w:basedOn w:val="DefaultParagraphFont"/>
    <w:link w:val="Heading2"/>
    <w:uiPriority w:val="9"/>
    <w:rsid w:val="00607FEE"/>
    <w:rPr>
      <w:rFonts w:ascii="Montserrat SemiBold" w:eastAsiaTheme="majorEastAsia" w:hAnsi="Montserrat SemiBold" w:cstheme="majorBidi"/>
      <w:color w:val="6E46E0"/>
      <w:kern w:val="0"/>
      <w:sz w:val="36"/>
      <w:szCs w:val="36"/>
      <w14:ligatures w14:val="none"/>
    </w:rPr>
  </w:style>
  <w:style w:type="character" w:customStyle="1" w:styleId="Heading3Char">
    <w:name w:val="Heading 3 Char"/>
    <w:basedOn w:val="DefaultParagraphFont"/>
    <w:link w:val="Heading3"/>
    <w:uiPriority w:val="9"/>
    <w:rsid w:val="00607FEE"/>
    <w:rPr>
      <w:rFonts w:ascii="Montserrat SemiBold" w:eastAsiaTheme="majorEastAsia" w:hAnsi="Montserrat SemiBold" w:cstheme="majorBidi"/>
      <w:color w:val="404040" w:themeColor="text1" w:themeTint="BF"/>
      <w:kern w:val="0"/>
      <w:sz w:val="28"/>
      <w:szCs w:val="28"/>
      <w:lang w:val="en-GB" w:eastAsia="en-AU"/>
      <w14:ligatures w14:val="none"/>
    </w:rPr>
  </w:style>
  <w:style w:type="character" w:customStyle="1" w:styleId="Heading4Char">
    <w:name w:val="Heading 4 Char"/>
    <w:basedOn w:val="DefaultParagraphFont"/>
    <w:link w:val="Heading4"/>
    <w:uiPriority w:val="9"/>
    <w:rsid w:val="00210F5B"/>
    <w:rPr>
      <w:rFonts w:ascii="Montserrat Medium" w:eastAsiaTheme="majorEastAsia" w:hAnsi="Montserrat Medium" w:cs="Times New Roman (Headings CS)"/>
      <w:kern w:val="0"/>
      <w14:ligatures w14:val="none"/>
    </w:rPr>
  </w:style>
  <w:style w:type="character" w:customStyle="1" w:styleId="Heading5Char">
    <w:name w:val="Heading 5 Char"/>
    <w:basedOn w:val="DefaultParagraphFont"/>
    <w:link w:val="Heading5"/>
    <w:uiPriority w:val="9"/>
    <w:rsid w:val="00210F5B"/>
    <w:rPr>
      <w:rFonts w:ascii="Montserrat" w:eastAsiaTheme="majorEastAsia" w:hAnsi="Montserrat" w:cstheme="majorBidi"/>
      <w:kern w:val="0"/>
      <w:sz w:val="22"/>
      <w:szCs w:val="22"/>
      <w14:ligatures w14:val="none"/>
    </w:rPr>
  </w:style>
  <w:style w:type="character" w:customStyle="1" w:styleId="Heading6Char">
    <w:name w:val="Heading 6 Char"/>
    <w:basedOn w:val="DefaultParagraphFont"/>
    <w:link w:val="Heading6"/>
    <w:uiPriority w:val="9"/>
    <w:rsid w:val="00880B2B"/>
    <w:rPr>
      <w:rFonts w:ascii="Calibri" w:eastAsiaTheme="majorEastAsia" w:hAnsi="Calibri" w:cstheme="majorBidi"/>
      <w:b/>
      <w:iCs/>
      <w:kern w:val="0"/>
      <w:sz w:val="22"/>
      <w:szCs w:val="22"/>
      <w14:ligatures w14:val="none"/>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OCHeading">
    <w:name w:val="TOC Heading"/>
    <w:basedOn w:val="Heading1"/>
    <w:next w:val="Normal"/>
    <w:uiPriority w:val="39"/>
    <w:semiHidden/>
    <w:unhideWhenUsed/>
    <w:qFormat/>
    <w:rsid w:val="00FD38BD"/>
    <w:pPr>
      <w:spacing w:before="240" w:after="0"/>
      <w:outlineLvl w:val="9"/>
    </w:pPr>
    <w:rPr>
      <w:rFonts w:asciiTheme="majorHAnsi" w:hAnsiTheme="majorHAnsi"/>
      <w:b/>
      <w:bCs/>
      <w:color w:val="0F4761" w:themeColor="accent1" w:themeShade="BF"/>
      <w:sz w:val="32"/>
      <w:szCs w:val="32"/>
    </w:rPr>
  </w:style>
  <w:style w:type="paragraph" w:customStyle="1" w:styleId="Note">
    <w:name w:val="Note"/>
    <w:basedOn w:val="Normal"/>
    <w:qFormat/>
    <w:rsid w:val="00FD38BD"/>
    <w:pPr>
      <w:spacing w:before="60" w:after="120"/>
    </w:pPr>
    <w:rPr>
      <w:rFonts w:asciiTheme="minorHAnsi" w:eastAsia="Calibri" w:hAnsiTheme="minorHAnsi"/>
      <w:bCs w:val="0"/>
      <w:iCs w:val="0"/>
      <w:color w:val="262626" w:themeColor="text1" w:themeTint="D9"/>
      <w:sz w:val="16"/>
      <w:szCs w:val="16"/>
    </w:rPr>
  </w:style>
  <w:style w:type="paragraph" w:styleId="Header">
    <w:name w:val="header"/>
    <w:basedOn w:val="Normal"/>
    <w:link w:val="HeaderChar"/>
    <w:unhideWhenUsed/>
    <w:rsid w:val="0094718B"/>
    <w:pPr>
      <w:tabs>
        <w:tab w:val="center" w:pos="4513"/>
        <w:tab w:val="right" w:pos="9026"/>
      </w:tabs>
      <w:spacing w:before="0" w:after="0"/>
    </w:pPr>
  </w:style>
  <w:style w:type="character" w:customStyle="1" w:styleId="HeaderChar">
    <w:name w:val="Header Char"/>
    <w:basedOn w:val="DefaultParagraphFont"/>
    <w:link w:val="Header"/>
    <w:rsid w:val="0094718B"/>
    <w:rPr>
      <w:rFonts w:ascii="Calibri" w:eastAsia="Times New Roman" w:hAnsi="Calibri" w:cstheme="minorHAnsi"/>
      <w:bCs/>
      <w:iCs/>
      <w:kern w:val="0"/>
      <w14:ligatures w14:val="none"/>
    </w:rPr>
  </w:style>
  <w:style w:type="paragraph" w:styleId="Footer">
    <w:name w:val="footer"/>
    <w:basedOn w:val="Normal"/>
    <w:link w:val="FooterChar"/>
    <w:uiPriority w:val="99"/>
    <w:unhideWhenUsed/>
    <w:rsid w:val="0094718B"/>
    <w:pPr>
      <w:tabs>
        <w:tab w:val="center" w:pos="4513"/>
        <w:tab w:val="right" w:pos="9026"/>
      </w:tabs>
      <w:spacing w:before="0" w:after="0"/>
    </w:pPr>
  </w:style>
  <w:style w:type="character" w:customStyle="1" w:styleId="FooterChar">
    <w:name w:val="Footer Char"/>
    <w:basedOn w:val="DefaultParagraphFont"/>
    <w:link w:val="Footer"/>
    <w:uiPriority w:val="99"/>
    <w:rsid w:val="0094718B"/>
    <w:rPr>
      <w:rFonts w:ascii="Calibri" w:eastAsia="Times New Roman" w:hAnsi="Calibri" w:cstheme="minorHAnsi"/>
      <w:bCs/>
      <w:iCs/>
      <w:kern w:val="0"/>
      <w14:ligatures w14:val="none"/>
    </w:rPr>
  </w:style>
  <w:style w:type="character" w:styleId="FollowedHyperlink">
    <w:name w:val="FollowedHyperlink"/>
    <w:basedOn w:val="DefaultParagraphFont"/>
    <w:uiPriority w:val="99"/>
    <w:semiHidden/>
    <w:unhideWhenUsed/>
    <w:rsid w:val="00F52818"/>
    <w:rPr>
      <w:color w:val="96607D" w:themeColor="followedHyperlink"/>
      <w:u w:val="single"/>
    </w:r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22F7C"/>
    <w:rPr>
      <w:color w:val="0070C0"/>
      <w:u w:val="single"/>
    </w:rPr>
  </w:style>
  <w:style w:type="paragraph" w:customStyle="1" w:styleId="Footertextportraitpage">
    <w:name w:val="Footer text portrait page"/>
    <w:basedOn w:val="FootnotesEndnotestext"/>
    <w:qFormat/>
    <w:rsid w:val="00BD00BD"/>
    <w:pPr>
      <w:tabs>
        <w:tab w:val="center" w:pos="4395"/>
        <w:tab w:val="right" w:pos="8769"/>
      </w:tabs>
      <w:spacing w:before="0" w:after="0"/>
    </w:pPr>
  </w:style>
  <w:style w:type="paragraph" w:styleId="TOC2">
    <w:name w:val="toc 2"/>
    <w:basedOn w:val="TOC1"/>
    <w:next w:val="Normal"/>
    <w:autoRedefine/>
    <w:uiPriority w:val="39"/>
    <w:unhideWhenUsed/>
    <w:rsid w:val="00432170"/>
    <w:pPr>
      <w:tabs>
        <w:tab w:val="clear" w:pos="9016"/>
        <w:tab w:val="left" w:pos="960"/>
        <w:tab w:val="right" w:leader="dot" w:pos="9026"/>
      </w:tabs>
      <w:spacing w:before="80" w:line="260" w:lineRule="exact"/>
      <w:ind w:left="425"/>
    </w:pPr>
    <w:rPr>
      <w:b w:val="0"/>
    </w:rPr>
  </w:style>
  <w:style w:type="paragraph" w:styleId="TOC1">
    <w:name w:val="toc 1"/>
    <w:basedOn w:val="Normal"/>
    <w:next w:val="Normal"/>
    <w:autoRedefine/>
    <w:uiPriority w:val="39"/>
    <w:unhideWhenUsed/>
    <w:rsid w:val="00BD7553"/>
    <w:pPr>
      <w:tabs>
        <w:tab w:val="right" w:leader="dot" w:pos="9016"/>
      </w:tabs>
      <w:spacing w:before="200" w:after="40" w:line="280" w:lineRule="exact"/>
    </w:pPr>
    <w:rPr>
      <w:rFonts w:eastAsia="Calibri"/>
      <w:b/>
      <w:noProof/>
      <w:color w:val="262626" w:themeColor="text1" w:themeTint="D9"/>
    </w:rPr>
  </w:style>
  <w:style w:type="paragraph" w:styleId="TOC3">
    <w:name w:val="toc 3"/>
    <w:basedOn w:val="TOC2"/>
    <w:next w:val="Normal"/>
    <w:autoRedefine/>
    <w:uiPriority w:val="39"/>
    <w:unhideWhenUsed/>
    <w:rsid w:val="008D31D8"/>
    <w:pPr>
      <w:ind w:left="720"/>
    </w:pPr>
  </w:style>
  <w:style w:type="paragraph" w:customStyle="1" w:styleId="Bullet1">
    <w:name w:val="Bullet 1"/>
    <w:basedOn w:val="Normal"/>
    <w:qFormat/>
    <w:rsid w:val="004B0A3E"/>
    <w:pPr>
      <w:numPr>
        <w:numId w:val="1"/>
      </w:numPr>
      <w:tabs>
        <w:tab w:val="left" w:pos="284"/>
      </w:tabs>
      <w:spacing w:before="60" w:after="120" w:line="300" w:lineRule="exact"/>
      <w:ind w:left="284" w:hanging="284"/>
    </w:pPr>
    <w:rPr>
      <w:rFonts w:cs="Arial"/>
      <w:bCs w:val="0"/>
      <w:iCs w:val="0"/>
      <w:lang w:eastAsia="en-AU"/>
    </w:rPr>
  </w:style>
  <w:style w:type="paragraph" w:customStyle="1" w:styleId="Bullet2">
    <w:name w:val="Bullet 2"/>
    <w:basedOn w:val="Bullet1"/>
    <w:qFormat/>
    <w:rsid w:val="004B0A3E"/>
    <w:pPr>
      <w:numPr>
        <w:numId w:val="2"/>
      </w:numPr>
      <w:tabs>
        <w:tab w:val="clear" w:pos="284"/>
        <w:tab w:val="left" w:pos="567"/>
      </w:tabs>
      <w:spacing w:line="280" w:lineRule="exact"/>
      <w:ind w:left="568" w:hanging="284"/>
    </w:pPr>
  </w:style>
  <w:style w:type="paragraph" w:customStyle="1" w:styleId="Tablebody">
    <w:name w:val="Table_body"/>
    <w:basedOn w:val="Normal"/>
    <w:qFormat/>
    <w:rsid w:val="00B55602"/>
    <w:pPr>
      <w:spacing w:before="60" w:after="60"/>
    </w:pPr>
    <w:rPr>
      <w:rFonts w:cs="Arial"/>
      <w:bCs w:val="0"/>
      <w:iCs w:val="0"/>
      <w:color w:val="262626" w:themeColor="text1" w:themeTint="D9"/>
      <w:sz w:val="21"/>
      <w:szCs w:val="21"/>
      <w:lang w:val="en-US" w:eastAsia="en-AU"/>
    </w:rPr>
  </w:style>
  <w:style w:type="paragraph" w:customStyle="1" w:styleId="Tableheaderreverse">
    <w:name w:val="Table_header_reverse"/>
    <w:basedOn w:val="Normal"/>
    <w:qFormat/>
    <w:rsid w:val="00A81F78"/>
    <w:pPr>
      <w:spacing w:before="60" w:after="60"/>
    </w:pPr>
    <w:rPr>
      <w:rFonts w:ascii="Arial" w:hAnsi="Arial"/>
      <w:color w:val="FFFFFF" w:themeColor="background1"/>
      <w:lang w:val="en-US" w:eastAsia="en-AU"/>
    </w:rPr>
  </w:style>
  <w:style w:type="paragraph" w:customStyle="1" w:styleId="Tablebullet1">
    <w:name w:val="Table bullet 1"/>
    <w:basedOn w:val="Bullet1"/>
    <w:qFormat/>
    <w:rsid w:val="00B55602"/>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B55602"/>
    <w:pPr>
      <w:spacing w:line="240" w:lineRule="auto"/>
    </w:pPr>
    <w:rPr>
      <w:sz w:val="20"/>
      <w:szCs w:val="20"/>
    </w:rPr>
  </w:style>
  <w:style w:type="paragraph" w:customStyle="1" w:styleId="Tablesubheader">
    <w:name w:val="Table sub header"/>
    <w:basedOn w:val="Tablebody"/>
    <w:qFormat/>
    <w:rsid w:val="00B55602"/>
    <w:rPr>
      <w:b/>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807655"/>
    <w:pPr>
      <w:spacing w:before="120" w:after="240"/>
    </w:pPr>
    <w:rPr>
      <w:rFonts w:ascii="Montserrat" w:eastAsia="Times New Roman" w:hAnsi="Montserrat" w:cstheme="minorHAnsi"/>
      <w:kern w:val="0"/>
      <w:sz w:val="28"/>
      <w:szCs w:val="28"/>
      <w14:ligatures w14:val="none"/>
    </w:rPr>
  </w:style>
  <w:style w:type="table" w:customStyle="1" w:styleId="ARStandardTable1">
    <w:name w:val="AR_Standard Table_1"/>
    <w:basedOn w:val="TableNormal"/>
    <w:uiPriority w:val="99"/>
    <w:rsid w:val="00A81F78"/>
    <w:rPr>
      <w:rFonts w:ascii="Calibri" w:eastAsia="Calibri" w:hAnsi="Calibri" w:cs="Times New Roman"/>
      <w:kern w:val="0"/>
      <w:sz w:val="21"/>
      <w:szCs w:val="20"/>
      <w:lang w:eastAsia="en-AU"/>
      <w14:ligatures w14:val="none"/>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7F7E8B"/>
    <w:pPr>
      <w:keepLines w:val="0"/>
      <w:tabs>
        <w:tab w:val="left" w:pos="1190"/>
      </w:tabs>
      <w:spacing w:before="240"/>
    </w:pPr>
    <w:rPr>
      <w:rFonts w:eastAsia="Times New Roman" w:cs="Arial"/>
      <w:i/>
      <w:color w:val="262626" w:themeColor="text1" w:themeTint="D9"/>
    </w:rPr>
  </w:style>
  <w:style w:type="paragraph" w:customStyle="1" w:styleId="BulletNumbers">
    <w:name w:val="Bullet Numbers"/>
    <w:basedOn w:val="Bullet1"/>
    <w:qFormat/>
    <w:rsid w:val="004B0A3E"/>
    <w:pPr>
      <w:numPr>
        <w:numId w:val="3"/>
      </w:numPr>
      <w:tabs>
        <w:tab w:val="clear" w:pos="284"/>
        <w:tab w:val="left" w:pos="426"/>
      </w:tabs>
      <w:ind w:left="426" w:hanging="426"/>
    </w:pPr>
  </w:style>
  <w:style w:type="paragraph" w:customStyle="1" w:styleId="Bulletalpha">
    <w:name w:val="Bullet alpha"/>
    <w:basedOn w:val="Bullet1"/>
    <w:qFormat/>
    <w:rsid w:val="004B0A3E"/>
    <w:pPr>
      <w:numPr>
        <w:numId w:val="4"/>
      </w:numPr>
      <w:tabs>
        <w:tab w:val="clear" w:pos="284"/>
        <w:tab w:val="left" w:pos="364"/>
      </w:tabs>
      <w:ind w:left="364" w:hanging="364"/>
    </w:pPr>
  </w:style>
  <w:style w:type="paragraph" w:customStyle="1" w:styleId="Bulletroman">
    <w:name w:val="Bullet roman"/>
    <w:basedOn w:val="BulletNumbers"/>
    <w:qFormat/>
    <w:rsid w:val="004B0A3E"/>
    <w:pPr>
      <w:numPr>
        <w:numId w:val="5"/>
      </w:numPr>
      <w:tabs>
        <w:tab w:val="clear" w:pos="426"/>
        <w:tab w:val="left" w:pos="363"/>
      </w:tabs>
      <w:ind w:left="363" w:hanging="363"/>
    </w:pPr>
  </w:style>
  <w:style w:type="paragraph" w:customStyle="1" w:styleId="TableFigures">
    <w:name w:val="Table Figures"/>
    <w:basedOn w:val="Tablebody"/>
    <w:qFormat/>
    <w:rsid w:val="00B55602"/>
    <w:pPr>
      <w:jc w:val="right"/>
    </w:pPr>
  </w:style>
  <w:style w:type="table" w:customStyle="1" w:styleId="ARFinancialsTable">
    <w:name w:val="AR_Financials Table"/>
    <w:basedOn w:val="TableNormal"/>
    <w:uiPriority w:val="99"/>
    <w:rsid w:val="005C5584"/>
    <w:rPr>
      <w:rFonts w:ascii="Calibri" w:eastAsia="Calibri" w:hAnsi="Calibri" w:cs="Times New Roman"/>
      <w:kern w:val="0"/>
      <w:sz w:val="21"/>
      <w:szCs w:val="20"/>
      <w:lang w:eastAsia="en-AU"/>
      <w14:ligatures w14:val="none"/>
    </w:rPr>
    <w:tblPr>
      <w:tblStyleRowBandSize w:val="1"/>
    </w:tblPr>
    <w:tcPr>
      <w:tcMar>
        <w:top w:w="113" w:type="dxa"/>
        <w:left w:w="142" w:type="dxa"/>
        <w:bottom w:w="113" w:type="dxa"/>
        <w:right w:w="170" w:type="dxa"/>
      </w:tcMar>
    </w:tcPr>
    <w:tblStylePr w:type="firstRow">
      <w:rPr>
        <w:rFonts w:ascii="Arial" w:hAnsi="Arial"/>
        <w:b/>
        <w:i w:val="0"/>
        <w:color w:val="FFFFFF" w:themeColor="background1"/>
        <w:sz w:val="22"/>
      </w:rPr>
      <w:tblPr/>
      <w:tcPr>
        <w:shd w:val="clear" w:color="auto" w:fill="48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landscapepage">
    <w:name w:val="Footer text landscape page"/>
    <w:basedOn w:val="FootnotesEndnotestext"/>
    <w:qFormat/>
    <w:rsid w:val="00BD00BD"/>
    <w:pPr>
      <w:tabs>
        <w:tab w:val="center" w:pos="6859"/>
        <w:tab w:val="right" w:pos="13719"/>
      </w:tabs>
      <w:spacing w:before="0" w:after="0"/>
    </w:pPr>
    <w:rPr>
      <w:noProof/>
    </w:rPr>
  </w:style>
  <w:style w:type="table" w:customStyle="1" w:styleId="Invisibletablefor2-columnlayout">
    <w:name w:val="Invisible table for 2-column layout"/>
    <w:basedOn w:val="TableNormal"/>
    <w:uiPriority w:val="99"/>
    <w:rsid w:val="00D408D1"/>
    <w:rPr>
      <w:rFonts w:ascii="Calibri" w:hAnsi="Calibri"/>
    </w:rPr>
    <w:tblPr>
      <w:tblCellMar>
        <w:left w:w="0" w:type="dxa"/>
        <w:right w:w="57" w:type="dxa"/>
      </w:tblCellMar>
    </w:tblPr>
    <w:tblStylePr w:type="firstRow">
      <w:rPr>
        <w:rFonts w:ascii="Calibri" w:hAnsi="Calibri"/>
        <w:sz w:val="24"/>
      </w:rPr>
    </w:tblStylePr>
  </w:style>
  <w:style w:type="character" w:styleId="Strong">
    <w:name w:val="Strong"/>
    <w:basedOn w:val="DefaultParagraphFont"/>
    <w:uiPriority w:val="22"/>
    <w:qFormat/>
    <w:rsid w:val="0088750D"/>
    <w:rPr>
      <w:b/>
      <w:bCs/>
    </w:rPr>
  </w:style>
  <w:style w:type="paragraph" w:styleId="ListParagraph">
    <w:name w:val="List Paragraph"/>
    <w:basedOn w:val="Normal"/>
    <w:uiPriority w:val="34"/>
    <w:qFormat/>
    <w:rsid w:val="0088750D"/>
    <w:pPr>
      <w:ind w:left="720"/>
      <w:contextualSpacing/>
    </w:pPr>
  </w:style>
  <w:style w:type="table" w:customStyle="1" w:styleId="Breakoutbox">
    <w:name w:val="Breakout box"/>
    <w:basedOn w:val="TableNormal"/>
    <w:uiPriority w:val="99"/>
    <w:rsid w:val="004026F8"/>
    <w:tblPr>
      <w:tblCellMar>
        <w:top w:w="57" w:type="dxa"/>
        <w:left w:w="198" w:type="dxa"/>
        <w:bottom w:w="57" w:type="dxa"/>
        <w:right w:w="227" w:type="dxa"/>
      </w:tblCellMar>
    </w:tblPr>
    <w:tcPr>
      <w:shd w:val="clear" w:color="auto" w:fill="F2F2F2" w:themeFill="background1" w:themeFillShade="F2"/>
    </w:tcPr>
  </w:style>
  <w:style w:type="character" w:styleId="PageNumber">
    <w:name w:val="page number"/>
    <w:basedOn w:val="DefaultParagraphFont"/>
    <w:uiPriority w:val="99"/>
    <w:semiHidden/>
    <w:unhideWhenUsed/>
    <w:rsid w:val="00F30E50"/>
  </w:style>
  <w:style w:type="paragraph" w:styleId="Title">
    <w:name w:val="Title"/>
    <w:basedOn w:val="Normal"/>
    <w:next w:val="Normal"/>
    <w:link w:val="TitleChar"/>
    <w:uiPriority w:val="10"/>
    <w:qFormat/>
    <w:rsid w:val="00E301B8"/>
    <w:pPr>
      <w:spacing w:before="480" w:after="0" w:line="216" w:lineRule="auto"/>
      <w:contextualSpacing/>
    </w:pPr>
    <w:rPr>
      <w:rFonts w:ascii="Montserrat" w:eastAsiaTheme="majorEastAsia" w:hAnsi="Montserrat" w:cstheme="majorBidi"/>
      <w:bCs w:val="0"/>
      <w:iCs w:val="0"/>
      <w:color w:val="0D0D0D" w:themeColor="text1" w:themeTint="F2"/>
      <w:spacing w:val="-10"/>
      <w:kern w:val="28"/>
      <w:sz w:val="88"/>
      <w:szCs w:val="88"/>
      <w:lang w:val="en-GB" w:eastAsia="en-AU"/>
    </w:rPr>
  </w:style>
  <w:style w:type="character" w:customStyle="1" w:styleId="TitleChar">
    <w:name w:val="Title Char"/>
    <w:basedOn w:val="DefaultParagraphFont"/>
    <w:link w:val="Title"/>
    <w:uiPriority w:val="10"/>
    <w:rsid w:val="00E301B8"/>
    <w:rPr>
      <w:rFonts w:ascii="Montserrat" w:eastAsiaTheme="majorEastAsia" w:hAnsi="Montserrat" w:cstheme="majorBidi"/>
      <w:color w:val="0D0D0D" w:themeColor="text1" w:themeTint="F2"/>
      <w:spacing w:val="-10"/>
      <w:kern w:val="28"/>
      <w:sz w:val="88"/>
      <w:szCs w:val="88"/>
      <w:lang w:val="en-GB" w:eastAsia="en-AU"/>
      <w14:ligatures w14:val="none"/>
    </w:rPr>
  </w:style>
  <w:style w:type="paragraph" w:styleId="FootnoteText">
    <w:name w:val="footnote text"/>
    <w:basedOn w:val="Normal"/>
    <w:link w:val="FootnoteTextChar"/>
    <w:unhideWhenUsed/>
    <w:rsid w:val="00A231F3"/>
    <w:pPr>
      <w:spacing w:before="0" w:after="0"/>
    </w:pPr>
    <w:rPr>
      <w:sz w:val="20"/>
      <w:szCs w:val="20"/>
    </w:rPr>
  </w:style>
  <w:style w:type="character" w:customStyle="1" w:styleId="FootnoteTextChar">
    <w:name w:val="Footnote Text Char"/>
    <w:basedOn w:val="DefaultParagraphFont"/>
    <w:link w:val="FootnoteText"/>
    <w:rsid w:val="00A231F3"/>
    <w:rPr>
      <w:rFonts w:ascii="Calibri" w:eastAsia="Times New Roman" w:hAnsi="Calibri" w:cstheme="minorHAnsi"/>
      <w:bCs/>
      <w:iCs/>
      <w:kern w:val="0"/>
      <w:sz w:val="20"/>
      <w:szCs w:val="20"/>
      <w14:ligatures w14:val="none"/>
    </w:rPr>
  </w:style>
  <w:style w:type="character" w:styleId="FootnoteReference">
    <w:name w:val="footnote reference"/>
    <w:basedOn w:val="DefaultParagraphFont"/>
    <w:unhideWhenUsed/>
    <w:rsid w:val="00A231F3"/>
    <w:rPr>
      <w:vertAlign w:val="superscript"/>
    </w:rPr>
  </w:style>
  <w:style w:type="paragraph" w:styleId="BodyText">
    <w:name w:val="Body Text"/>
    <w:basedOn w:val="Normal"/>
    <w:link w:val="BodyTextChar"/>
    <w:rsid w:val="00CE4774"/>
    <w:pPr>
      <w:spacing w:before="0" w:after="0" w:line="360" w:lineRule="auto"/>
      <w:jc w:val="both"/>
    </w:pPr>
    <w:rPr>
      <w:rFonts w:ascii="Times New Roman" w:hAnsi="Times New Roman" w:cs="Times New Roman"/>
      <w:bCs w:val="0"/>
      <w:iCs w:val="0"/>
      <w:sz w:val="24"/>
      <w:szCs w:val="20"/>
    </w:rPr>
  </w:style>
  <w:style w:type="character" w:customStyle="1" w:styleId="BodyTextChar">
    <w:name w:val="Body Text Char"/>
    <w:basedOn w:val="DefaultParagraphFont"/>
    <w:link w:val="BodyText"/>
    <w:rsid w:val="00CE4774"/>
    <w:rPr>
      <w:rFonts w:ascii="Times New Roman" w:eastAsia="Times New Roman" w:hAnsi="Times New Roman" w:cs="Times New Roman"/>
      <w:kern w:val="0"/>
      <w:szCs w:val="20"/>
      <w14:ligatures w14:val="none"/>
    </w:rPr>
  </w:style>
  <w:style w:type="paragraph" w:styleId="BodyText2">
    <w:name w:val="Body Text 2"/>
    <w:basedOn w:val="Normal"/>
    <w:link w:val="BodyText2Char"/>
    <w:uiPriority w:val="99"/>
    <w:semiHidden/>
    <w:unhideWhenUsed/>
    <w:rsid w:val="00262D58"/>
    <w:pPr>
      <w:spacing w:after="120" w:line="480" w:lineRule="auto"/>
    </w:pPr>
  </w:style>
  <w:style w:type="character" w:customStyle="1" w:styleId="BodyText2Char">
    <w:name w:val="Body Text 2 Char"/>
    <w:basedOn w:val="DefaultParagraphFont"/>
    <w:link w:val="BodyText2"/>
    <w:uiPriority w:val="99"/>
    <w:semiHidden/>
    <w:rsid w:val="00262D58"/>
    <w:rPr>
      <w:rFonts w:ascii="Calibri" w:eastAsia="Times New Roman" w:hAnsi="Calibri" w:cstheme="minorHAnsi"/>
      <w:bCs/>
      <w:iCs/>
      <w:kern w:val="0"/>
      <w:sz w:val="22"/>
      <w:szCs w:val="22"/>
      <w14:ligatures w14:val="none"/>
    </w:rPr>
  </w:style>
  <w:style w:type="character" w:styleId="UnresolvedMention">
    <w:name w:val="Unresolved Mention"/>
    <w:basedOn w:val="DefaultParagraphFont"/>
    <w:uiPriority w:val="99"/>
    <w:semiHidden/>
    <w:unhideWhenUsed/>
    <w:rsid w:val="005D5AC2"/>
    <w:rPr>
      <w:color w:val="605E5C"/>
      <w:shd w:val="clear" w:color="auto" w:fill="E1DFDD"/>
    </w:rPr>
  </w:style>
  <w:style w:type="character" w:styleId="CommentReference">
    <w:name w:val="annotation reference"/>
    <w:basedOn w:val="DefaultParagraphFont"/>
    <w:uiPriority w:val="99"/>
    <w:semiHidden/>
    <w:unhideWhenUsed/>
    <w:rsid w:val="00E96A42"/>
    <w:rPr>
      <w:sz w:val="16"/>
      <w:szCs w:val="16"/>
    </w:rPr>
  </w:style>
  <w:style w:type="paragraph" w:styleId="CommentText">
    <w:name w:val="annotation text"/>
    <w:basedOn w:val="Normal"/>
    <w:link w:val="CommentTextChar"/>
    <w:uiPriority w:val="99"/>
    <w:unhideWhenUsed/>
    <w:rsid w:val="00E96A42"/>
    <w:rPr>
      <w:sz w:val="20"/>
      <w:szCs w:val="20"/>
    </w:rPr>
  </w:style>
  <w:style w:type="character" w:customStyle="1" w:styleId="CommentTextChar">
    <w:name w:val="Comment Text Char"/>
    <w:basedOn w:val="DefaultParagraphFont"/>
    <w:link w:val="CommentText"/>
    <w:uiPriority w:val="99"/>
    <w:rsid w:val="00E96A42"/>
    <w:rPr>
      <w:rFonts w:ascii="Calibri" w:eastAsia="Times New Roman" w:hAnsi="Calibri" w:cstheme="minorHAnsi"/>
      <w:bCs/>
      <w:i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6A42"/>
    <w:rPr>
      <w:b/>
    </w:rPr>
  </w:style>
  <w:style w:type="character" w:customStyle="1" w:styleId="CommentSubjectChar">
    <w:name w:val="Comment Subject Char"/>
    <w:basedOn w:val="CommentTextChar"/>
    <w:link w:val="CommentSubject"/>
    <w:uiPriority w:val="99"/>
    <w:semiHidden/>
    <w:rsid w:val="00E96A42"/>
    <w:rPr>
      <w:rFonts w:ascii="Calibri" w:eastAsia="Times New Roman" w:hAnsi="Calibri" w:cstheme="minorHAnsi"/>
      <w:b/>
      <w:bCs/>
      <w:iCs/>
      <w:kern w:val="0"/>
      <w:sz w:val="20"/>
      <w:szCs w:val="20"/>
      <w14:ligatures w14:val="none"/>
    </w:rPr>
  </w:style>
  <w:style w:type="paragraph" w:styleId="Revision">
    <w:name w:val="Revision"/>
    <w:hidden/>
    <w:uiPriority w:val="99"/>
    <w:semiHidden/>
    <w:rsid w:val="00BF50F1"/>
    <w:rPr>
      <w:rFonts w:ascii="Calibri" w:eastAsia="Times New Roman" w:hAnsi="Calibri" w:cstheme="minorHAnsi"/>
      <w:bCs/>
      <w:i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remunerationtribunal.act.gov.au/determinations" TargetMode="External"/><Relationship Id="rId26" Type="http://schemas.openxmlformats.org/officeDocument/2006/relationships/footer" Target="footer5.xml"/><Relationship Id="rId39" Type="http://schemas.openxmlformats.org/officeDocument/2006/relationships/hyperlink" Target="https://actss.service-now.com/sharedservices/" TargetMode="External"/><Relationship Id="rId21" Type="http://schemas.openxmlformats.org/officeDocument/2006/relationships/hyperlink" Target="https://www.cmtedd.act.gov.au/employment-framework/managers-And-supervisors/managers-toolkit" TargetMode="External"/><Relationship Id="rId34" Type="http://schemas.openxmlformats.org/officeDocument/2006/relationships/hyperlink" Target="https://www.closingthegap.gov.au/national-agreement/priority-reforms" TargetMode="External"/><Relationship Id="rId42" Type="http://schemas.openxmlformats.org/officeDocument/2006/relationships/hyperlink" Target="mailto:ExecutiveTalent@act.gov.au"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ccesshub.gov.au" TargetMode="External"/><Relationship Id="rId29" Type="http://schemas.openxmlformats.org/officeDocument/2006/relationships/hyperlink" Target="mailto:salarypackaging@ac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actss.service-now.com/sharedservices/?id=knwl_article&amp;sys_id=71be7e8b15758f80750353a7d14f1786" TargetMode="External"/><Relationship Id="rId32" Type="http://schemas.openxmlformats.org/officeDocument/2006/relationships/hyperlink" Target="https://actgovernment.sharepoint.com/sites/intranet-ClosingTheGapCulturalCapability" TargetMode="External"/><Relationship Id="rId37" Type="http://schemas.openxmlformats.org/officeDocument/2006/relationships/hyperlink" Target="https://www.cmtedd.act.gov.au/__data/assets/pdf_file/0011/463736/leading_pm.pdf" TargetMode="External"/><Relationship Id="rId40" Type="http://schemas.openxmlformats.org/officeDocument/2006/relationships/hyperlink" Target="https://www.cmtedd.act.gov.au/__data/assets/pdf_file/0020/1802225/Second-Jobs-and-Volunteering-Policy.pdf"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hr21/Interface/login.aspx" TargetMode="External"/><Relationship Id="rId28" Type="http://schemas.openxmlformats.org/officeDocument/2006/relationships/hyperlink" Target="https://www.cmtedd.act.gov.au/__data/assets/pdf_file/0014/1330070/Salary-Packaging-Manual.pdf" TargetMode="External"/><Relationship Id="rId36" Type="http://schemas.openxmlformats.org/officeDocument/2006/relationships/hyperlink" Target="https://www.cmtedd.act.gov.au/employment-framework/performance-framework/actps-performance-development" TargetMode="External"/><Relationship Id="rId10" Type="http://schemas.openxmlformats.org/officeDocument/2006/relationships/endnotes" Target="endnotes.xml"/><Relationship Id="rId19" Type="http://schemas.openxmlformats.org/officeDocument/2006/relationships/hyperlink" Target="https://www.cmtedd.act.gov.au/employment-framework/for-executives/actps-executive-induction" TargetMode="External"/><Relationship Id="rId31" Type="http://schemas.openxmlformats.org/officeDocument/2006/relationships/hyperlink" Target="https://www.cmtedd.act.gov.au/__data/assets/pdf_file/0009/1758141/ACTPS-Recruitment-Policy-and-Guidelines.pdf" TargetMode="External"/><Relationship Id="rId44" Type="http://schemas.openxmlformats.org/officeDocument/2006/relationships/hyperlink" Target="mailto:executive.employment@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actgovernment.sharepoint.com/sites/extranet-ACTIA/SitePages/Risk-Management-Tools.aspx" TargetMode="External"/><Relationship Id="rId27" Type="http://schemas.openxmlformats.org/officeDocument/2006/relationships/hyperlink" Target="http://www.remunerationtribunal.act.gov.au/determinations" TargetMode="External"/><Relationship Id="rId30" Type="http://schemas.openxmlformats.org/officeDocument/2006/relationships/hyperlink" Target="http://www.remunerationtribunal.act.gov.au/determinations" TargetMode="External"/><Relationship Id="rId35" Type="http://schemas.openxmlformats.org/officeDocument/2006/relationships/hyperlink" Target="https://www.cmtedd.act.gov.au/employment-framework/performance-framework/actps-shared-capability" TargetMode="External"/><Relationship Id="rId43" Type="http://schemas.openxmlformats.org/officeDocument/2006/relationships/hyperlink" Target="https://www.cmtedd.act.gov.au/__data/assets/pdf_file/0003/1437078/Guidelines-to-the-Misconduct-Process-Final-October-2019.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act.gov.au/social-media" TargetMode="External"/><Relationship Id="rId33" Type="http://schemas.openxmlformats.org/officeDocument/2006/relationships/hyperlink" Target="https://www.act.gov.au/open/act-aboriginal-and-torres-strait-islander-agreement" TargetMode="External"/><Relationship Id="rId38" Type="http://schemas.openxmlformats.org/officeDocument/2006/relationships/hyperlink" Target="https://actss.service-now.com/sys_attachment.do?sys_id=cc7b000ac36bf6d8b5b3d1477d01318c" TargetMode="External"/><Relationship Id="rId46" Type="http://schemas.openxmlformats.org/officeDocument/2006/relationships/fontTable" Target="fontTable.xml"/><Relationship Id="rId20" Type="http://schemas.openxmlformats.org/officeDocument/2006/relationships/hyperlink" Target="https://www.cmtedd.act.gov.au/employment-framework/home" TargetMode="External"/><Relationship Id="rId41" Type="http://schemas.openxmlformats.org/officeDocument/2006/relationships/hyperlink" Target="https://actgovernment.sharepoint.com/sites/intranet-Communica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mtedd.act.gov.au/__data/assets/pdf_file/0004/2287633/ACT-Public-Sector-Administrative-and-Related-Classifications-Enterprise-Agreement-2023-2026.pdf" TargetMode="External"/><Relationship Id="rId2" Type="http://schemas.openxmlformats.org/officeDocument/2006/relationships/hyperlink" Target="http://www.remunerationtribunal.act.gov.au/determinations" TargetMode="External"/><Relationship Id="rId1" Type="http://schemas.openxmlformats.org/officeDocument/2006/relationships/hyperlink" Target="http://www.legislation.act.gov.au/" TargetMode="External"/><Relationship Id="rId4" Type="http://schemas.openxmlformats.org/officeDocument/2006/relationships/hyperlink" Target="https://www.cmtedd.act.gov.au/__data/assets/pdf_file/0004/2287633/ACT-Public-Sector-Administrative-and-Related-Classifications-Enterprise-Agreement-2023-2026.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17B08C160D84ABA40B95201D18DE7"/>
        <w:category>
          <w:name w:val="General"/>
          <w:gallery w:val="placeholder"/>
        </w:category>
        <w:types>
          <w:type w:val="bbPlcHdr"/>
        </w:types>
        <w:behaviors>
          <w:behavior w:val="content"/>
        </w:behaviors>
        <w:guid w:val="{8243139D-DD87-D444-98DE-73D745F28A9E}"/>
      </w:docPartPr>
      <w:docPartBody>
        <w:p w:rsidR="005E0121" w:rsidRDefault="005E0121" w:rsidP="005E0121">
          <w:pPr>
            <w:pStyle w:val="29017B08C160D84ABA40B95201D18DE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21"/>
    <w:rsid w:val="000138B7"/>
    <w:rsid w:val="0002438E"/>
    <w:rsid w:val="000F4E35"/>
    <w:rsid w:val="0011323F"/>
    <w:rsid w:val="001276CE"/>
    <w:rsid w:val="00322859"/>
    <w:rsid w:val="003B2855"/>
    <w:rsid w:val="004011D3"/>
    <w:rsid w:val="00431523"/>
    <w:rsid w:val="004912F9"/>
    <w:rsid w:val="004A77B6"/>
    <w:rsid w:val="00503A78"/>
    <w:rsid w:val="00505168"/>
    <w:rsid w:val="00597E8D"/>
    <w:rsid w:val="005E0121"/>
    <w:rsid w:val="006051FD"/>
    <w:rsid w:val="00667163"/>
    <w:rsid w:val="006F4F0D"/>
    <w:rsid w:val="00752358"/>
    <w:rsid w:val="007F1DD7"/>
    <w:rsid w:val="0080576D"/>
    <w:rsid w:val="008554D0"/>
    <w:rsid w:val="009602CE"/>
    <w:rsid w:val="00964525"/>
    <w:rsid w:val="00972628"/>
    <w:rsid w:val="009D74C5"/>
    <w:rsid w:val="00A56704"/>
    <w:rsid w:val="00A75673"/>
    <w:rsid w:val="00AB52CD"/>
    <w:rsid w:val="00B77FC2"/>
    <w:rsid w:val="00B87BBF"/>
    <w:rsid w:val="00D95774"/>
    <w:rsid w:val="00DD2577"/>
    <w:rsid w:val="00E7388C"/>
    <w:rsid w:val="00E77127"/>
    <w:rsid w:val="00F04C54"/>
    <w:rsid w:val="00F71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017B08C160D84ABA40B95201D18DE7">
    <w:name w:val="29017B08C160D84ABA40B95201D18DE7"/>
    <w:rsid w:val="005E0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911825-1c96-4e7f-afad-7dfe646dcc2f">
      <Terms xmlns="http://schemas.microsoft.com/office/infopath/2007/PartnerControls"/>
    </lcf76f155ced4ddcb4097134ff3c332f>
    <TaxCatchAll xmlns="ddc13bb2-4ff6-43a8-84fc-f3fc93a57e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0040F9C457AA4C92A7FF06B51C8BE6" ma:contentTypeVersion="12" ma:contentTypeDescription="Create a new document." ma:contentTypeScope="" ma:versionID="54b19c465dd925b84ce8dc88811797a8">
  <xsd:schema xmlns:xsd="http://www.w3.org/2001/XMLSchema" xmlns:xs="http://www.w3.org/2001/XMLSchema" xmlns:p="http://schemas.microsoft.com/office/2006/metadata/properties" xmlns:ns2="d3911825-1c96-4e7f-afad-7dfe646dcc2f" xmlns:ns3="ddc13bb2-4ff6-43a8-84fc-f3fc93a57e36" targetNamespace="http://schemas.microsoft.com/office/2006/metadata/properties" ma:root="true" ma:fieldsID="e78656caf71f2d0f0fd21c689f45b2fb" ns2:_="" ns3:_="">
    <xsd:import namespace="d3911825-1c96-4e7f-afad-7dfe646dcc2f"/>
    <xsd:import namespace="ddc13bb2-4ff6-43a8-84fc-f3fc93a57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11825-1c96-4e7f-afad-7dfe646dc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13bb2-4ff6-43a8-84fc-f3fc93a57e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e9af52-1a50-45eb-9da2-049d3b83d8d2}" ma:internalName="TaxCatchAll" ma:showField="CatchAllData" ma:web="ddc13bb2-4ff6-43a8-84fc-f3fc93a57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62075-BCF5-4095-BA5C-578E25B84630}">
  <ds:schemaRefs>
    <ds:schemaRef ds:uri="http://schemas.microsoft.com/office/2006/metadata/properties"/>
    <ds:schemaRef ds:uri="http://schemas.microsoft.com/office/infopath/2007/PartnerControls"/>
    <ds:schemaRef ds:uri="d3911825-1c96-4e7f-afad-7dfe646dcc2f"/>
    <ds:schemaRef ds:uri="ddc13bb2-4ff6-43a8-84fc-f3fc93a57e36"/>
  </ds:schemaRefs>
</ds:datastoreItem>
</file>

<file path=customXml/itemProps2.xml><?xml version="1.0" encoding="utf-8"?>
<ds:datastoreItem xmlns:ds="http://schemas.openxmlformats.org/officeDocument/2006/customXml" ds:itemID="{09BD184A-D6E7-413F-A4DA-79064F9F9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11825-1c96-4e7f-afad-7dfe646dcc2f"/>
    <ds:schemaRef ds:uri="ddc13bb2-4ff6-43a8-84fc-f3fc93a57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customXml/itemProps4.xml><?xml version="1.0" encoding="utf-8"?>
<ds:datastoreItem xmlns:ds="http://schemas.openxmlformats.org/officeDocument/2006/customXml" ds:itemID="{1ED4C0FB-FCD8-45CD-AF7A-93E00B45B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6593</Words>
  <Characters>36658</Characters>
  <Application>Microsoft Office Word</Application>
  <DocSecurity>0</DocSecurity>
  <Lines>763</Lines>
  <Paragraphs>393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42858</CharactersWithSpaces>
  <SharedDoc>false</SharedDoc>
  <HyperlinkBase/>
  <HLinks>
    <vt:vector size="468" baseType="variant">
      <vt:variant>
        <vt:i4>1704053</vt:i4>
      </vt:variant>
      <vt:variant>
        <vt:i4>363</vt:i4>
      </vt:variant>
      <vt:variant>
        <vt:i4>0</vt:i4>
      </vt:variant>
      <vt:variant>
        <vt:i4>5</vt:i4>
      </vt:variant>
      <vt:variant>
        <vt:lpwstr>mailto:psm@act.gov.au</vt:lpwstr>
      </vt:variant>
      <vt:variant>
        <vt:lpwstr/>
      </vt:variant>
      <vt:variant>
        <vt:i4>5046371</vt:i4>
      </vt:variant>
      <vt:variant>
        <vt:i4>360</vt:i4>
      </vt:variant>
      <vt:variant>
        <vt:i4>0</vt:i4>
      </vt:variant>
      <vt:variant>
        <vt:i4>5</vt:i4>
      </vt:variant>
      <vt:variant>
        <vt:lpwstr>https://www.cmtedd.act.gov.au/__data/assets/pdf_file/0003/1437078/Guidelines-to-the-Misconduct-Process-Final-October-2019.pdf</vt:lpwstr>
      </vt:variant>
      <vt:variant>
        <vt:lpwstr/>
      </vt:variant>
      <vt:variant>
        <vt:i4>917609</vt:i4>
      </vt:variant>
      <vt:variant>
        <vt:i4>357</vt:i4>
      </vt:variant>
      <vt:variant>
        <vt:i4>0</vt:i4>
      </vt:variant>
      <vt:variant>
        <vt:i4>5</vt:i4>
      </vt:variant>
      <vt:variant>
        <vt:lpwstr>mailto:ExecutiveTalent@act.gov.au</vt:lpwstr>
      </vt:variant>
      <vt:variant>
        <vt:lpwstr/>
      </vt:variant>
      <vt:variant>
        <vt:i4>6422633</vt:i4>
      </vt:variant>
      <vt:variant>
        <vt:i4>354</vt:i4>
      </vt:variant>
      <vt:variant>
        <vt:i4>0</vt:i4>
      </vt:variant>
      <vt:variant>
        <vt:i4>5</vt:i4>
      </vt:variant>
      <vt:variant>
        <vt:lpwstr>https://actgovernment.sharepoint.com/sites/intranet-Communications</vt:lpwstr>
      </vt:variant>
      <vt:variant>
        <vt:lpwstr/>
      </vt:variant>
      <vt:variant>
        <vt:i4>5046321</vt:i4>
      </vt:variant>
      <vt:variant>
        <vt:i4>351</vt:i4>
      </vt:variant>
      <vt:variant>
        <vt:i4>0</vt:i4>
      </vt:variant>
      <vt:variant>
        <vt:i4>5</vt:i4>
      </vt:variant>
      <vt:variant>
        <vt:lpwstr>https://www.cmtedd.act.gov.au/__data/assets/pdf_file/0020/1802225/Second-Jobs-and-Volunteering-Policy.pdf</vt:lpwstr>
      </vt:variant>
      <vt:variant>
        <vt:lpwstr/>
      </vt:variant>
      <vt:variant>
        <vt:i4>917574</vt:i4>
      </vt:variant>
      <vt:variant>
        <vt:i4>348</vt:i4>
      </vt:variant>
      <vt:variant>
        <vt:i4>0</vt:i4>
      </vt:variant>
      <vt:variant>
        <vt:i4>5</vt:i4>
      </vt:variant>
      <vt:variant>
        <vt:lpwstr>https://actss.service-now.com/sharedservices/</vt:lpwstr>
      </vt:variant>
      <vt:variant>
        <vt:lpwstr/>
      </vt:variant>
      <vt:variant>
        <vt:i4>3670112</vt:i4>
      </vt:variant>
      <vt:variant>
        <vt:i4>345</vt:i4>
      </vt:variant>
      <vt:variant>
        <vt:i4>0</vt:i4>
      </vt:variant>
      <vt:variant>
        <vt:i4>5</vt:i4>
      </vt:variant>
      <vt:variant>
        <vt:lpwstr>https://actss.service-now.com/sharedservices/?id=service_category&amp;sys_id=2fddbb24fca5b2004714251146cdbafd</vt:lpwstr>
      </vt:variant>
      <vt:variant>
        <vt:lpwstr/>
      </vt:variant>
      <vt:variant>
        <vt:i4>7471153</vt:i4>
      </vt:variant>
      <vt:variant>
        <vt:i4>342</vt:i4>
      </vt:variant>
      <vt:variant>
        <vt:i4>0</vt:i4>
      </vt:variant>
      <vt:variant>
        <vt:i4>5</vt:i4>
      </vt:variant>
      <vt:variant>
        <vt:lpwstr>https://actss.service-now.com/sys_attachment.do?sys_id=4346b0251b3128104d06cb7b1d4bcb55</vt:lpwstr>
      </vt:variant>
      <vt:variant>
        <vt:lpwstr/>
      </vt:variant>
      <vt:variant>
        <vt:i4>7274597</vt:i4>
      </vt:variant>
      <vt:variant>
        <vt:i4>339</vt:i4>
      </vt:variant>
      <vt:variant>
        <vt:i4>0</vt:i4>
      </vt:variant>
      <vt:variant>
        <vt:i4>5</vt:i4>
      </vt:variant>
      <vt:variant>
        <vt:lpwstr>https://www.cmtedd.act.gov.au/__data/assets/pdf_file/0011/463736/leading_pm.pdf</vt:lpwstr>
      </vt:variant>
      <vt:variant>
        <vt:lpwstr/>
      </vt:variant>
      <vt:variant>
        <vt:i4>8257634</vt:i4>
      </vt:variant>
      <vt:variant>
        <vt:i4>336</vt:i4>
      </vt:variant>
      <vt:variant>
        <vt:i4>0</vt:i4>
      </vt:variant>
      <vt:variant>
        <vt:i4>5</vt:i4>
      </vt:variant>
      <vt:variant>
        <vt:lpwstr>https://www.cmtedd.act.gov.au/employment-framework/performance-framework/actps-performance-development</vt:lpwstr>
      </vt:variant>
      <vt:variant>
        <vt:lpwstr/>
      </vt:variant>
      <vt:variant>
        <vt:i4>4784199</vt:i4>
      </vt:variant>
      <vt:variant>
        <vt:i4>333</vt:i4>
      </vt:variant>
      <vt:variant>
        <vt:i4>0</vt:i4>
      </vt:variant>
      <vt:variant>
        <vt:i4>5</vt:i4>
      </vt:variant>
      <vt:variant>
        <vt:lpwstr>https://www.cmtedd.act.gov.au/employment-framework/performance-framework/actps-shared-capability</vt:lpwstr>
      </vt:variant>
      <vt:variant>
        <vt:lpwstr/>
      </vt:variant>
      <vt:variant>
        <vt:i4>6029402</vt:i4>
      </vt:variant>
      <vt:variant>
        <vt:i4>330</vt:i4>
      </vt:variant>
      <vt:variant>
        <vt:i4>0</vt:i4>
      </vt:variant>
      <vt:variant>
        <vt:i4>5</vt:i4>
      </vt:variant>
      <vt:variant>
        <vt:lpwstr>https://www.closingthegap.gov.au/national-agreement/priority-reforms</vt:lpwstr>
      </vt:variant>
      <vt:variant>
        <vt:lpwstr/>
      </vt:variant>
      <vt:variant>
        <vt:i4>2555964</vt:i4>
      </vt:variant>
      <vt:variant>
        <vt:i4>327</vt:i4>
      </vt:variant>
      <vt:variant>
        <vt:i4>0</vt:i4>
      </vt:variant>
      <vt:variant>
        <vt:i4>5</vt:i4>
      </vt:variant>
      <vt:variant>
        <vt:lpwstr>https://www.act.gov.au/open/act-aboriginal-and-torres-strait-islander-agreement</vt:lpwstr>
      </vt:variant>
      <vt:variant>
        <vt:lpwstr/>
      </vt:variant>
      <vt:variant>
        <vt:i4>3</vt:i4>
      </vt:variant>
      <vt:variant>
        <vt:i4>324</vt:i4>
      </vt:variant>
      <vt:variant>
        <vt:i4>0</vt:i4>
      </vt:variant>
      <vt:variant>
        <vt:i4>5</vt:i4>
      </vt:variant>
      <vt:variant>
        <vt:lpwstr>http://www.remunerationtribunal.act.gov.au/determinations</vt:lpwstr>
      </vt:variant>
      <vt:variant>
        <vt:lpwstr/>
      </vt:variant>
      <vt:variant>
        <vt:i4>1441916</vt:i4>
      </vt:variant>
      <vt:variant>
        <vt:i4>321</vt:i4>
      </vt:variant>
      <vt:variant>
        <vt:i4>0</vt:i4>
      </vt:variant>
      <vt:variant>
        <vt:i4>5</vt:i4>
      </vt:variant>
      <vt:variant>
        <vt:lpwstr>mailto:salarypackaging@act.gov.au</vt:lpwstr>
      </vt:variant>
      <vt:variant>
        <vt:lpwstr/>
      </vt:variant>
      <vt:variant>
        <vt:i4>5701682</vt:i4>
      </vt:variant>
      <vt:variant>
        <vt:i4>318</vt:i4>
      </vt:variant>
      <vt:variant>
        <vt:i4>0</vt:i4>
      </vt:variant>
      <vt:variant>
        <vt:i4>5</vt:i4>
      </vt:variant>
      <vt:variant>
        <vt:lpwstr>https://www.cmtedd.act.gov.au/__data/assets/pdf_file/0014/1330070/Salary-Packaging-Manual.pdf</vt:lpwstr>
      </vt:variant>
      <vt:variant>
        <vt:lpwstr/>
      </vt:variant>
      <vt:variant>
        <vt:i4>7995398</vt:i4>
      </vt:variant>
      <vt:variant>
        <vt:i4>315</vt:i4>
      </vt:variant>
      <vt:variant>
        <vt:i4>0</vt:i4>
      </vt:variant>
      <vt:variant>
        <vt:i4>5</vt:i4>
      </vt:variant>
      <vt:variant>
        <vt:lpwstr>https://www.cmtedd.act.gov.au/__data/assets/pdf_file/0011/2329481/Salary-Packaging-Policy-October-2023.pdf</vt:lpwstr>
      </vt:variant>
      <vt:variant>
        <vt:lpwstr/>
      </vt:variant>
      <vt:variant>
        <vt:i4>3</vt:i4>
      </vt:variant>
      <vt:variant>
        <vt:i4>312</vt:i4>
      </vt:variant>
      <vt:variant>
        <vt:i4>0</vt:i4>
      </vt:variant>
      <vt:variant>
        <vt:i4>5</vt:i4>
      </vt:variant>
      <vt:variant>
        <vt:lpwstr>http://www.remunerationtribunal.act.gov.au/determinations</vt:lpwstr>
      </vt:variant>
      <vt:variant>
        <vt:lpwstr/>
      </vt:variant>
      <vt:variant>
        <vt:i4>6357097</vt:i4>
      </vt:variant>
      <vt:variant>
        <vt:i4>309</vt:i4>
      </vt:variant>
      <vt:variant>
        <vt:i4>0</vt:i4>
      </vt:variant>
      <vt:variant>
        <vt:i4>5</vt:i4>
      </vt:variant>
      <vt:variant>
        <vt:lpwstr>https://www.act.gov.au/social-media</vt:lpwstr>
      </vt:variant>
      <vt:variant>
        <vt:lpwstr/>
      </vt:variant>
      <vt:variant>
        <vt:i4>5439519</vt:i4>
      </vt:variant>
      <vt:variant>
        <vt:i4>306</vt:i4>
      </vt:variant>
      <vt:variant>
        <vt:i4>0</vt:i4>
      </vt:variant>
      <vt:variant>
        <vt:i4>5</vt:i4>
      </vt:variant>
      <vt:variant>
        <vt:lpwstr>https://actss.service-now.com/sharedservices/?id=knwl_article&amp;sys_id=71be7e8b15758f80750353a7d14f1786</vt:lpwstr>
      </vt:variant>
      <vt:variant>
        <vt:lpwstr/>
      </vt:variant>
      <vt:variant>
        <vt:i4>5046351</vt:i4>
      </vt:variant>
      <vt:variant>
        <vt:i4>303</vt:i4>
      </vt:variant>
      <vt:variant>
        <vt:i4>0</vt:i4>
      </vt:variant>
      <vt:variant>
        <vt:i4>5</vt:i4>
      </vt:variant>
      <vt:variant>
        <vt:lpwstr>https://hr21/Interface/login.aspx</vt:lpwstr>
      </vt:variant>
      <vt:variant>
        <vt:lpwstr/>
      </vt:variant>
      <vt:variant>
        <vt:i4>6619197</vt:i4>
      </vt:variant>
      <vt:variant>
        <vt:i4>300</vt:i4>
      </vt:variant>
      <vt:variant>
        <vt:i4>0</vt:i4>
      </vt:variant>
      <vt:variant>
        <vt:i4>5</vt:i4>
      </vt:variant>
      <vt:variant>
        <vt:lpwstr>https://actgovernment.sharepoint.com/sites/extranet-ACTIA/SitePages/Risk-Management-Tools.aspx</vt:lpwstr>
      </vt:variant>
      <vt:variant>
        <vt:lpwstr/>
      </vt:variant>
      <vt:variant>
        <vt:i4>4390979</vt:i4>
      </vt:variant>
      <vt:variant>
        <vt:i4>297</vt:i4>
      </vt:variant>
      <vt:variant>
        <vt:i4>0</vt:i4>
      </vt:variant>
      <vt:variant>
        <vt:i4>5</vt:i4>
      </vt:variant>
      <vt:variant>
        <vt:lpwstr>https://www.cmtedd.act.gov.au/employment-framework/managers-And-supervisors/managers-toolkit</vt:lpwstr>
      </vt:variant>
      <vt:variant>
        <vt:lpwstr/>
      </vt:variant>
      <vt:variant>
        <vt:i4>6553706</vt:i4>
      </vt:variant>
      <vt:variant>
        <vt:i4>294</vt:i4>
      </vt:variant>
      <vt:variant>
        <vt:i4>0</vt:i4>
      </vt:variant>
      <vt:variant>
        <vt:i4>5</vt:i4>
      </vt:variant>
      <vt:variant>
        <vt:lpwstr>https://www.cmtedd.act.gov.au/employment-framework/home</vt:lpwstr>
      </vt:variant>
      <vt:variant>
        <vt:lpwstr/>
      </vt:variant>
      <vt:variant>
        <vt:i4>2687029</vt:i4>
      </vt:variant>
      <vt:variant>
        <vt:i4>291</vt:i4>
      </vt:variant>
      <vt:variant>
        <vt:i4>0</vt:i4>
      </vt:variant>
      <vt:variant>
        <vt:i4>5</vt:i4>
      </vt:variant>
      <vt:variant>
        <vt:lpwstr>https://www.cmtedd.act.gov.au/employment-framework/for-executives/actps-executive-induction</vt:lpwstr>
      </vt:variant>
      <vt:variant>
        <vt:lpwstr/>
      </vt:variant>
      <vt:variant>
        <vt:i4>6815851</vt:i4>
      </vt:variant>
      <vt:variant>
        <vt:i4>288</vt:i4>
      </vt:variant>
      <vt:variant>
        <vt:i4>0</vt:i4>
      </vt:variant>
      <vt:variant>
        <vt:i4>5</vt:i4>
      </vt:variant>
      <vt:variant>
        <vt:lpwstr>https://www.remunerationtribunal.act.gov.au/determinations</vt:lpwstr>
      </vt:variant>
      <vt:variant>
        <vt:lpwstr/>
      </vt:variant>
      <vt:variant>
        <vt:i4>1114174</vt:i4>
      </vt:variant>
      <vt:variant>
        <vt:i4>281</vt:i4>
      </vt:variant>
      <vt:variant>
        <vt:i4>0</vt:i4>
      </vt:variant>
      <vt:variant>
        <vt:i4>5</vt:i4>
      </vt:variant>
      <vt:variant>
        <vt:lpwstr/>
      </vt:variant>
      <vt:variant>
        <vt:lpwstr>_Toc229037639</vt:lpwstr>
      </vt:variant>
      <vt:variant>
        <vt:i4>1114174</vt:i4>
      </vt:variant>
      <vt:variant>
        <vt:i4>275</vt:i4>
      </vt:variant>
      <vt:variant>
        <vt:i4>0</vt:i4>
      </vt:variant>
      <vt:variant>
        <vt:i4>5</vt:i4>
      </vt:variant>
      <vt:variant>
        <vt:lpwstr/>
      </vt:variant>
      <vt:variant>
        <vt:lpwstr>_Toc229037638</vt:lpwstr>
      </vt:variant>
      <vt:variant>
        <vt:i4>1114174</vt:i4>
      </vt:variant>
      <vt:variant>
        <vt:i4>269</vt:i4>
      </vt:variant>
      <vt:variant>
        <vt:i4>0</vt:i4>
      </vt:variant>
      <vt:variant>
        <vt:i4>5</vt:i4>
      </vt:variant>
      <vt:variant>
        <vt:lpwstr/>
      </vt:variant>
      <vt:variant>
        <vt:lpwstr>_Toc229037637</vt:lpwstr>
      </vt:variant>
      <vt:variant>
        <vt:i4>1114174</vt:i4>
      </vt:variant>
      <vt:variant>
        <vt:i4>263</vt:i4>
      </vt:variant>
      <vt:variant>
        <vt:i4>0</vt:i4>
      </vt:variant>
      <vt:variant>
        <vt:i4>5</vt:i4>
      </vt:variant>
      <vt:variant>
        <vt:lpwstr/>
      </vt:variant>
      <vt:variant>
        <vt:lpwstr>_Toc229037636</vt:lpwstr>
      </vt:variant>
      <vt:variant>
        <vt:i4>1114174</vt:i4>
      </vt:variant>
      <vt:variant>
        <vt:i4>257</vt:i4>
      </vt:variant>
      <vt:variant>
        <vt:i4>0</vt:i4>
      </vt:variant>
      <vt:variant>
        <vt:i4>5</vt:i4>
      </vt:variant>
      <vt:variant>
        <vt:lpwstr/>
      </vt:variant>
      <vt:variant>
        <vt:lpwstr>_Toc229037635</vt:lpwstr>
      </vt:variant>
      <vt:variant>
        <vt:i4>1114174</vt:i4>
      </vt:variant>
      <vt:variant>
        <vt:i4>251</vt:i4>
      </vt:variant>
      <vt:variant>
        <vt:i4>0</vt:i4>
      </vt:variant>
      <vt:variant>
        <vt:i4>5</vt:i4>
      </vt:variant>
      <vt:variant>
        <vt:lpwstr/>
      </vt:variant>
      <vt:variant>
        <vt:lpwstr>_Toc229037634</vt:lpwstr>
      </vt:variant>
      <vt:variant>
        <vt:i4>1114174</vt:i4>
      </vt:variant>
      <vt:variant>
        <vt:i4>245</vt:i4>
      </vt:variant>
      <vt:variant>
        <vt:i4>0</vt:i4>
      </vt:variant>
      <vt:variant>
        <vt:i4>5</vt:i4>
      </vt:variant>
      <vt:variant>
        <vt:lpwstr/>
      </vt:variant>
      <vt:variant>
        <vt:lpwstr>_Toc229037633</vt:lpwstr>
      </vt:variant>
      <vt:variant>
        <vt:i4>1114174</vt:i4>
      </vt:variant>
      <vt:variant>
        <vt:i4>239</vt:i4>
      </vt:variant>
      <vt:variant>
        <vt:i4>0</vt:i4>
      </vt:variant>
      <vt:variant>
        <vt:i4>5</vt:i4>
      </vt:variant>
      <vt:variant>
        <vt:lpwstr/>
      </vt:variant>
      <vt:variant>
        <vt:lpwstr>_Toc229037632</vt:lpwstr>
      </vt:variant>
      <vt:variant>
        <vt:i4>1114174</vt:i4>
      </vt:variant>
      <vt:variant>
        <vt:i4>233</vt:i4>
      </vt:variant>
      <vt:variant>
        <vt:i4>0</vt:i4>
      </vt:variant>
      <vt:variant>
        <vt:i4>5</vt:i4>
      </vt:variant>
      <vt:variant>
        <vt:lpwstr/>
      </vt:variant>
      <vt:variant>
        <vt:lpwstr>_Toc229037631</vt:lpwstr>
      </vt:variant>
      <vt:variant>
        <vt:i4>1114174</vt:i4>
      </vt:variant>
      <vt:variant>
        <vt:i4>227</vt:i4>
      </vt:variant>
      <vt:variant>
        <vt:i4>0</vt:i4>
      </vt:variant>
      <vt:variant>
        <vt:i4>5</vt:i4>
      </vt:variant>
      <vt:variant>
        <vt:lpwstr/>
      </vt:variant>
      <vt:variant>
        <vt:lpwstr>_Toc229037630</vt:lpwstr>
      </vt:variant>
      <vt:variant>
        <vt:i4>1048638</vt:i4>
      </vt:variant>
      <vt:variant>
        <vt:i4>221</vt:i4>
      </vt:variant>
      <vt:variant>
        <vt:i4>0</vt:i4>
      </vt:variant>
      <vt:variant>
        <vt:i4>5</vt:i4>
      </vt:variant>
      <vt:variant>
        <vt:lpwstr/>
      </vt:variant>
      <vt:variant>
        <vt:lpwstr>_Toc229037629</vt:lpwstr>
      </vt:variant>
      <vt:variant>
        <vt:i4>1048638</vt:i4>
      </vt:variant>
      <vt:variant>
        <vt:i4>215</vt:i4>
      </vt:variant>
      <vt:variant>
        <vt:i4>0</vt:i4>
      </vt:variant>
      <vt:variant>
        <vt:i4>5</vt:i4>
      </vt:variant>
      <vt:variant>
        <vt:lpwstr/>
      </vt:variant>
      <vt:variant>
        <vt:lpwstr>_Toc229037628</vt:lpwstr>
      </vt:variant>
      <vt:variant>
        <vt:i4>1048638</vt:i4>
      </vt:variant>
      <vt:variant>
        <vt:i4>209</vt:i4>
      </vt:variant>
      <vt:variant>
        <vt:i4>0</vt:i4>
      </vt:variant>
      <vt:variant>
        <vt:i4>5</vt:i4>
      </vt:variant>
      <vt:variant>
        <vt:lpwstr/>
      </vt:variant>
      <vt:variant>
        <vt:lpwstr>_Toc229037627</vt:lpwstr>
      </vt:variant>
      <vt:variant>
        <vt:i4>1048638</vt:i4>
      </vt:variant>
      <vt:variant>
        <vt:i4>203</vt:i4>
      </vt:variant>
      <vt:variant>
        <vt:i4>0</vt:i4>
      </vt:variant>
      <vt:variant>
        <vt:i4>5</vt:i4>
      </vt:variant>
      <vt:variant>
        <vt:lpwstr/>
      </vt:variant>
      <vt:variant>
        <vt:lpwstr>_Toc229037626</vt:lpwstr>
      </vt:variant>
      <vt:variant>
        <vt:i4>1048638</vt:i4>
      </vt:variant>
      <vt:variant>
        <vt:i4>197</vt:i4>
      </vt:variant>
      <vt:variant>
        <vt:i4>0</vt:i4>
      </vt:variant>
      <vt:variant>
        <vt:i4>5</vt:i4>
      </vt:variant>
      <vt:variant>
        <vt:lpwstr/>
      </vt:variant>
      <vt:variant>
        <vt:lpwstr>_Toc229037625</vt:lpwstr>
      </vt:variant>
      <vt:variant>
        <vt:i4>1048638</vt:i4>
      </vt:variant>
      <vt:variant>
        <vt:i4>191</vt:i4>
      </vt:variant>
      <vt:variant>
        <vt:i4>0</vt:i4>
      </vt:variant>
      <vt:variant>
        <vt:i4>5</vt:i4>
      </vt:variant>
      <vt:variant>
        <vt:lpwstr/>
      </vt:variant>
      <vt:variant>
        <vt:lpwstr>_Toc229037624</vt:lpwstr>
      </vt:variant>
      <vt:variant>
        <vt:i4>1048638</vt:i4>
      </vt:variant>
      <vt:variant>
        <vt:i4>185</vt:i4>
      </vt:variant>
      <vt:variant>
        <vt:i4>0</vt:i4>
      </vt:variant>
      <vt:variant>
        <vt:i4>5</vt:i4>
      </vt:variant>
      <vt:variant>
        <vt:lpwstr/>
      </vt:variant>
      <vt:variant>
        <vt:lpwstr>_Toc229037623</vt:lpwstr>
      </vt:variant>
      <vt:variant>
        <vt:i4>1048638</vt:i4>
      </vt:variant>
      <vt:variant>
        <vt:i4>179</vt:i4>
      </vt:variant>
      <vt:variant>
        <vt:i4>0</vt:i4>
      </vt:variant>
      <vt:variant>
        <vt:i4>5</vt:i4>
      </vt:variant>
      <vt:variant>
        <vt:lpwstr/>
      </vt:variant>
      <vt:variant>
        <vt:lpwstr>_Toc229037622</vt:lpwstr>
      </vt:variant>
      <vt:variant>
        <vt:i4>1048638</vt:i4>
      </vt:variant>
      <vt:variant>
        <vt:i4>173</vt:i4>
      </vt:variant>
      <vt:variant>
        <vt:i4>0</vt:i4>
      </vt:variant>
      <vt:variant>
        <vt:i4>5</vt:i4>
      </vt:variant>
      <vt:variant>
        <vt:lpwstr/>
      </vt:variant>
      <vt:variant>
        <vt:lpwstr>_Toc229037621</vt:lpwstr>
      </vt:variant>
      <vt:variant>
        <vt:i4>1048638</vt:i4>
      </vt:variant>
      <vt:variant>
        <vt:i4>167</vt:i4>
      </vt:variant>
      <vt:variant>
        <vt:i4>0</vt:i4>
      </vt:variant>
      <vt:variant>
        <vt:i4>5</vt:i4>
      </vt:variant>
      <vt:variant>
        <vt:lpwstr/>
      </vt:variant>
      <vt:variant>
        <vt:lpwstr>_Toc229037620</vt:lpwstr>
      </vt:variant>
      <vt:variant>
        <vt:i4>1245246</vt:i4>
      </vt:variant>
      <vt:variant>
        <vt:i4>161</vt:i4>
      </vt:variant>
      <vt:variant>
        <vt:i4>0</vt:i4>
      </vt:variant>
      <vt:variant>
        <vt:i4>5</vt:i4>
      </vt:variant>
      <vt:variant>
        <vt:lpwstr/>
      </vt:variant>
      <vt:variant>
        <vt:lpwstr>_Toc229037619</vt:lpwstr>
      </vt:variant>
      <vt:variant>
        <vt:i4>1245246</vt:i4>
      </vt:variant>
      <vt:variant>
        <vt:i4>155</vt:i4>
      </vt:variant>
      <vt:variant>
        <vt:i4>0</vt:i4>
      </vt:variant>
      <vt:variant>
        <vt:i4>5</vt:i4>
      </vt:variant>
      <vt:variant>
        <vt:lpwstr/>
      </vt:variant>
      <vt:variant>
        <vt:lpwstr>_Toc229037618</vt:lpwstr>
      </vt:variant>
      <vt:variant>
        <vt:i4>1245246</vt:i4>
      </vt:variant>
      <vt:variant>
        <vt:i4>149</vt:i4>
      </vt:variant>
      <vt:variant>
        <vt:i4>0</vt:i4>
      </vt:variant>
      <vt:variant>
        <vt:i4>5</vt:i4>
      </vt:variant>
      <vt:variant>
        <vt:lpwstr/>
      </vt:variant>
      <vt:variant>
        <vt:lpwstr>_Toc229037617</vt:lpwstr>
      </vt:variant>
      <vt:variant>
        <vt:i4>1245246</vt:i4>
      </vt:variant>
      <vt:variant>
        <vt:i4>143</vt:i4>
      </vt:variant>
      <vt:variant>
        <vt:i4>0</vt:i4>
      </vt:variant>
      <vt:variant>
        <vt:i4>5</vt:i4>
      </vt:variant>
      <vt:variant>
        <vt:lpwstr/>
      </vt:variant>
      <vt:variant>
        <vt:lpwstr>_Toc229037616</vt:lpwstr>
      </vt:variant>
      <vt:variant>
        <vt:i4>1245246</vt:i4>
      </vt:variant>
      <vt:variant>
        <vt:i4>137</vt:i4>
      </vt:variant>
      <vt:variant>
        <vt:i4>0</vt:i4>
      </vt:variant>
      <vt:variant>
        <vt:i4>5</vt:i4>
      </vt:variant>
      <vt:variant>
        <vt:lpwstr/>
      </vt:variant>
      <vt:variant>
        <vt:lpwstr>_Toc229037615</vt:lpwstr>
      </vt:variant>
      <vt:variant>
        <vt:i4>1245246</vt:i4>
      </vt:variant>
      <vt:variant>
        <vt:i4>131</vt:i4>
      </vt:variant>
      <vt:variant>
        <vt:i4>0</vt:i4>
      </vt:variant>
      <vt:variant>
        <vt:i4>5</vt:i4>
      </vt:variant>
      <vt:variant>
        <vt:lpwstr/>
      </vt:variant>
      <vt:variant>
        <vt:lpwstr>_Toc229037614</vt:lpwstr>
      </vt:variant>
      <vt:variant>
        <vt:i4>1245246</vt:i4>
      </vt:variant>
      <vt:variant>
        <vt:i4>125</vt:i4>
      </vt:variant>
      <vt:variant>
        <vt:i4>0</vt:i4>
      </vt:variant>
      <vt:variant>
        <vt:i4>5</vt:i4>
      </vt:variant>
      <vt:variant>
        <vt:lpwstr/>
      </vt:variant>
      <vt:variant>
        <vt:lpwstr>_Toc229037613</vt:lpwstr>
      </vt:variant>
      <vt:variant>
        <vt:i4>1245246</vt:i4>
      </vt:variant>
      <vt:variant>
        <vt:i4>119</vt:i4>
      </vt:variant>
      <vt:variant>
        <vt:i4>0</vt:i4>
      </vt:variant>
      <vt:variant>
        <vt:i4>5</vt:i4>
      </vt:variant>
      <vt:variant>
        <vt:lpwstr/>
      </vt:variant>
      <vt:variant>
        <vt:lpwstr>_Toc229037612</vt:lpwstr>
      </vt:variant>
      <vt:variant>
        <vt:i4>1245246</vt:i4>
      </vt:variant>
      <vt:variant>
        <vt:i4>113</vt:i4>
      </vt:variant>
      <vt:variant>
        <vt:i4>0</vt:i4>
      </vt:variant>
      <vt:variant>
        <vt:i4>5</vt:i4>
      </vt:variant>
      <vt:variant>
        <vt:lpwstr/>
      </vt:variant>
      <vt:variant>
        <vt:lpwstr>_Toc229037611</vt:lpwstr>
      </vt:variant>
      <vt:variant>
        <vt:i4>1245246</vt:i4>
      </vt:variant>
      <vt:variant>
        <vt:i4>107</vt:i4>
      </vt:variant>
      <vt:variant>
        <vt:i4>0</vt:i4>
      </vt:variant>
      <vt:variant>
        <vt:i4>5</vt:i4>
      </vt:variant>
      <vt:variant>
        <vt:lpwstr/>
      </vt:variant>
      <vt:variant>
        <vt:lpwstr>_Toc229037610</vt:lpwstr>
      </vt:variant>
      <vt:variant>
        <vt:i4>1179710</vt:i4>
      </vt:variant>
      <vt:variant>
        <vt:i4>101</vt:i4>
      </vt:variant>
      <vt:variant>
        <vt:i4>0</vt:i4>
      </vt:variant>
      <vt:variant>
        <vt:i4>5</vt:i4>
      </vt:variant>
      <vt:variant>
        <vt:lpwstr/>
      </vt:variant>
      <vt:variant>
        <vt:lpwstr>_Toc229037609</vt:lpwstr>
      </vt:variant>
      <vt:variant>
        <vt:i4>1179710</vt:i4>
      </vt:variant>
      <vt:variant>
        <vt:i4>95</vt:i4>
      </vt:variant>
      <vt:variant>
        <vt:i4>0</vt:i4>
      </vt:variant>
      <vt:variant>
        <vt:i4>5</vt:i4>
      </vt:variant>
      <vt:variant>
        <vt:lpwstr/>
      </vt:variant>
      <vt:variant>
        <vt:lpwstr>_Toc229037608</vt:lpwstr>
      </vt:variant>
      <vt:variant>
        <vt:i4>1179710</vt:i4>
      </vt:variant>
      <vt:variant>
        <vt:i4>89</vt:i4>
      </vt:variant>
      <vt:variant>
        <vt:i4>0</vt:i4>
      </vt:variant>
      <vt:variant>
        <vt:i4>5</vt:i4>
      </vt:variant>
      <vt:variant>
        <vt:lpwstr/>
      </vt:variant>
      <vt:variant>
        <vt:lpwstr>_Toc229037607</vt:lpwstr>
      </vt:variant>
      <vt:variant>
        <vt:i4>1179710</vt:i4>
      </vt:variant>
      <vt:variant>
        <vt:i4>83</vt:i4>
      </vt:variant>
      <vt:variant>
        <vt:i4>0</vt:i4>
      </vt:variant>
      <vt:variant>
        <vt:i4>5</vt:i4>
      </vt:variant>
      <vt:variant>
        <vt:lpwstr/>
      </vt:variant>
      <vt:variant>
        <vt:lpwstr>_Toc229037606</vt:lpwstr>
      </vt:variant>
      <vt:variant>
        <vt:i4>1179710</vt:i4>
      </vt:variant>
      <vt:variant>
        <vt:i4>77</vt:i4>
      </vt:variant>
      <vt:variant>
        <vt:i4>0</vt:i4>
      </vt:variant>
      <vt:variant>
        <vt:i4>5</vt:i4>
      </vt:variant>
      <vt:variant>
        <vt:lpwstr/>
      </vt:variant>
      <vt:variant>
        <vt:lpwstr>_Toc229037605</vt:lpwstr>
      </vt:variant>
      <vt:variant>
        <vt:i4>1179710</vt:i4>
      </vt:variant>
      <vt:variant>
        <vt:i4>71</vt:i4>
      </vt:variant>
      <vt:variant>
        <vt:i4>0</vt:i4>
      </vt:variant>
      <vt:variant>
        <vt:i4>5</vt:i4>
      </vt:variant>
      <vt:variant>
        <vt:lpwstr/>
      </vt:variant>
      <vt:variant>
        <vt:lpwstr>_Toc229037604</vt:lpwstr>
      </vt:variant>
      <vt:variant>
        <vt:i4>1179710</vt:i4>
      </vt:variant>
      <vt:variant>
        <vt:i4>65</vt:i4>
      </vt:variant>
      <vt:variant>
        <vt:i4>0</vt:i4>
      </vt:variant>
      <vt:variant>
        <vt:i4>5</vt:i4>
      </vt:variant>
      <vt:variant>
        <vt:lpwstr/>
      </vt:variant>
      <vt:variant>
        <vt:lpwstr>_Toc229037603</vt:lpwstr>
      </vt:variant>
      <vt:variant>
        <vt:i4>1179710</vt:i4>
      </vt:variant>
      <vt:variant>
        <vt:i4>59</vt:i4>
      </vt:variant>
      <vt:variant>
        <vt:i4>0</vt:i4>
      </vt:variant>
      <vt:variant>
        <vt:i4>5</vt:i4>
      </vt:variant>
      <vt:variant>
        <vt:lpwstr/>
      </vt:variant>
      <vt:variant>
        <vt:lpwstr>_Toc229037602</vt:lpwstr>
      </vt:variant>
      <vt:variant>
        <vt:i4>1179710</vt:i4>
      </vt:variant>
      <vt:variant>
        <vt:i4>53</vt:i4>
      </vt:variant>
      <vt:variant>
        <vt:i4>0</vt:i4>
      </vt:variant>
      <vt:variant>
        <vt:i4>5</vt:i4>
      </vt:variant>
      <vt:variant>
        <vt:lpwstr/>
      </vt:variant>
      <vt:variant>
        <vt:lpwstr>_Toc229037601</vt:lpwstr>
      </vt:variant>
      <vt:variant>
        <vt:i4>1179710</vt:i4>
      </vt:variant>
      <vt:variant>
        <vt:i4>47</vt:i4>
      </vt:variant>
      <vt:variant>
        <vt:i4>0</vt:i4>
      </vt:variant>
      <vt:variant>
        <vt:i4>5</vt:i4>
      </vt:variant>
      <vt:variant>
        <vt:lpwstr/>
      </vt:variant>
      <vt:variant>
        <vt:lpwstr>_Toc229037600</vt:lpwstr>
      </vt:variant>
      <vt:variant>
        <vt:i4>1769533</vt:i4>
      </vt:variant>
      <vt:variant>
        <vt:i4>41</vt:i4>
      </vt:variant>
      <vt:variant>
        <vt:i4>0</vt:i4>
      </vt:variant>
      <vt:variant>
        <vt:i4>5</vt:i4>
      </vt:variant>
      <vt:variant>
        <vt:lpwstr/>
      </vt:variant>
      <vt:variant>
        <vt:lpwstr>_Toc229037599</vt:lpwstr>
      </vt:variant>
      <vt:variant>
        <vt:i4>1769533</vt:i4>
      </vt:variant>
      <vt:variant>
        <vt:i4>35</vt:i4>
      </vt:variant>
      <vt:variant>
        <vt:i4>0</vt:i4>
      </vt:variant>
      <vt:variant>
        <vt:i4>5</vt:i4>
      </vt:variant>
      <vt:variant>
        <vt:lpwstr/>
      </vt:variant>
      <vt:variant>
        <vt:lpwstr>_Toc229037598</vt:lpwstr>
      </vt:variant>
      <vt:variant>
        <vt:i4>1769533</vt:i4>
      </vt:variant>
      <vt:variant>
        <vt:i4>29</vt:i4>
      </vt:variant>
      <vt:variant>
        <vt:i4>0</vt:i4>
      </vt:variant>
      <vt:variant>
        <vt:i4>5</vt:i4>
      </vt:variant>
      <vt:variant>
        <vt:lpwstr/>
      </vt:variant>
      <vt:variant>
        <vt:lpwstr>_Toc229037597</vt:lpwstr>
      </vt:variant>
      <vt:variant>
        <vt:i4>1769533</vt:i4>
      </vt:variant>
      <vt:variant>
        <vt:i4>23</vt:i4>
      </vt:variant>
      <vt:variant>
        <vt:i4>0</vt:i4>
      </vt:variant>
      <vt:variant>
        <vt:i4>5</vt:i4>
      </vt:variant>
      <vt:variant>
        <vt:lpwstr/>
      </vt:variant>
      <vt:variant>
        <vt:lpwstr>_Toc229037596</vt:lpwstr>
      </vt:variant>
      <vt:variant>
        <vt:i4>1769533</vt:i4>
      </vt:variant>
      <vt:variant>
        <vt:i4>17</vt:i4>
      </vt:variant>
      <vt:variant>
        <vt:i4>0</vt:i4>
      </vt:variant>
      <vt:variant>
        <vt:i4>5</vt:i4>
      </vt:variant>
      <vt:variant>
        <vt:lpwstr/>
      </vt:variant>
      <vt:variant>
        <vt:lpwstr>_Toc229037595</vt:lpwstr>
      </vt:variant>
      <vt:variant>
        <vt:i4>1769533</vt:i4>
      </vt:variant>
      <vt:variant>
        <vt:i4>11</vt:i4>
      </vt:variant>
      <vt:variant>
        <vt:i4>0</vt:i4>
      </vt:variant>
      <vt:variant>
        <vt:i4>5</vt:i4>
      </vt:variant>
      <vt:variant>
        <vt:lpwstr/>
      </vt:variant>
      <vt:variant>
        <vt:lpwstr>_Toc229037594</vt:lpwstr>
      </vt:variant>
      <vt:variant>
        <vt:i4>1769533</vt:i4>
      </vt:variant>
      <vt:variant>
        <vt:i4>5</vt:i4>
      </vt:variant>
      <vt:variant>
        <vt:i4>0</vt:i4>
      </vt:variant>
      <vt:variant>
        <vt:i4>5</vt:i4>
      </vt:variant>
      <vt:variant>
        <vt:lpwstr/>
      </vt:variant>
      <vt:variant>
        <vt:lpwstr>_Toc229037593</vt:lpwstr>
      </vt:variant>
      <vt:variant>
        <vt:i4>983114</vt:i4>
      </vt:variant>
      <vt:variant>
        <vt:i4>0</vt:i4>
      </vt:variant>
      <vt:variant>
        <vt:i4>0</vt:i4>
      </vt:variant>
      <vt:variant>
        <vt:i4>5</vt:i4>
      </vt:variant>
      <vt:variant>
        <vt:lpwstr>http://www.accesshub.gov.au/</vt:lpwstr>
      </vt:variant>
      <vt:variant>
        <vt:lpwstr/>
      </vt:variant>
      <vt:variant>
        <vt:i4>6225957</vt:i4>
      </vt:variant>
      <vt:variant>
        <vt:i4>9</vt:i4>
      </vt:variant>
      <vt:variant>
        <vt:i4>0</vt:i4>
      </vt:variant>
      <vt:variant>
        <vt:i4>5</vt:i4>
      </vt:variant>
      <vt:variant>
        <vt:lpwstr>https://www.cmtedd.act.gov.au/__data/assets/pdf_file/0004/2287633/ACT-Public-Sector-Administrative-and-Related-Classifications-Enterprise-Agreement-2023-2026.pdf</vt:lpwstr>
      </vt:variant>
      <vt:variant>
        <vt:lpwstr/>
      </vt:variant>
      <vt:variant>
        <vt:i4>6225957</vt:i4>
      </vt:variant>
      <vt:variant>
        <vt:i4>6</vt:i4>
      </vt:variant>
      <vt:variant>
        <vt:i4>0</vt:i4>
      </vt:variant>
      <vt:variant>
        <vt:i4>5</vt:i4>
      </vt:variant>
      <vt:variant>
        <vt:lpwstr>https://www.cmtedd.act.gov.au/__data/assets/pdf_file/0004/2287633/ACT-Public-Sector-Administrative-and-Related-Classifications-Enterprise-Agreement-2023-2026.pdf</vt:lpwstr>
      </vt:variant>
      <vt:variant>
        <vt:lpwstr/>
      </vt:variant>
      <vt:variant>
        <vt:i4>3</vt:i4>
      </vt:variant>
      <vt:variant>
        <vt:i4>3</vt:i4>
      </vt:variant>
      <vt:variant>
        <vt:i4>0</vt:i4>
      </vt:variant>
      <vt:variant>
        <vt:i4>5</vt:i4>
      </vt:variant>
      <vt:variant>
        <vt:lpwstr>http://www.remunerationtribunal.act.gov.au/determinations</vt:lpwstr>
      </vt:variant>
      <vt:variant>
        <vt:lpwstr/>
      </vt:variant>
      <vt:variant>
        <vt:i4>8323196</vt:i4>
      </vt:variant>
      <vt:variant>
        <vt:i4>0</vt:i4>
      </vt:variant>
      <vt:variant>
        <vt:i4>0</vt:i4>
      </vt:variant>
      <vt:variant>
        <vt:i4>5</vt:i4>
      </vt:variant>
      <vt:variant>
        <vt:lpwstr>http://www.legislation.act.gov.au/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Nadudvary, Bryce</dc:creator>
  <cp:keywords/>
  <dc:description/>
  <cp:lastModifiedBy>Lee, Albert</cp:lastModifiedBy>
  <cp:revision>4</cp:revision>
  <cp:lastPrinted>2025-08-06T01:55:00Z</cp:lastPrinted>
  <dcterms:created xsi:type="dcterms:W3CDTF">2026-06-29T00:43:00Z</dcterms:created>
  <dcterms:modified xsi:type="dcterms:W3CDTF">2026-06-29T01:55:00Z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0x0101000F0040F9C457AA4C92A7FF06B51C8BE6</vt:lpwstr>
  </property>
</Properties>
</file>