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59593" w14:textId="77777777" w:rsidR="008139B4" w:rsidRPr="0063212C" w:rsidRDefault="008139B4" w:rsidP="008139B4">
      <w:pPr>
        <w:spacing w:before="200" w:line="240" w:lineRule="auto"/>
        <w:rPr>
          <w:rFonts w:asciiTheme="minorHAnsi" w:hAnsiTheme="minorHAnsi"/>
          <w:b/>
          <w:bCs/>
        </w:rPr>
      </w:pPr>
      <w:bookmarkStart w:id="0" w:name="_GoBack"/>
      <w:bookmarkEnd w:id="0"/>
      <w:r w:rsidRPr="0063212C">
        <w:rPr>
          <w:rFonts w:asciiTheme="minorHAnsi" w:hAnsiTheme="minorHAnsi"/>
          <w:b/>
          <w:bCs/>
        </w:rPr>
        <w:t>Directorate:</w:t>
      </w:r>
      <w:r w:rsidRPr="0063212C">
        <w:rPr>
          <w:rFonts w:asciiTheme="minorHAnsi" w:hAnsiTheme="minorHAnsi"/>
          <w:b/>
          <w:bCs/>
        </w:rPr>
        <w:tab/>
        <w:t xml:space="preserve">Health </w:t>
      </w:r>
    </w:p>
    <w:p w14:paraId="31E8247C" w14:textId="77777777" w:rsidR="008139B4" w:rsidRPr="0063212C" w:rsidRDefault="008139B4" w:rsidP="008139B4">
      <w:pPr>
        <w:spacing w:before="200" w:line="240" w:lineRule="auto"/>
        <w:rPr>
          <w:rFonts w:asciiTheme="minorHAnsi" w:hAnsiTheme="minorHAnsi"/>
          <w:b/>
          <w:bCs/>
        </w:rPr>
      </w:pPr>
      <w:r w:rsidRPr="0063212C">
        <w:rPr>
          <w:rFonts w:asciiTheme="minorHAnsi" w:hAnsiTheme="minorHAnsi"/>
          <w:b/>
          <w:bCs/>
        </w:rPr>
        <w:t xml:space="preserve">18/244 </w:t>
      </w:r>
      <w:r>
        <w:rPr>
          <w:rFonts w:asciiTheme="minorHAnsi" w:hAnsiTheme="minorHAnsi"/>
          <w:b/>
          <w:bCs/>
        </w:rPr>
        <w:t>-</w:t>
      </w:r>
      <w:r w:rsidRPr="0063212C">
        <w:rPr>
          <w:rFonts w:asciiTheme="minorHAnsi" w:hAnsiTheme="minorHAnsi"/>
          <w:b/>
          <w:bCs/>
        </w:rPr>
        <w:t xml:space="preserve"> Establishment of the Office for Mental Health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8"/>
      </w:tblGrid>
      <w:tr w:rsidR="008139B4" w:rsidRPr="00966EB9" w14:paraId="0C9B1D97" w14:textId="77777777" w:rsidTr="003B6A8A">
        <w:trPr>
          <w:jc w:val="center"/>
        </w:trPr>
        <w:tc>
          <w:tcPr>
            <w:tcW w:w="9105" w:type="dxa"/>
          </w:tcPr>
          <w:p w14:paraId="31CC7B18" w14:textId="77777777" w:rsidR="008139B4" w:rsidRPr="0063212C" w:rsidRDefault="008139B4" w:rsidP="003B6A8A">
            <w:pPr>
              <w:spacing w:before="60" w:after="60" w:line="240" w:lineRule="auto"/>
              <w:rPr>
                <w:rFonts w:asciiTheme="minorHAnsi" w:hAnsiTheme="minorHAnsi"/>
                <w:b/>
                <w:bCs/>
              </w:rPr>
            </w:pPr>
            <w:r w:rsidRPr="0063212C">
              <w:rPr>
                <w:rFonts w:asciiTheme="minorHAnsi" w:hAnsiTheme="minorHAnsi"/>
                <w:b/>
                <w:bCs/>
              </w:rPr>
              <w:t>Summary of Impacts</w:t>
            </w:r>
          </w:p>
        </w:tc>
      </w:tr>
      <w:tr w:rsidR="008139B4" w:rsidRPr="00966EB9" w14:paraId="6231E3F9" w14:textId="77777777" w:rsidTr="003B6A8A">
        <w:trPr>
          <w:jc w:val="center"/>
        </w:trPr>
        <w:tc>
          <w:tcPr>
            <w:tcW w:w="9105" w:type="dxa"/>
          </w:tcPr>
          <w:p w14:paraId="35CAE37A" w14:textId="77777777" w:rsidR="008139B4" w:rsidRPr="00966EB9" w:rsidRDefault="008139B4" w:rsidP="003B6A8A">
            <w:pPr>
              <w:numPr>
                <w:ilvl w:val="0"/>
                <w:numId w:val="2"/>
              </w:numPr>
              <w:spacing w:before="60" w:after="60" w:line="240" w:lineRule="auto"/>
              <w:ind w:left="360"/>
              <w:rPr>
                <w:rFonts w:asciiTheme="minorHAnsi" w:hAnsiTheme="minorHAnsi"/>
              </w:rPr>
            </w:pPr>
            <w:r w:rsidRPr="00966EB9">
              <w:rPr>
                <w:rFonts w:asciiTheme="minorHAnsi" w:hAnsiTheme="minorHAnsi"/>
              </w:rPr>
              <w:t>The Office for Mental Health (the Office) will have a number of positive social and economic effects.</w:t>
            </w:r>
          </w:p>
          <w:p w14:paraId="43858CF2" w14:textId="0C743D57" w:rsidR="008139B4" w:rsidRPr="000509B7" w:rsidRDefault="008139B4" w:rsidP="003B6A8A">
            <w:pPr>
              <w:numPr>
                <w:ilvl w:val="0"/>
                <w:numId w:val="2"/>
              </w:numPr>
              <w:spacing w:before="60" w:after="60" w:line="240" w:lineRule="auto"/>
              <w:ind w:left="360"/>
              <w:rPr>
                <w:rFonts w:asciiTheme="minorHAnsi" w:hAnsiTheme="minorHAnsi"/>
              </w:rPr>
            </w:pPr>
            <w:r w:rsidRPr="000509B7">
              <w:rPr>
                <w:rFonts w:asciiTheme="minorHAnsi" w:hAnsiTheme="minorHAnsi"/>
              </w:rPr>
              <w:t>The most significant impacts of the Office will be improving the mental health outcomes for the ACT community. This will be achieved by the improved coordination and integration of mental health services available across the entire continuum of mental health care.</w:t>
            </w:r>
          </w:p>
          <w:p w14:paraId="757D00A5" w14:textId="77777777" w:rsidR="008139B4" w:rsidRPr="000509B7" w:rsidRDefault="008139B4" w:rsidP="003B6A8A">
            <w:pPr>
              <w:numPr>
                <w:ilvl w:val="0"/>
                <w:numId w:val="2"/>
              </w:numPr>
              <w:spacing w:before="60" w:after="60" w:line="240" w:lineRule="auto"/>
              <w:ind w:left="360"/>
              <w:rPr>
                <w:rFonts w:asciiTheme="minorHAnsi" w:hAnsiTheme="minorHAnsi"/>
              </w:rPr>
            </w:pPr>
            <w:r w:rsidRPr="000509B7">
              <w:rPr>
                <w:rFonts w:asciiTheme="minorHAnsi" w:hAnsiTheme="minorHAnsi"/>
              </w:rPr>
              <w:t>Improving mental health outcomes will help to improve the physical health of people with co-morbidities. This can also help to reduce the utilisation of healthcare resources in the ACT.</w:t>
            </w:r>
          </w:p>
          <w:p w14:paraId="578EA6E3" w14:textId="77777777" w:rsidR="008139B4" w:rsidRPr="000509B7" w:rsidRDefault="008139B4" w:rsidP="003B6A8A">
            <w:pPr>
              <w:numPr>
                <w:ilvl w:val="0"/>
                <w:numId w:val="2"/>
              </w:numPr>
              <w:spacing w:before="60" w:after="60" w:line="240" w:lineRule="auto"/>
              <w:ind w:left="360"/>
              <w:rPr>
                <w:rFonts w:asciiTheme="minorHAnsi" w:hAnsiTheme="minorHAnsi"/>
              </w:rPr>
            </w:pPr>
            <w:r w:rsidRPr="000509B7">
              <w:rPr>
                <w:rFonts w:asciiTheme="minorHAnsi" w:hAnsiTheme="minorHAnsi"/>
              </w:rPr>
              <w:t>A focus of the Office, as detailed in this Submission, will be working across ACT Government to address the social and economic determinants that can influence a person’s mental health. These determinants include insecure housing, lack of employment or poor employment, experience with the judicial system and educational attainment.</w:t>
            </w:r>
          </w:p>
          <w:p w14:paraId="16A53081" w14:textId="6062C9B2" w:rsidR="008139B4" w:rsidRPr="000509B7" w:rsidRDefault="008139B4" w:rsidP="003B6A8A">
            <w:pPr>
              <w:numPr>
                <w:ilvl w:val="0"/>
                <w:numId w:val="2"/>
              </w:numPr>
              <w:spacing w:before="60" w:after="60" w:line="240" w:lineRule="auto"/>
              <w:ind w:left="360"/>
              <w:rPr>
                <w:rFonts w:asciiTheme="minorHAnsi" w:hAnsiTheme="minorHAnsi"/>
              </w:rPr>
            </w:pPr>
            <w:r w:rsidRPr="000509B7">
              <w:rPr>
                <w:rFonts w:asciiTheme="minorHAnsi" w:hAnsiTheme="minorHAnsi"/>
              </w:rPr>
              <w:t>Rates of mental illness are higher amongst Aboriginal and Torres Strait Islander peoples and in the LGBTIQ community. There are also gender differences in relation to how men and women experience mental illness and what support services they require. In the multicultural community, refugees and migrants have often experienced trauma</w:t>
            </w:r>
            <w:r w:rsidR="00452392">
              <w:rPr>
                <w:rFonts w:asciiTheme="minorHAnsi" w:hAnsiTheme="minorHAnsi"/>
              </w:rPr>
              <w:t>,</w:t>
            </w:r>
            <w:r w:rsidRPr="000509B7">
              <w:rPr>
                <w:rFonts w:asciiTheme="minorHAnsi" w:hAnsiTheme="minorHAnsi"/>
              </w:rPr>
              <w:t xml:space="preserve"> which can impact on mental health and some cultures do</w:t>
            </w:r>
            <w:r w:rsidR="00452392">
              <w:rPr>
                <w:rFonts w:asciiTheme="minorHAnsi" w:hAnsiTheme="minorHAnsi"/>
              </w:rPr>
              <w:t xml:space="preserve"> </w:t>
            </w:r>
            <w:r w:rsidRPr="000509B7">
              <w:rPr>
                <w:rFonts w:asciiTheme="minorHAnsi" w:hAnsiTheme="minorHAnsi"/>
              </w:rPr>
              <w:t>n</w:t>
            </w:r>
            <w:r w:rsidR="00452392">
              <w:rPr>
                <w:rFonts w:asciiTheme="minorHAnsi" w:hAnsiTheme="minorHAnsi"/>
              </w:rPr>
              <w:t>o</w:t>
            </w:r>
            <w:r w:rsidRPr="000509B7">
              <w:rPr>
                <w:rFonts w:asciiTheme="minorHAnsi" w:hAnsiTheme="minorHAnsi"/>
              </w:rPr>
              <w:t>t encourage help</w:t>
            </w:r>
            <w:r w:rsidR="00452392">
              <w:rPr>
                <w:rFonts w:asciiTheme="minorHAnsi" w:hAnsiTheme="minorHAnsi"/>
              </w:rPr>
              <w:t>-</w:t>
            </w:r>
            <w:r w:rsidRPr="000509B7">
              <w:rPr>
                <w:rFonts w:asciiTheme="minorHAnsi" w:hAnsiTheme="minorHAnsi"/>
              </w:rPr>
              <w:t>seeking behaviours.</w:t>
            </w:r>
          </w:p>
          <w:p w14:paraId="5A4276C4" w14:textId="77777777" w:rsidR="008139B4" w:rsidRPr="000509B7" w:rsidRDefault="008139B4" w:rsidP="003B6A8A">
            <w:pPr>
              <w:numPr>
                <w:ilvl w:val="0"/>
                <w:numId w:val="2"/>
              </w:numPr>
              <w:spacing w:before="60" w:after="60" w:line="240" w:lineRule="auto"/>
              <w:ind w:left="360"/>
              <w:rPr>
                <w:rFonts w:asciiTheme="minorHAnsi" w:hAnsiTheme="minorHAnsi"/>
              </w:rPr>
            </w:pPr>
            <w:r w:rsidRPr="000509B7">
              <w:rPr>
                <w:rFonts w:asciiTheme="minorHAnsi" w:hAnsiTheme="minorHAnsi"/>
              </w:rPr>
              <w:t>All of these social factors will need to be considered when establishing the Office to ensure services are appropriate for the different needs of people across the ACT community.</w:t>
            </w:r>
          </w:p>
          <w:p w14:paraId="42D315FE" w14:textId="77777777" w:rsidR="008139B4" w:rsidRPr="000509B7" w:rsidRDefault="008139B4" w:rsidP="003B6A8A">
            <w:pPr>
              <w:numPr>
                <w:ilvl w:val="0"/>
                <w:numId w:val="2"/>
              </w:numPr>
              <w:spacing w:before="60" w:after="60" w:line="240" w:lineRule="auto"/>
              <w:ind w:left="360"/>
              <w:rPr>
                <w:rFonts w:asciiTheme="minorHAnsi" w:hAnsiTheme="minorHAnsi"/>
              </w:rPr>
            </w:pPr>
            <w:r w:rsidRPr="000509B7">
              <w:rPr>
                <w:rFonts w:asciiTheme="minorHAnsi" w:hAnsiTheme="minorHAnsi"/>
              </w:rPr>
              <w:t>Additionally, working to address these determinants with relevant stakeholders of the Office will lead to economic benefits such as improving the education and employment outcomes of people with mental illness.</w:t>
            </w:r>
          </w:p>
          <w:p w14:paraId="36FF947B" w14:textId="77777777" w:rsidR="008139B4" w:rsidRPr="008232E2" w:rsidRDefault="008139B4" w:rsidP="003B6A8A">
            <w:pPr>
              <w:numPr>
                <w:ilvl w:val="0"/>
                <w:numId w:val="2"/>
              </w:numPr>
              <w:spacing w:before="60" w:after="60" w:line="240" w:lineRule="auto"/>
              <w:ind w:left="360"/>
              <w:rPr>
                <w:rFonts w:asciiTheme="minorHAnsi" w:hAnsiTheme="minorHAnsi"/>
              </w:rPr>
            </w:pPr>
            <w:r w:rsidRPr="008232E2">
              <w:rPr>
                <w:rFonts w:asciiTheme="minorHAnsi" w:hAnsiTheme="minorHAnsi"/>
              </w:rPr>
              <w:t>Environmental impacts of the Office have been considered and none have been identified.</w:t>
            </w:r>
          </w:p>
          <w:p w14:paraId="05EFF90C" w14:textId="77777777" w:rsidR="008139B4" w:rsidRPr="0063212C" w:rsidRDefault="008139B4" w:rsidP="003B6A8A">
            <w:pPr>
              <w:numPr>
                <w:ilvl w:val="0"/>
                <w:numId w:val="2"/>
              </w:numPr>
              <w:spacing w:before="60" w:after="60" w:line="240" w:lineRule="auto"/>
              <w:ind w:left="360"/>
              <w:rPr>
                <w:rFonts w:asciiTheme="minorHAnsi" w:hAnsiTheme="minorHAnsi"/>
              </w:rPr>
            </w:pPr>
            <w:r w:rsidRPr="00966EB9">
              <w:rPr>
                <w:rFonts w:asciiTheme="minorHAnsi" w:hAnsiTheme="minorHAnsi"/>
              </w:rPr>
              <w:t xml:space="preserve">Without concerted effort to address the ‘upstream’ determinants of mental health, the demand </w:t>
            </w:r>
            <w:r w:rsidRPr="000509B7">
              <w:rPr>
                <w:rFonts w:asciiTheme="minorHAnsi" w:hAnsiTheme="minorHAnsi"/>
              </w:rPr>
              <w:t>for, and cost of, acute mental health services will continue to grow.</w:t>
            </w:r>
          </w:p>
        </w:tc>
      </w:tr>
    </w:tbl>
    <w:p w14:paraId="2F03C484" w14:textId="77777777" w:rsidR="008139B4" w:rsidRPr="0063212C" w:rsidRDefault="008139B4" w:rsidP="008139B4">
      <w:pPr>
        <w:spacing w:before="120" w:after="120" w:line="240" w:lineRule="auto"/>
        <w:rPr>
          <w:rFonts w:asciiTheme="minorHAnsi" w:hAnsiTheme="minorHAnsi"/>
          <w:b/>
          <w:bCs/>
        </w:rPr>
      </w:pPr>
      <w:r w:rsidRPr="0063212C">
        <w:rPr>
          <w:rFonts w:asciiTheme="minorHAnsi" w:hAnsiTheme="minorHAnsi"/>
          <w:b/>
          <w:bCs/>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7535"/>
      </w:tblGrid>
      <w:tr w:rsidR="008139B4" w:rsidRPr="00966EB9" w14:paraId="6792EE64" w14:textId="77777777" w:rsidTr="003B6A8A">
        <w:trPr>
          <w:jc w:val="center"/>
        </w:trPr>
        <w:tc>
          <w:tcPr>
            <w:tcW w:w="1504" w:type="dxa"/>
            <w:shd w:val="clear" w:color="auto" w:fill="92D050"/>
          </w:tcPr>
          <w:p w14:paraId="3E96B580" w14:textId="77777777" w:rsidR="008139B4" w:rsidRPr="0063212C" w:rsidRDefault="008139B4" w:rsidP="003B6A8A">
            <w:pPr>
              <w:spacing w:before="60" w:after="60" w:line="240" w:lineRule="auto"/>
              <w:rPr>
                <w:rFonts w:asciiTheme="minorHAnsi" w:hAnsiTheme="minorHAnsi"/>
              </w:rPr>
            </w:pPr>
            <w:r w:rsidRPr="00966EB9">
              <w:rPr>
                <w:rFonts w:asciiTheme="minorHAnsi" w:hAnsiTheme="minorHAnsi"/>
                <w:b/>
                <w:bCs/>
              </w:rPr>
              <w:t>Health</w:t>
            </w:r>
          </w:p>
        </w:tc>
        <w:tc>
          <w:tcPr>
            <w:tcW w:w="7534" w:type="dxa"/>
          </w:tcPr>
          <w:p w14:paraId="36BDB629" w14:textId="77777777" w:rsidR="008139B4" w:rsidRPr="00966EB9" w:rsidRDefault="008139B4" w:rsidP="003B6A8A">
            <w:pPr>
              <w:numPr>
                <w:ilvl w:val="0"/>
                <w:numId w:val="2"/>
              </w:numPr>
              <w:spacing w:before="60" w:after="60" w:line="240" w:lineRule="auto"/>
              <w:ind w:left="360"/>
              <w:rPr>
                <w:rFonts w:asciiTheme="minorHAnsi" w:hAnsiTheme="minorHAnsi"/>
              </w:rPr>
            </w:pPr>
            <w:r w:rsidRPr="00966EB9">
              <w:rPr>
                <w:rFonts w:asciiTheme="minorHAnsi" w:hAnsiTheme="minorHAnsi"/>
              </w:rPr>
              <w:t>The Office will have significant impacts on the coordination of mental health services in the ACT. This will enable people to more readily access support across the entire continuum of mental health.</w:t>
            </w:r>
          </w:p>
          <w:p w14:paraId="27020163" w14:textId="77777777" w:rsidR="008139B4" w:rsidRPr="000509B7" w:rsidRDefault="008139B4" w:rsidP="003B6A8A">
            <w:pPr>
              <w:numPr>
                <w:ilvl w:val="0"/>
                <w:numId w:val="2"/>
              </w:numPr>
              <w:spacing w:before="60" w:after="60" w:line="240" w:lineRule="auto"/>
              <w:ind w:left="360"/>
              <w:rPr>
                <w:rFonts w:asciiTheme="minorHAnsi" w:hAnsiTheme="minorHAnsi"/>
              </w:rPr>
            </w:pPr>
            <w:r w:rsidRPr="000509B7">
              <w:rPr>
                <w:rFonts w:asciiTheme="minorHAnsi" w:hAnsiTheme="minorHAnsi"/>
              </w:rPr>
              <w:t>People with mental illnesses are more likely to have worse physical health than the general population. As a result, treating and reducing rates of mental illness and improving mental health outcomes can reduce the demand for mental and physical health services and acute care expenditure.</w:t>
            </w:r>
          </w:p>
          <w:p w14:paraId="12FBF92D" w14:textId="7550E6D5" w:rsidR="008139B4" w:rsidRPr="0063212C" w:rsidRDefault="008139B4"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These benefits of the Office will be increasingly important to reduce the overall patterns of growth in health expenditure, which have been experienced by the ACT and across the other </w:t>
            </w:r>
            <w:r w:rsidR="00452392" w:rsidRPr="000509B7">
              <w:rPr>
                <w:rFonts w:asciiTheme="minorHAnsi" w:hAnsiTheme="minorHAnsi"/>
              </w:rPr>
              <w:t>states and territories</w:t>
            </w:r>
            <w:r w:rsidRPr="000509B7">
              <w:rPr>
                <w:rFonts w:asciiTheme="minorHAnsi" w:hAnsiTheme="minorHAnsi"/>
              </w:rPr>
              <w:t>.</w:t>
            </w:r>
            <w:r w:rsidRPr="0063212C">
              <w:rPr>
                <w:rFonts w:asciiTheme="minorHAnsi" w:hAnsiTheme="minorHAnsi"/>
              </w:rPr>
              <w:t xml:space="preserve"> </w:t>
            </w:r>
          </w:p>
        </w:tc>
      </w:tr>
      <w:tr w:rsidR="008139B4" w:rsidRPr="00966EB9" w14:paraId="28A3DFC4" w14:textId="77777777" w:rsidTr="003B6A8A">
        <w:trPr>
          <w:jc w:val="center"/>
        </w:trPr>
        <w:tc>
          <w:tcPr>
            <w:tcW w:w="1526" w:type="dxa"/>
            <w:shd w:val="clear" w:color="auto" w:fill="92D050"/>
          </w:tcPr>
          <w:p w14:paraId="0AD05144" w14:textId="77777777" w:rsidR="008139B4" w:rsidRPr="0063212C" w:rsidRDefault="008139B4" w:rsidP="003B6A8A">
            <w:pPr>
              <w:spacing w:before="60" w:after="60" w:line="240" w:lineRule="auto"/>
              <w:rPr>
                <w:rFonts w:asciiTheme="minorHAnsi" w:hAnsiTheme="minorHAnsi"/>
              </w:rPr>
            </w:pPr>
            <w:r w:rsidRPr="00966EB9">
              <w:rPr>
                <w:rFonts w:asciiTheme="minorHAnsi" w:hAnsiTheme="minorHAnsi"/>
                <w:b/>
                <w:bCs/>
              </w:rPr>
              <w:t>Justice and rights</w:t>
            </w:r>
          </w:p>
        </w:tc>
        <w:tc>
          <w:tcPr>
            <w:tcW w:w="7716" w:type="dxa"/>
          </w:tcPr>
          <w:p w14:paraId="74CA567F" w14:textId="77777777" w:rsidR="008139B4" w:rsidRPr="0063212C" w:rsidRDefault="008139B4" w:rsidP="003B6A8A">
            <w:pPr>
              <w:numPr>
                <w:ilvl w:val="0"/>
                <w:numId w:val="2"/>
              </w:numPr>
              <w:spacing w:before="60" w:after="60" w:line="240" w:lineRule="auto"/>
              <w:ind w:left="360"/>
              <w:rPr>
                <w:rFonts w:asciiTheme="minorHAnsi" w:hAnsiTheme="minorHAnsi"/>
              </w:rPr>
            </w:pPr>
            <w:r w:rsidRPr="0063212C">
              <w:rPr>
                <w:rFonts w:asciiTheme="minorHAnsi" w:hAnsiTheme="minorHAnsi"/>
              </w:rPr>
              <w:t xml:space="preserve">The Office will have a number of positive impacts on social factors. This includes working towards addressing and improving the outcomes associated with the social and economic determinants that influence mental health. </w:t>
            </w:r>
          </w:p>
          <w:p w14:paraId="11653A34" w14:textId="77777777" w:rsidR="008139B4" w:rsidRPr="0063212C" w:rsidRDefault="008139B4" w:rsidP="003B6A8A">
            <w:pPr>
              <w:numPr>
                <w:ilvl w:val="0"/>
                <w:numId w:val="2"/>
              </w:numPr>
              <w:spacing w:before="60" w:after="60" w:line="240" w:lineRule="auto"/>
              <w:ind w:left="360"/>
              <w:rPr>
                <w:rFonts w:asciiTheme="minorHAnsi" w:hAnsiTheme="minorHAnsi"/>
              </w:rPr>
            </w:pPr>
            <w:r w:rsidRPr="0063212C">
              <w:rPr>
                <w:rFonts w:asciiTheme="minorHAnsi" w:hAnsiTheme="minorHAnsi"/>
              </w:rPr>
              <w:t>These determinants include appropriate housing, educational attainment, level of employment and previous experience with the criminal justice system.</w:t>
            </w:r>
          </w:p>
          <w:p w14:paraId="73769E4D" w14:textId="77777777" w:rsidR="008139B4" w:rsidRPr="0063212C" w:rsidRDefault="008139B4" w:rsidP="003B6A8A">
            <w:pPr>
              <w:numPr>
                <w:ilvl w:val="0"/>
                <w:numId w:val="2"/>
              </w:numPr>
              <w:spacing w:before="60" w:after="60" w:line="240" w:lineRule="auto"/>
              <w:ind w:left="360"/>
              <w:rPr>
                <w:rFonts w:asciiTheme="minorHAnsi" w:hAnsiTheme="minorHAnsi"/>
              </w:rPr>
            </w:pPr>
            <w:r w:rsidRPr="0063212C">
              <w:rPr>
                <w:rFonts w:asciiTheme="minorHAnsi" w:hAnsiTheme="minorHAnsi"/>
              </w:rPr>
              <w:t xml:space="preserve">The Office will work across the whole of the </w:t>
            </w:r>
            <w:r>
              <w:rPr>
                <w:rFonts w:asciiTheme="minorHAnsi" w:hAnsiTheme="minorHAnsi"/>
              </w:rPr>
              <w:t>ACT </w:t>
            </w:r>
            <w:r w:rsidRPr="0063212C">
              <w:rPr>
                <w:rFonts w:asciiTheme="minorHAnsi" w:hAnsiTheme="minorHAnsi"/>
              </w:rPr>
              <w:t>Government to drive action to address these determinants and to develop a coordinated approach to mental health policy across the Government.</w:t>
            </w:r>
          </w:p>
        </w:tc>
      </w:tr>
    </w:tbl>
    <w:p w14:paraId="31CC3C58" w14:textId="77777777" w:rsidR="008139B4" w:rsidRDefault="008139B4" w:rsidP="008139B4">
      <w:pPr>
        <w:spacing w:before="120" w:after="120" w:line="240" w:lineRule="auto"/>
        <w:rPr>
          <w:rFonts w:asciiTheme="minorHAnsi" w:hAnsiTheme="minorHAnsi"/>
          <w:b/>
          <w:bCs/>
        </w:rPr>
      </w:pPr>
    </w:p>
    <w:p w14:paraId="0333C328" w14:textId="77777777" w:rsidR="008139B4" w:rsidRDefault="008139B4" w:rsidP="008139B4">
      <w:pPr>
        <w:spacing w:before="120" w:after="120" w:line="240" w:lineRule="auto"/>
        <w:rPr>
          <w:rFonts w:asciiTheme="minorHAnsi" w:hAnsiTheme="minorHAnsi"/>
          <w:b/>
          <w:bCs/>
        </w:rPr>
      </w:pPr>
    </w:p>
    <w:p w14:paraId="73D27812" w14:textId="77777777" w:rsidR="008139B4" w:rsidRPr="00966EB9" w:rsidRDefault="008139B4" w:rsidP="008139B4">
      <w:pPr>
        <w:spacing w:before="120" w:after="120" w:line="240" w:lineRule="auto"/>
        <w:rPr>
          <w:rFonts w:asciiTheme="minorHAnsi" w:hAnsiTheme="minorHAnsi"/>
          <w:b/>
          <w:bCs/>
        </w:rPr>
      </w:pPr>
      <w:r w:rsidRPr="00966EB9">
        <w:rPr>
          <w:rFonts w:asciiTheme="minorHAnsi" w:hAnsiTheme="minorHAnsi"/>
          <w:b/>
          <w:bCs/>
        </w:rPr>
        <w:lastRenderedPageBreak/>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4F81BD"/>
          <w:insideV w:val="single" w:sz="4" w:space="0" w:color="auto"/>
        </w:tblBorders>
        <w:tblLook w:val="01E0" w:firstRow="1" w:lastRow="1" w:firstColumn="1" w:lastColumn="1" w:noHBand="0" w:noVBand="0"/>
      </w:tblPr>
      <w:tblGrid>
        <w:gridCol w:w="1518"/>
        <w:gridCol w:w="7497"/>
        <w:gridCol w:w="23"/>
      </w:tblGrid>
      <w:tr w:rsidR="008139B4" w:rsidRPr="00966EB9" w14:paraId="08521C23" w14:textId="77777777" w:rsidTr="003B6A8A">
        <w:trPr>
          <w:gridAfter w:val="1"/>
          <w:wAfter w:w="23" w:type="dxa"/>
          <w:jc w:val="center"/>
        </w:trPr>
        <w:tc>
          <w:tcPr>
            <w:tcW w:w="1519" w:type="dxa"/>
            <w:shd w:val="clear" w:color="auto" w:fill="92D050"/>
          </w:tcPr>
          <w:p w14:paraId="6C5540A0" w14:textId="77777777" w:rsidR="008139B4" w:rsidRPr="0063212C" w:rsidRDefault="008139B4" w:rsidP="003B6A8A">
            <w:pPr>
              <w:spacing w:before="60" w:after="60" w:line="240" w:lineRule="auto"/>
              <w:rPr>
                <w:rFonts w:asciiTheme="minorHAnsi" w:hAnsiTheme="minorHAnsi"/>
              </w:rPr>
            </w:pPr>
            <w:r w:rsidRPr="000509B7">
              <w:rPr>
                <w:rFonts w:asciiTheme="minorHAnsi" w:hAnsiTheme="minorHAnsi"/>
                <w:b/>
                <w:bCs/>
              </w:rPr>
              <w:t>ACT Government Budget</w:t>
            </w:r>
          </w:p>
        </w:tc>
        <w:tc>
          <w:tcPr>
            <w:tcW w:w="7519" w:type="dxa"/>
          </w:tcPr>
          <w:p w14:paraId="1D9D353C" w14:textId="77777777" w:rsidR="008139B4" w:rsidRPr="000509B7" w:rsidRDefault="008139B4" w:rsidP="003B6A8A">
            <w:pPr>
              <w:numPr>
                <w:ilvl w:val="0"/>
                <w:numId w:val="2"/>
              </w:numPr>
              <w:spacing w:before="60" w:after="60" w:line="240" w:lineRule="auto"/>
              <w:ind w:left="360"/>
              <w:rPr>
                <w:rFonts w:asciiTheme="minorHAnsi" w:hAnsiTheme="minorHAnsi"/>
              </w:rPr>
            </w:pPr>
            <w:r w:rsidRPr="00966EB9">
              <w:rPr>
                <w:rFonts w:asciiTheme="minorHAnsi" w:hAnsiTheme="minorHAnsi"/>
              </w:rPr>
              <w:t>The Office will have an important role in improving the coordination and integration of mental health services in the ACT. This will help to streamline the usage of health resources, i</w:t>
            </w:r>
            <w:r w:rsidRPr="000509B7">
              <w:rPr>
                <w:rFonts w:asciiTheme="minorHAnsi" w:hAnsiTheme="minorHAnsi"/>
              </w:rPr>
              <w:t xml:space="preserve">mprove their efficiency and reduce demand for services. </w:t>
            </w:r>
          </w:p>
          <w:p w14:paraId="3310030F" w14:textId="77777777" w:rsidR="008139B4" w:rsidRPr="000509B7" w:rsidRDefault="008139B4" w:rsidP="003B6A8A">
            <w:pPr>
              <w:numPr>
                <w:ilvl w:val="0"/>
                <w:numId w:val="2"/>
              </w:numPr>
              <w:spacing w:before="60" w:after="60" w:line="240" w:lineRule="auto"/>
              <w:ind w:left="360"/>
              <w:rPr>
                <w:rFonts w:asciiTheme="minorHAnsi" w:hAnsiTheme="minorHAnsi"/>
              </w:rPr>
            </w:pPr>
            <w:r w:rsidRPr="000509B7">
              <w:rPr>
                <w:rFonts w:asciiTheme="minorHAnsi" w:hAnsiTheme="minorHAnsi"/>
              </w:rPr>
              <w:t xml:space="preserve">Over time, the Office is expected to have positive impacts on the ACT Budget. </w:t>
            </w:r>
          </w:p>
        </w:tc>
      </w:tr>
      <w:tr w:rsidR="008139B4" w:rsidRPr="00966EB9" w14:paraId="034FB681" w14:textId="77777777" w:rsidTr="003B6A8A">
        <w:tblPrEx>
          <w:tblBorders>
            <w:insideH w:val="single" w:sz="4" w:space="0" w:color="auto"/>
          </w:tblBorders>
        </w:tblPrEx>
        <w:trPr>
          <w:jc w:val="center"/>
        </w:trPr>
        <w:tc>
          <w:tcPr>
            <w:tcW w:w="1519" w:type="dxa"/>
            <w:shd w:val="clear" w:color="auto" w:fill="00B0F0"/>
          </w:tcPr>
          <w:p w14:paraId="510E1B58" w14:textId="77777777" w:rsidR="008139B4" w:rsidRPr="000509B7" w:rsidRDefault="008139B4" w:rsidP="003B6A8A">
            <w:pPr>
              <w:spacing w:before="60" w:after="60" w:line="240" w:lineRule="auto"/>
              <w:rPr>
                <w:rFonts w:asciiTheme="minorHAnsi" w:hAnsiTheme="minorHAnsi"/>
                <w:b/>
                <w:bCs/>
              </w:rPr>
            </w:pPr>
            <w:r w:rsidRPr="000509B7">
              <w:rPr>
                <w:rFonts w:asciiTheme="minorHAnsi" w:hAnsiTheme="minorHAnsi"/>
                <w:b/>
                <w:bCs/>
              </w:rPr>
              <w:t>Productivity</w:t>
            </w:r>
          </w:p>
        </w:tc>
        <w:tc>
          <w:tcPr>
            <w:tcW w:w="7542" w:type="dxa"/>
            <w:gridSpan w:val="2"/>
          </w:tcPr>
          <w:p w14:paraId="253BD464" w14:textId="77777777" w:rsidR="008139B4" w:rsidRPr="0063212C" w:rsidRDefault="008139B4" w:rsidP="003B6A8A">
            <w:pPr>
              <w:numPr>
                <w:ilvl w:val="0"/>
                <w:numId w:val="2"/>
              </w:numPr>
              <w:spacing w:before="60" w:after="60" w:line="240" w:lineRule="auto"/>
              <w:ind w:left="360"/>
              <w:rPr>
                <w:rFonts w:asciiTheme="minorHAnsi" w:hAnsiTheme="minorHAnsi"/>
              </w:rPr>
            </w:pPr>
            <w:r w:rsidRPr="0063212C">
              <w:rPr>
                <w:rFonts w:asciiTheme="minorHAnsi" w:hAnsiTheme="minorHAnsi"/>
              </w:rPr>
              <w:t>Impacts on productivity have been considered and no impacts have been identified.</w:t>
            </w:r>
          </w:p>
        </w:tc>
      </w:tr>
      <w:tr w:rsidR="008139B4" w:rsidRPr="00966EB9" w14:paraId="7CBA0CEC" w14:textId="77777777" w:rsidTr="003B6A8A">
        <w:tblPrEx>
          <w:tblBorders>
            <w:insideH w:val="single" w:sz="4" w:space="0" w:color="auto"/>
          </w:tblBorders>
        </w:tblPrEx>
        <w:trPr>
          <w:jc w:val="center"/>
        </w:trPr>
        <w:tc>
          <w:tcPr>
            <w:tcW w:w="1519" w:type="dxa"/>
            <w:shd w:val="clear" w:color="auto" w:fill="00B0F0"/>
          </w:tcPr>
          <w:p w14:paraId="241932DB" w14:textId="77777777" w:rsidR="008139B4" w:rsidRPr="00966EB9" w:rsidRDefault="008139B4" w:rsidP="003B6A8A">
            <w:pPr>
              <w:spacing w:before="60" w:after="60" w:line="240" w:lineRule="auto"/>
              <w:rPr>
                <w:rFonts w:asciiTheme="minorHAnsi" w:hAnsiTheme="minorHAnsi"/>
                <w:b/>
                <w:bCs/>
              </w:rPr>
            </w:pPr>
            <w:r w:rsidRPr="00966EB9">
              <w:rPr>
                <w:rFonts w:asciiTheme="minorHAnsi" w:hAnsiTheme="minorHAnsi"/>
                <w:b/>
                <w:bCs/>
              </w:rPr>
              <w:t>Investment</w:t>
            </w:r>
          </w:p>
        </w:tc>
        <w:tc>
          <w:tcPr>
            <w:tcW w:w="7542" w:type="dxa"/>
            <w:gridSpan w:val="2"/>
          </w:tcPr>
          <w:p w14:paraId="75C0B3AE" w14:textId="77777777" w:rsidR="008139B4" w:rsidRPr="0063212C" w:rsidRDefault="008139B4" w:rsidP="003B6A8A">
            <w:pPr>
              <w:numPr>
                <w:ilvl w:val="0"/>
                <w:numId w:val="2"/>
              </w:numPr>
              <w:spacing w:before="60" w:after="60" w:line="240" w:lineRule="auto"/>
              <w:ind w:left="360"/>
              <w:rPr>
                <w:rFonts w:asciiTheme="minorHAnsi" w:hAnsiTheme="minorHAnsi"/>
              </w:rPr>
            </w:pPr>
            <w:r w:rsidRPr="0063212C">
              <w:rPr>
                <w:rFonts w:asciiTheme="minorHAnsi" w:hAnsiTheme="minorHAnsi"/>
              </w:rPr>
              <w:t>Impacts on investment have been considered and no impacts have been identified.</w:t>
            </w:r>
          </w:p>
        </w:tc>
      </w:tr>
      <w:tr w:rsidR="008139B4" w:rsidRPr="00966EB9" w14:paraId="047174F0" w14:textId="77777777" w:rsidTr="003B6A8A">
        <w:tblPrEx>
          <w:tblBorders>
            <w:insideH w:val="single" w:sz="4" w:space="0" w:color="auto"/>
          </w:tblBorders>
        </w:tblPrEx>
        <w:trPr>
          <w:jc w:val="center"/>
        </w:trPr>
        <w:tc>
          <w:tcPr>
            <w:tcW w:w="1519" w:type="dxa"/>
            <w:shd w:val="clear" w:color="auto" w:fill="00B0F0"/>
          </w:tcPr>
          <w:p w14:paraId="088EBD89" w14:textId="77777777" w:rsidR="008139B4" w:rsidRPr="0063212C" w:rsidRDefault="008139B4" w:rsidP="003B6A8A">
            <w:pPr>
              <w:spacing w:before="60" w:after="60" w:line="240" w:lineRule="auto"/>
              <w:rPr>
                <w:rFonts w:asciiTheme="minorHAnsi" w:hAnsiTheme="minorHAnsi"/>
              </w:rPr>
            </w:pPr>
            <w:r w:rsidRPr="00966EB9">
              <w:rPr>
                <w:rFonts w:asciiTheme="minorHAnsi" w:hAnsiTheme="minorHAnsi"/>
                <w:b/>
                <w:bCs/>
              </w:rPr>
              <w:t>Competition</w:t>
            </w:r>
          </w:p>
        </w:tc>
        <w:tc>
          <w:tcPr>
            <w:tcW w:w="7542" w:type="dxa"/>
            <w:gridSpan w:val="2"/>
          </w:tcPr>
          <w:p w14:paraId="6709F7B9" w14:textId="77777777" w:rsidR="008139B4" w:rsidRPr="0063212C" w:rsidRDefault="008139B4" w:rsidP="003B6A8A">
            <w:pPr>
              <w:numPr>
                <w:ilvl w:val="0"/>
                <w:numId w:val="2"/>
              </w:numPr>
              <w:spacing w:before="60" w:after="60" w:line="240" w:lineRule="auto"/>
              <w:ind w:left="360"/>
              <w:rPr>
                <w:rFonts w:asciiTheme="minorHAnsi" w:hAnsiTheme="minorHAnsi"/>
              </w:rPr>
            </w:pPr>
            <w:r w:rsidRPr="0063212C">
              <w:rPr>
                <w:rFonts w:asciiTheme="minorHAnsi" w:hAnsiTheme="minorHAnsi"/>
              </w:rPr>
              <w:t>Impacts on competition have been considered and no impacts have been identified.</w:t>
            </w:r>
          </w:p>
        </w:tc>
      </w:tr>
    </w:tbl>
    <w:p w14:paraId="0F9FD0EA" w14:textId="77777777" w:rsidR="008139B4" w:rsidRDefault="008139B4" w:rsidP="008139B4">
      <w:pPr>
        <w:spacing w:before="120" w:after="120" w:line="240" w:lineRule="auto"/>
        <w:rPr>
          <w:rFonts w:asciiTheme="minorHAnsi" w:hAnsiTheme="minorHAnsi"/>
          <w:b/>
          <w:bCs/>
        </w:rPr>
      </w:pPr>
      <w:r w:rsidRPr="00966EB9">
        <w:rPr>
          <w:rFonts w:asciiTheme="minorHAnsi" w:hAnsiTheme="minorHAnsi"/>
          <w:b/>
          <w:bCs/>
        </w:rPr>
        <w:t>Environmental</w:t>
      </w:r>
    </w:p>
    <w:p w14:paraId="5F05E365" w14:textId="4F5405B9" w:rsidR="000509B7" w:rsidRPr="008139B4" w:rsidRDefault="008139B4" w:rsidP="008139B4">
      <w:pPr>
        <w:spacing w:before="60" w:after="60" w:line="240" w:lineRule="auto"/>
        <w:rPr>
          <w:rFonts w:asciiTheme="minorHAnsi" w:hAnsiTheme="minorHAnsi"/>
        </w:rPr>
      </w:pPr>
      <w:r w:rsidRPr="00CC41FF">
        <w:rPr>
          <w:rFonts w:asciiTheme="minorHAnsi" w:hAnsiTheme="minorHAnsi"/>
        </w:rPr>
        <w:t>Nil impact</w:t>
      </w:r>
    </w:p>
    <w:sectPr w:rsidR="000509B7" w:rsidRPr="008139B4" w:rsidSect="00A80730">
      <w:footnotePr>
        <w:numRestart w:val="eachSect"/>
      </w:footnotePr>
      <w:type w:val="continuous"/>
      <w:pgSz w:w="11906" w:h="16838"/>
      <w:pgMar w:top="1242" w:right="1440" w:bottom="709" w:left="1418" w:header="567"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E170A3" w:rsidRDefault="00E170A3" w:rsidP="009041C7">
      <w:pPr>
        <w:spacing w:after="0" w:line="240" w:lineRule="auto"/>
      </w:pPr>
      <w:r>
        <w:separator/>
      </w:r>
    </w:p>
  </w:endnote>
  <w:endnote w:type="continuationSeparator" w:id="0">
    <w:p w14:paraId="559A4ACD" w14:textId="77777777" w:rsidR="00E170A3" w:rsidRDefault="00E170A3"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E170A3" w:rsidRDefault="00E170A3" w:rsidP="009041C7">
      <w:pPr>
        <w:spacing w:after="0" w:line="240" w:lineRule="auto"/>
      </w:pPr>
      <w:r>
        <w:separator/>
      </w:r>
    </w:p>
  </w:footnote>
  <w:footnote w:type="continuationSeparator" w:id="0">
    <w:p w14:paraId="4A30B665" w14:textId="77777777" w:rsidR="00E170A3" w:rsidRDefault="00E170A3" w:rsidP="0090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30"/>
    <w:multiLevelType w:val="hybridMultilevel"/>
    <w:tmpl w:val="93A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14CDA"/>
    <w:multiLevelType w:val="hybridMultilevel"/>
    <w:tmpl w:val="2F7E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6461B"/>
    <w:multiLevelType w:val="hybridMultilevel"/>
    <w:tmpl w:val="31DE6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3266E5"/>
    <w:multiLevelType w:val="hybridMultilevel"/>
    <w:tmpl w:val="7334FD3A"/>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7" w15:restartNumberingAfterBreak="0">
    <w:nsid w:val="676A0B89"/>
    <w:multiLevelType w:val="hybridMultilevel"/>
    <w:tmpl w:val="835865FE"/>
    <w:lvl w:ilvl="0" w:tplc="0C090001">
      <w:start w:val="1"/>
      <w:numFmt w:val="bullet"/>
      <w:lvlText w:val=""/>
      <w:lvlJc w:val="left"/>
      <w:pPr>
        <w:ind w:left="360" w:hanging="360"/>
      </w:pPr>
      <w:rPr>
        <w:rFonts w:ascii="Symbol" w:hAnsi="Symbol" w:hint="default"/>
      </w:rPr>
    </w:lvl>
    <w:lvl w:ilvl="1" w:tplc="E73802EA">
      <w:start w:val="1"/>
      <w:numFmt w:val="bullet"/>
      <w:lvlText w:val="-"/>
      <w:lvlJc w:val="left"/>
      <w:pPr>
        <w:ind w:left="1080" w:hanging="360"/>
      </w:pPr>
      <w:rPr>
        <w:rFonts w:ascii="Times New Roman" w:eastAsia="Times New Roman" w:hAnsi="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942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24B3B"/>
    <w:rsid w:val="00026DA2"/>
    <w:rsid w:val="000509B7"/>
    <w:rsid w:val="0006131B"/>
    <w:rsid w:val="00091628"/>
    <w:rsid w:val="000C2F9A"/>
    <w:rsid w:val="000C3FD2"/>
    <w:rsid w:val="000E6A5B"/>
    <w:rsid w:val="0012116E"/>
    <w:rsid w:val="001945FF"/>
    <w:rsid w:val="00282429"/>
    <w:rsid w:val="002B5F53"/>
    <w:rsid w:val="002C5063"/>
    <w:rsid w:val="002E146C"/>
    <w:rsid w:val="002F15D9"/>
    <w:rsid w:val="0038149F"/>
    <w:rsid w:val="00383CBB"/>
    <w:rsid w:val="0039154F"/>
    <w:rsid w:val="003D50B9"/>
    <w:rsid w:val="003E4F03"/>
    <w:rsid w:val="00425BD9"/>
    <w:rsid w:val="00426BD2"/>
    <w:rsid w:val="00433827"/>
    <w:rsid w:val="00446767"/>
    <w:rsid w:val="00452392"/>
    <w:rsid w:val="004557F1"/>
    <w:rsid w:val="00455889"/>
    <w:rsid w:val="0046471C"/>
    <w:rsid w:val="004D51BB"/>
    <w:rsid w:val="004E4513"/>
    <w:rsid w:val="004F72CA"/>
    <w:rsid w:val="005151F6"/>
    <w:rsid w:val="00534E14"/>
    <w:rsid w:val="0055530B"/>
    <w:rsid w:val="005613E4"/>
    <w:rsid w:val="00575F46"/>
    <w:rsid w:val="00580319"/>
    <w:rsid w:val="00580B7F"/>
    <w:rsid w:val="00584E17"/>
    <w:rsid w:val="005B1E0D"/>
    <w:rsid w:val="005C4A84"/>
    <w:rsid w:val="005F446E"/>
    <w:rsid w:val="006033C5"/>
    <w:rsid w:val="0063051E"/>
    <w:rsid w:val="0063212C"/>
    <w:rsid w:val="0065455C"/>
    <w:rsid w:val="00654652"/>
    <w:rsid w:val="00663B63"/>
    <w:rsid w:val="006657D8"/>
    <w:rsid w:val="006B7146"/>
    <w:rsid w:val="007104EA"/>
    <w:rsid w:val="007400D4"/>
    <w:rsid w:val="0074403C"/>
    <w:rsid w:val="00764D79"/>
    <w:rsid w:val="007B44D5"/>
    <w:rsid w:val="007C07EE"/>
    <w:rsid w:val="007E0AD7"/>
    <w:rsid w:val="008023D8"/>
    <w:rsid w:val="008139B4"/>
    <w:rsid w:val="008232E2"/>
    <w:rsid w:val="00850B04"/>
    <w:rsid w:val="008A50E6"/>
    <w:rsid w:val="008B2545"/>
    <w:rsid w:val="008B3320"/>
    <w:rsid w:val="008B6CEE"/>
    <w:rsid w:val="008C071B"/>
    <w:rsid w:val="008C4BC9"/>
    <w:rsid w:val="008D2C42"/>
    <w:rsid w:val="009041C7"/>
    <w:rsid w:val="00913FA9"/>
    <w:rsid w:val="0095779D"/>
    <w:rsid w:val="00961470"/>
    <w:rsid w:val="00966EB9"/>
    <w:rsid w:val="009A03A0"/>
    <w:rsid w:val="009A2EF2"/>
    <w:rsid w:val="009B0DDD"/>
    <w:rsid w:val="009B1C1D"/>
    <w:rsid w:val="009B4E96"/>
    <w:rsid w:val="009C24CB"/>
    <w:rsid w:val="00A41FC1"/>
    <w:rsid w:val="00A65C62"/>
    <w:rsid w:val="00A71DF3"/>
    <w:rsid w:val="00A80730"/>
    <w:rsid w:val="00AC35A2"/>
    <w:rsid w:val="00B00DC1"/>
    <w:rsid w:val="00B41519"/>
    <w:rsid w:val="00B52E5E"/>
    <w:rsid w:val="00B727F6"/>
    <w:rsid w:val="00B75835"/>
    <w:rsid w:val="00B86D1B"/>
    <w:rsid w:val="00B9178A"/>
    <w:rsid w:val="00BB641E"/>
    <w:rsid w:val="00BC4A9E"/>
    <w:rsid w:val="00BF2A09"/>
    <w:rsid w:val="00C17089"/>
    <w:rsid w:val="00C2489F"/>
    <w:rsid w:val="00C271AE"/>
    <w:rsid w:val="00C53382"/>
    <w:rsid w:val="00C912AA"/>
    <w:rsid w:val="00CA2605"/>
    <w:rsid w:val="00CC41FF"/>
    <w:rsid w:val="00CD08E7"/>
    <w:rsid w:val="00CE50C8"/>
    <w:rsid w:val="00CF5FA5"/>
    <w:rsid w:val="00CF6227"/>
    <w:rsid w:val="00D02042"/>
    <w:rsid w:val="00D115C3"/>
    <w:rsid w:val="00D34FF1"/>
    <w:rsid w:val="00D677A2"/>
    <w:rsid w:val="00D848AA"/>
    <w:rsid w:val="00DB5B40"/>
    <w:rsid w:val="00DB7E9C"/>
    <w:rsid w:val="00E170A3"/>
    <w:rsid w:val="00E252F0"/>
    <w:rsid w:val="00EB2853"/>
    <w:rsid w:val="00EB64A6"/>
    <w:rsid w:val="00EF7301"/>
    <w:rsid w:val="00F32B7B"/>
    <w:rsid w:val="00F548F5"/>
    <w:rsid w:val="00F64C12"/>
    <w:rsid w:val="00F65981"/>
    <w:rsid w:val="00F772BB"/>
    <w:rsid w:val="00FA3109"/>
    <w:rsid w:val="00FB1845"/>
    <w:rsid w:val="00FE4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paragraph" w:styleId="Heading2">
    <w:name w:val="heading 2"/>
    <w:basedOn w:val="Heading1"/>
    <w:next w:val="Normal"/>
    <w:link w:val="Heading2Char"/>
    <w:uiPriority w:val="99"/>
    <w:qFormat/>
    <w:rsid w:val="00CD08E7"/>
    <w:pPr>
      <w:spacing w:before="400" w:after="200"/>
      <w:jc w:val="both"/>
      <w:outlineLvl w:val="1"/>
    </w:pPr>
    <w:rPr>
      <w:rFonts w:ascii="Cambria" w:hAnsi="Cambria"/>
      <w:b/>
      <w:color w:val="4F81BD"/>
      <w:sz w:val="26"/>
      <w:szCs w:val="26"/>
    </w:rPr>
  </w:style>
  <w:style w:type="paragraph" w:styleId="Heading3">
    <w:name w:val="heading 3"/>
    <w:basedOn w:val="Normal"/>
    <w:next w:val="Normal"/>
    <w:link w:val="Heading3Char"/>
    <w:uiPriority w:val="9"/>
    <w:semiHidden/>
    <w:unhideWhenUsed/>
    <w:qFormat/>
    <w:rsid w:val="00C271AE"/>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 w:type="character" w:customStyle="1" w:styleId="Heading3Char">
    <w:name w:val="Heading 3 Char"/>
    <w:basedOn w:val="DefaultParagraphFont"/>
    <w:link w:val="Heading3"/>
    <w:uiPriority w:val="9"/>
    <w:semiHidden/>
    <w:rsid w:val="00C271AE"/>
    <w:rPr>
      <w:rFonts w:ascii="Calibri Light" w:eastAsia="Times New Roman" w:hAnsi="Calibri Light" w:cs="Times New Roman"/>
      <w:b/>
      <w:bCs/>
      <w:sz w:val="26"/>
      <w:szCs w:val="26"/>
      <w:lang w:eastAsia="en-AU"/>
    </w:rPr>
  </w:style>
  <w:style w:type="table" w:styleId="TableGrid">
    <w:name w:val="Table Grid"/>
    <w:basedOn w:val="TableNormal"/>
    <w:uiPriority w:val="59"/>
    <w:rsid w:val="0095779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65C62"/>
    <w:rPr>
      <w:sz w:val="20"/>
      <w:szCs w:val="20"/>
    </w:rPr>
  </w:style>
  <w:style w:type="character" w:customStyle="1" w:styleId="FootnoteTextChar">
    <w:name w:val="Footnote Text Char"/>
    <w:basedOn w:val="DefaultParagraphFont"/>
    <w:link w:val="FootnoteText"/>
    <w:semiHidden/>
    <w:rsid w:val="00A65C62"/>
    <w:rPr>
      <w:rFonts w:ascii="Arial" w:eastAsia="Times New Roman" w:hAnsi="Arial" w:cs="Arial"/>
      <w:sz w:val="20"/>
      <w:szCs w:val="20"/>
      <w:lang w:eastAsia="en-AU"/>
    </w:rPr>
  </w:style>
  <w:style w:type="character" w:styleId="FootnoteReference">
    <w:name w:val="footnote reference"/>
    <w:semiHidden/>
    <w:unhideWhenUsed/>
    <w:rsid w:val="00A65C62"/>
    <w:rPr>
      <w:vertAlign w:val="superscript"/>
    </w:rPr>
  </w:style>
  <w:style w:type="character" w:styleId="Hyperlink">
    <w:name w:val="Hyperlink"/>
    <w:uiPriority w:val="99"/>
    <w:unhideWhenUsed/>
    <w:rsid w:val="00A65C62"/>
    <w:rPr>
      <w:color w:val="0563C1"/>
      <w:u w:val="single"/>
    </w:rPr>
  </w:style>
  <w:style w:type="paragraph" w:styleId="Revision">
    <w:name w:val="Revision"/>
    <w:hidden/>
    <w:uiPriority w:val="99"/>
    <w:semiHidden/>
    <w:rsid w:val="003D50B9"/>
    <w:pPr>
      <w:spacing w:after="0" w:line="240" w:lineRule="auto"/>
    </w:pPr>
    <w:rPr>
      <w:rFonts w:ascii="Arial" w:eastAsia="Times New Roman" w:hAnsi="Arial" w:cs="Arial"/>
      <w:sz w:val="21"/>
      <w:szCs w:val="21"/>
      <w:lang w:eastAsia="en-AU"/>
    </w:rPr>
  </w:style>
  <w:style w:type="paragraph" w:customStyle="1" w:styleId="Text">
    <w:name w:val="Text"/>
    <w:basedOn w:val="Normal"/>
    <w:rsid w:val="00CD08E7"/>
    <w:pPr>
      <w:autoSpaceDE w:val="0"/>
      <w:autoSpaceDN w:val="0"/>
      <w:adjustRightInd w:val="0"/>
      <w:jc w:val="both"/>
    </w:pPr>
    <w:rPr>
      <w:rFonts w:ascii="Calibri" w:hAnsi="Calibri"/>
      <w:color w:val="000000"/>
      <w:sz w:val="22"/>
      <w:szCs w:val="22"/>
    </w:rPr>
  </w:style>
  <w:style w:type="character" w:customStyle="1" w:styleId="A3">
    <w:name w:val="A3"/>
    <w:uiPriority w:val="99"/>
    <w:rsid w:val="00CD08E7"/>
    <w:rPr>
      <w:color w:val="000000"/>
      <w:sz w:val="20"/>
      <w:szCs w:val="20"/>
    </w:rPr>
  </w:style>
  <w:style w:type="character" w:customStyle="1" w:styleId="Heading2Char">
    <w:name w:val="Heading 2 Char"/>
    <w:basedOn w:val="DefaultParagraphFont"/>
    <w:link w:val="Heading2"/>
    <w:uiPriority w:val="99"/>
    <w:rsid w:val="00CD08E7"/>
    <w:rPr>
      <w:rFonts w:ascii="Cambria" w:eastAsia="Constantia" w:hAnsi="Cambria" w:cs="Arial"/>
      <w:b/>
      <w:color w:val="4F81BD"/>
      <w:sz w:val="26"/>
      <w:szCs w:val="26"/>
      <w:lang w:eastAsia="en-AU"/>
    </w:rPr>
  </w:style>
  <w:style w:type="paragraph" w:styleId="PlainText">
    <w:name w:val="Plain Text"/>
    <w:basedOn w:val="Normal"/>
    <w:link w:val="PlainTextChar"/>
    <w:uiPriority w:val="99"/>
    <w:semiHidden/>
    <w:unhideWhenUsed/>
    <w:rsid w:val="00764D79"/>
    <w:pPr>
      <w:spacing w:after="0" w:line="240" w:lineRule="auto"/>
    </w:pPr>
    <w:rPr>
      <w:rFonts w:ascii="Calibri" w:eastAsiaTheme="minorHAnsi" w:hAnsi="Calibri" w:cstheme="minorBidi"/>
      <w:sz w:val="22"/>
      <w:lang w:eastAsia="en-US"/>
    </w:rPr>
  </w:style>
  <w:style w:type="character" w:customStyle="1" w:styleId="PlainTextChar">
    <w:name w:val="Plain Text Char"/>
    <w:basedOn w:val="DefaultParagraphFont"/>
    <w:link w:val="PlainText"/>
    <w:uiPriority w:val="99"/>
    <w:semiHidden/>
    <w:rsid w:val="00764D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40546">
      <w:bodyDiv w:val="1"/>
      <w:marLeft w:val="0"/>
      <w:marRight w:val="0"/>
      <w:marTop w:val="0"/>
      <w:marBottom w:val="0"/>
      <w:divBdr>
        <w:top w:val="none" w:sz="0" w:space="0" w:color="auto"/>
        <w:left w:val="none" w:sz="0" w:space="0" w:color="auto"/>
        <w:bottom w:val="none" w:sz="0" w:space="0" w:color="auto"/>
        <w:right w:val="none" w:sz="0" w:space="0" w:color="auto"/>
      </w:divBdr>
    </w:div>
    <w:div w:id="576328521">
      <w:bodyDiv w:val="1"/>
      <w:marLeft w:val="0"/>
      <w:marRight w:val="0"/>
      <w:marTop w:val="0"/>
      <w:marBottom w:val="0"/>
      <w:divBdr>
        <w:top w:val="none" w:sz="0" w:space="0" w:color="auto"/>
        <w:left w:val="none" w:sz="0" w:space="0" w:color="auto"/>
        <w:bottom w:val="none" w:sz="0" w:space="0" w:color="auto"/>
        <w:right w:val="none" w:sz="0" w:space="0" w:color="auto"/>
      </w:divBdr>
    </w:div>
    <w:div w:id="885143721">
      <w:bodyDiv w:val="1"/>
      <w:marLeft w:val="0"/>
      <w:marRight w:val="0"/>
      <w:marTop w:val="0"/>
      <w:marBottom w:val="0"/>
      <w:divBdr>
        <w:top w:val="none" w:sz="0" w:space="0" w:color="auto"/>
        <w:left w:val="none" w:sz="0" w:space="0" w:color="auto"/>
        <w:bottom w:val="none" w:sz="0" w:space="0" w:color="auto"/>
        <w:right w:val="none" w:sz="0" w:space="0" w:color="auto"/>
      </w:divBdr>
    </w:div>
    <w:div w:id="1040015721">
      <w:bodyDiv w:val="1"/>
      <w:marLeft w:val="0"/>
      <w:marRight w:val="0"/>
      <w:marTop w:val="0"/>
      <w:marBottom w:val="0"/>
      <w:divBdr>
        <w:top w:val="none" w:sz="0" w:space="0" w:color="auto"/>
        <w:left w:val="none" w:sz="0" w:space="0" w:color="auto"/>
        <w:bottom w:val="none" w:sz="0" w:space="0" w:color="auto"/>
        <w:right w:val="none" w:sz="0" w:space="0" w:color="auto"/>
      </w:divBdr>
    </w:div>
    <w:div w:id="1068454412">
      <w:bodyDiv w:val="1"/>
      <w:marLeft w:val="0"/>
      <w:marRight w:val="0"/>
      <w:marTop w:val="0"/>
      <w:marBottom w:val="0"/>
      <w:divBdr>
        <w:top w:val="none" w:sz="0" w:space="0" w:color="auto"/>
        <w:left w:val="none" w:sz="0" w:space="0" w:color="auto"/>
        <w:bottom w:val="none" w:sz="0" w:space="0" w:color="auto"/>
        <w:right w:val="none" w:sz="0" w:space="0" w:color="auto"/>
      </w:divBdr>
    </w:div>
    <w:div w:id="1089697168">
      <w:bodyDiv w:val="1"/>
      <w:marLeft w:val="0"/>
      <w:marRight w:val="0"/>
      <w:marTop w:val="0"/>
      <w:marBottom w:val="0"/>
      <w:divBdr>
        <w:top w:val="none" w:sz="0" w:space="0" w:color="auto"/>
        <w:left w:val="none" w:sz="0" w:space="0" w:color="auto"/>
        <w:bottom w:val="none" w:sz="0" w:space="0" w:color="auto"/>
        <w:right w:val="none" w:sz="0" w:space="0" w:color="auto"/>
      </w:divBdr>
    </w:div>
    <w:div w:id="1115640924">
      <w:bodyDiv w:val="1"/>
      <w:marLeft w:val="0"/>
      <w:marRight w:val="0"/>
      <w:marTop w:val="0"/>
      <w:marBottom w:val="0"/>
      <w:divBdr>
        <w:top w:val="none" w:sz="0" w:space="0" w:color="auto"/>
        <w:left w:val="none" w:sz="0" w:space="0" w:color="auto"/>
        <w:bottom w:val="none" w:sz="0" w:space="0" w:color="auto"/>
        <w:right w:val="none" w:sz="0" w:space="0" w:color="auto"/>
      </w:divBdr>
    </w:div>
    <w:div w:id="1182359416">
      <w:bodyDiv w:val="1"/>
      <w:marLeft w:val="0"/>
      <w:marRight w:val="0"/>
      <w:marTop w:val="0"/>
      <w:marBottom w:val="0"/>
      <w:divBdr>
        <w:top w:val="none" w:sz="0" w:space="0" w:color="auto"/>
        <w:left w:val="none" w:sz="0" w:space="0" w:color="auto"/>
        <w:bottom w:val="none" w:sz="0" w:space="0" w:color="auto"/>
        <w:right w:val="none" w:sz="0" w:space="0" w:color="auto"/>
      </w:divBdr>
    </w:div>
    <w:div w:id="1645966057">
      <w:bodyDiv w:val="1"/>
      <w:marLeft w:val="0"/>
      <w:marRight w:val="0"/>
      <w:marTop w:val="0"/>
      <w:marBottom w:val="0"/>
      <w:divBdr>
        <w:top w:val="none" w:sz="0" w:space="0" w:color="auto"/>
        <w:left w:val="none" w:sz="0" w:space="0" w:color="auto"/>
        <w:bottom w:val="none" w:sz="0" w:space="0" w:color="auto"/>
        <w:right w:val="none" w:sz="0" w:space="0" w:color="auto"/>
      </w:divBdr>
    </w:div>
    <w:div w:id="1853450014">
      <w:bodyDiv w:val="1"/>
      <w:marLeft w:val="0"/>
      <w:marRight w:val="0"/>
      <w:marTop w:val="0"/>
      <w:marBottom w:val="0"/>
      <w:divBdr>
        <w:top w:val="none" w:sz="0" w:space="0" w:color="auto"/>
        <w:left w:val="none" w:sz="0" w:space="0" w:color="auto"/>
        <w:bottom w:val="none" w:sz="0" w:space="0" w:color="auto"/>
        <w:right w:val="none" w:sz="0" w:space="0" w:color="auto"/>
      </w:divBdr>
    </w:div>
    <w:div w:id="19910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006AA-4844-4CB8-846D-A244C879B872}">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7B0FC72-8E39-4868-A57B-10FE1FF32B6E}">
  <ds:schemaRefs>
    <ds:schemaRef ds:uri="http://schemas.microsoft.com/sharepoint/v3/contenttype/forms"/>
  </ds:schemaRefs>
</ds:datastoreItem>
</file>

<file path=customXml/itemProps3.xml><?xml version="1.0" encoding="utf-8"?>
<ds:datastoreItem xmlns:ds="http://schemas.openxmlformats.org/officeDocument/2006/customXml" ds:itemID="{ABF62C3D-7DEB-4AB9-A597-C0F0EBC88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CD012B-4DB2-44EC-A206-DE9DA22C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18-244 Triple Bottom Line Assessment</vt:lpstr>
    </vt:vector>
  </TitlesOfParts>
  <Company>ACT Government</Company>
  <LinksUpToDate>false</LinksUpToDate>
  <CharactersWithSpaces>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18-244 Triple Bottom Line Assessment</dc:title>
  <dc:subject/>
  <dc:creator>ACT Government</dc:creator>
  <cp:keywords/>
  <dc:description/>
  <cp:lastModifiedBy>Maniacherry, Ponnu</cp:lastModifiedBy>
  <cp:revision>65</cp:revision>
  <cp:lastPrinted>2018-05-29T07:24:00Z</cp:lastPrinted>
  <dcterms:created xsi:type="dcterms:W3CDTF">2018-05-14T23:19:00Z</dcterms:created>
  <dcterms:modified xsi:type="dcterms:W3CDTF">2018-07-11T03:14:00Z</dcterms:modified>
</cp:coreProperties>
</file>