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8A" w:rsidRPr="00184260" w:rsidRDefault="00D2488A" w:rsidP="00D2488A">
      <w:pPr>
        <w:spacing w:after="0"/>
        <w:jc w:val="both"/>
        <w:rPr>
          <w:rFonts w:ascii="Calibri" w:hAnsi="Calibri"/>
          <w:b/>
          <w:bCs/>
        </w:rPr>
      </w:pPr>
      <w:r w:rsidRPr="00184260">
        <w:rPr>
          <w:rFonts w:ascii="Calibri" w:hAnsi="Calibri"/>
          <w:b/>
          <w:bCs/>
        </w:rPr>
        <w:t>18/112:  Government Response to Standing Committee on Planning and Urban Renewal Report No. 3 – DV344 Woden Town Centre</w:t>
      </w:r>
    </w:p>
    <w:p w:rsidR="00D2488A" w:rsidRPr="00184260" w:rsidRDefault="00D2488A" w:rsidP="00D2488A">
      <w:pPr>
        <w:spacing w:after="0"/>
        <w:rPr>
          <w:rFonts w:ascii="Calibri" w:hAnsi="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2488A" w:rsidRPr="00184260" w:rsidTr="00647CB8">
        <w:trPr>
          <w:jc w:val="center"/>
        </w:trPr>
        <w:tc>
          <w:tcPr>
            <w:tcW w:w="9105" w:type="dxa"/>
          </w:tcPr>
          <w:p w:rsidR="00D2488A" w:rsidRPr="00184260" w:rsidRDefault="00D2488A" w:rsidP="00647CB8">
            <w:pPr>
              <w:spacing w:after="0"/>
              <w:jc w:val="both"/>
              <w:rPr>
                <w:rFonts w:ascii="Calibri" w:hAnsi="Calibri"/>
                <w:b/>
                <w:bCs/>
              </w:rPr>
            </w:pPr>
            <w:r w:rsidRPr="00184260">
              <w:rPr>
                <w:rFonts w:ascii="Calibri" w:hAnsi="Calibri"/>
                <w:b/>
                <w:bCs/>
              </w:rPr>
              <w:t>Summary of Impacts</w:t>
            </w:r>
          </w:p>
        </w:tc>
      </w:tr>
      <w:tr w:rsidR="00D2488A" w:rsidRPr="00184260" w:rsidTr="00647CB8">
        <w:trPr>
          <w:jc w:val="center"/>
        </w:trPr>
        <w:tc>
          <w:tcPr>
            <w:tcW w:w="9105" w:type="dxa"/>
          </w:tcPr>
          <w:p w:rsidR="00D2488A" w:rsidRPr="00184260" w:rsidRDefault="00D2488A" w:rsidP="00647CB8">
            <w:pPr>
              <w:numPr>
                <w:ilvl w:val="0"/>
                <w:numId w:val="1"/>
              </w:numPr>
              <w:spacing w:before="120" w:after="0" w:line="240" w:lineRule="auto"/>
              <w:ind w:left="360"/>
              <w:rPr>
                <w:rFonts w:ascii="Calibri" w:hAnsi="Calibri" w:cs="Calibri"/>
              </w:rPr>
            </w:pPr>
            <w:r w:rsidRPr="00184260">
              <w:rPr>
                <w:rFonts w:ascii="Calibri" w:hAnsi="Calibri" w:cs="Calibri"/>
              </w:rPr>
              <w:t>The government response responds to the recommendations contained in the Standing Committee on Planning and Urban Renewal Report No. 3.</w:t>
            </w:r>
          </w:p>
          <w:p w:rsidR="00D2488A" w:rsidRPr="00184260" w:rsidRDefault="00D2488A" w:rsidP="00647CB8">
            <w:pPr>
              <w:numPr>
                <w:ilvl w:val="0"/>
                <w:numId w:val="1"/>
              </w:numPr>
              <w:spacing w:before="120" w:after="0" w:line="240" w:lineRule="auto"/>
              <w:ind w:left="360"/>
              <w:rPr>
                <w:rFonts w:ascii="Calibri" w:hAnsi="Calibri"/>
              </w:rPr>
            </w:pPr>
            <w:r w:rsidRPr="00184260">
              <w:rPr>
                <w:rFonts w:ascii="Calibri" w:hAnsi="Calibri"/>
              </w:rPr>
              <w:t>The proposal will largely result in positive social, economic and environmental outcomes.</w:t>
            </w:r>
          </w:p>
          <w:p w:rsidR="00D2488A" w:rsidRPr="00184260" w:rsidRDefault="00D2488A" w:rsidP="00647CB8">
            <w:pPr>
              <w:numPr>
                <w:ilvl w:val="0"/>
                <w:numId w:val="1"/>
              </w:numPr>
              <w:spacing w:before="120" w:after="0" w:line="240" w:lineRule="auto"/>
              <w:ind w:left="360"/>
              <w:rPr>
                <w:rFonts w:ascii="Calibri" w:hAnsi="Calibri"/>
              </w:rPr>
            </w:pPr>
            <w:r w:rsidRPr="00184260">
              <w:rPr>
                <w:rFonts w:ascii="Calibri" w:hAnsi="Calibri"/>
              </w:rPr>
              <w:t>There are no known implementation risks associated with this proposal.</w:t>
            </w:r>
          </w:p>
        </w:tc>
      </w:tr>
    </w:tbl>
    <w:p w:rsidR="00D2488A" w:rsidRPr="00184260" w:rsidRDefault="00D2488A" w:rsidP="00D2488A">
      <w:pPr>
        <w:spacing w:after="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 neutral and Green - positive.</w:t>
      </w:r>
    </w:p>
    <w:p w:rsidR="00D2488A" w:rsidRPr="00184260" w:rsidRDefault="00D2488A" w:rsidP="00D2488A">
      <w:pPr>
        <w:spacing w:before="120" w:after="0"/>
        <w:jc w:val="both"/>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7497"/>
      </w:tblGrid>
      <w:tr w:rsidR="00D2488A" w:rsidRPr="00184260" w:rsidTr="00647CB8">
        <w:trPr>
          <w:jc w:val="center"/>
        </w:trPr>
        <w:tc>
          <w:tcPr>
            <w:tcW w:w="1526" w:type="dxa"/>
            <w:shd w:val="clear" w:color="auto" w:fill="92D050"/>
          </w:tcPr>
          <w:p w:rsidR="00D2488A" w:rsidRPr="00184260" w:rsidRDefault="00D2488A" w:rsidP="00647CB8">
            <w:pPr>
              <w:spacing w:after="0"/>
              <w:rPr>
                <w:rFonts w:ascii="Calibri" w:hAnsi="Calibri" w:cs="Calibri"/>
                <w:b/>
              </w:rPr>
            </w:pPr>
            <w:r w:rsidRPr="00184260">
              <w:rPr>
                <w:rFonts w:ascii="Calibri" w:hAnsi="Calibri" w:cs="Calibri"/>
                <w:b/>
                <w:color w:val="000000"/>
                <w:lang w:val="en-NZ"/>
              </w:rPr>
              <w:t xml:space="preserve">Access to social networks &amp; community activities </w:t>
            </w:r>
          </w:p>
        </w:tc>
        <w:tc>
          <w:tcPr>
            <w:tcW w:w="7716" w:type="dxa"/>
          </w:tcPr>
          <w:p w:rsidR="00D2488A" w:rsidRPr="00184260" w:rsidRDefault="00D2488A" w:rsidP="00647CB8">
            <w:pPr>
              <w:numPr>
                <w:ilvl w:val="0"/>
                <w:numId w:val="1"/>
              </w:numPr>
              <w:spacing w:after="0" w:line="240" w:lineRule="auto"/>
              <w:ind w:left="360"/>
              <w:rPr>
                <w:rFonts w:ascii="Calibri" w:hAnsi="Calibri"/>
              </w:rPr>
            </w:pPr>
            <w:r w:rsidRPr="00184260">
              <w:rPr>
                <w:rFonts w:ascii="Calibri" w:hAnsi="Calibri"/>
              </w:rPr>
              <w:t>The responses address</w:t>
            </w:r>
            <w:r>
              <w:rPr>
                <w:rFonts w:ascii="Calibri" w:hAnsi="Calibri"/>
              </w:rPr>
              <w:t>ed</w:t>
            </w:r>
            <w:r w:rsidRPr="00184260">
              <w:rPr>
                <w:rFonts w:ascii="Calibri" w:hAnsi="Calibri"/>
              </w:rPr>
              <w:t xml:space="preserve"> the recommendations by the Standing Committee on Planning and Urban Renewal related to community activities within Woden town centre.</w:t>
            </w:r>
          </w:p>
          <w:p w:rsidR="00D2488A" w:rsidRPr="00184260" w:rsidRDefault="00D2488A" w:rsidP="00647CB8">
            <w:pPr>
              <w:numPr>
                <w:ilvl w:val="0"/>
                <w:numId w:val="1"/>
              </w:numPr>
              <w:spacing w:after="0" w:line="240" w:lineRule="auto"/>
              <w:ind w:left="360"/>
              <w:rPr>
                <w:rFonts w:ascii="Calibri" w:hAnsi="Calibri"/>
              </w:rPr>
            </w:pPr>
            <w:r w:rsidRPr="00184260">
              <w:rPr>
                <w:rFonts w:ascii="Calibri" w:hAnsi="Calibri"/>
              </w:rPr>
              <w:t>The responses support the draft variation, which includes provisions to improve community activity within the Woden town centre and proposals for improving the public realm which are intended to assist in enlivening the town centre.</w:t>
            </w:r>
          </w:p>
        </w:tc>
      </w:tr>
      <w:tr w:rsidR="00D2488A" w:rsidRPr="00184260" w:rsidTr="00647CB8">
        <w:trPr>
          <w:jc w:val="center"/>
        </w:trPr>
        <w:tc>
          <w:tcPr>
            <w:tcW w:w="1526" w:type="dxa"/>
            <w:shd w:val="clear" w:color="auto" w:fill="0070C0"/>
          </w:tcPr>
          <w:p w:rsidR="00D2488A" w:rsidRPr="00184260" w:rsidRDefault="00D2488A" w:rsidP="00647CB8">
            <w:pPr>
              <w:spacing w:after="0"/>
              <w:jc w:val="both"/>
              <w:rPr>
                <w:rFonts w:ascii="Calibri" w:hAnsi="Calibri"/>
              </w:rPr>
            </w:pPr>
            <w:r w:rsidRPr="00184260">
              <w:rPr>
                <w:rFonts w:ascii="Calibri" w:hAnsi="Calibri"/>
                <w:b/>
                <w:bCs/>
              </w:rPr>
              <w:t>Human rights</w:t>
            </w:r>
          </w:p>
        </w:tc>
        <w:tc>
          <w:tcPr>
            <w:tcW w:w="7716" w:type="dxa"/>
          </w:tcPr>
          <w:p w:rsidR="00D2488A" w:rsidRPr="00184260" w:rsidRDefault="00D2488A" w:rsidP="00647CB8">
            <w:pPr>
              <w:numPr>
                <w:ilvl w:val="0"/>
                <w:numId w:val="1"/>
              </w:numPr>
              <w:spacing w:after="0" w:line="240" w:lineRule="auto"/>
              <w:ind w:left="360"/>
              <w:rPr>
                <w:rFonts w:ascii="Calibri" w:hAnsi="Calibri" w:cs="Calibri"/>
              </w:rPr>
            </w:pPr>
            <w:r w:rsidRPr="00184260">
              <w:rPr>
                <w:rFonts w:ascii="Calibri" w:hAnsi="Calibri"/>
              </w:rPr>
              <w:t>There are no adverse impacts to human rights in addressing the recommendations to the Standing Committee on Planning and Urban Renewal.</w:t>
            </w:r>
          </w:p>
        </w:tc>
      </w:tr>
      <w:tr w:rsidR="00D2488A" w:rsidRPr="00184260" w:rsidTr="00647CB8">
        <w:trPr>
          <w:jc w:val="center"/>
        </w:trPr>
        <w:tc>
          <w:tcPr>
            <w:tcW w:w="1526" w:type="dxa"/>
            <w:shd w:val="clear" w:color="auto" w:fill="0070C0"/>
          </w:tcPr>
          <w:p w:rsidR="00D2488A" w:rsidRPr="00184260" w:rsidRDefault="00D2488A" w:rsidP="00647CB8">
            <w:pPr>
              <w:spacing w:after="0"/>
              <w:rPr>
                <w:rFonts w:ascii="Calibri" w:hAnsi="Calibri"/>
              </w:rPr>
            </w:pPr>
            <w:r w:rsidRPr="00184260">
              <w:rPr>
                <w:rFonts w:ascii="Calibri" w:hAnsi="Calibri"/>
                <w:b/>
                <w:bCs/>
              </w:rPr>
              <w:t xml:space="preserve">Indigenous and </w:t>
            </w:r>
            <w:r w:rsidRPr="00184260">
              <w:rPr>
                <w:rFonts w:ascii="Calibri" w:hAnsi="Calibri" w:cs="Calibri"/>
                <w:b/>
                <w:color w:val="000000"/>
                <w:lang w:val="en-NZ"/>
              </w:rPr>
              <w:t>Multicultural</w:t>
            </w:r>
          </w:p>
        </w:tc>
        <w:tc>
          <w:tcPr>
            <w:tcW w:w="7716" w:type="dxa"/>
          </w:tcPr>
          <w:p w:rsidR="00D2488A" w:rsidRPr="00184260" w:rsidRDefault="00D2488A" w:rsidP="00647CB8">
            <w:pPr>
              <w:numPr>
                <w:ilvl w:val="0"/>
                <w:numId w:val="1"/>
              </w:numPr>
              <w:spacing w:after="0" w:line="240" w:lineRule="auto"/>
              <w:ind w:left="360"/>
              <w:rPr>
                <w:rFonts w:ascii="Calibri" w:hAnsi="Calibri"/>
                <w:color w:val="000000"/>
              </w:rPr>
            </w:pPr>
            <w:r w:rsidRPr="00184260">
              <w:rPr>
                <w:rFonts w:ascii="Calibri" w:hAnsi="Calibri"/>
              </w:rPr>
              <w:t xml:space="preserve">The responses will not have an adverse impact on </w:t>
            </w:r>
            <w:r>
              <w:rPr>
                <w:rFonts w:ascii="Calibri" w:hAnsi="Calibri"/>
              </w:rPr>
              <w:t>Aboriginal and Torres Strait Island</w:t>
            </w:r>
            <w:r w:rsidRPr="00184260">
              <w:rPr>
                <w:rFonts w:ascii="Calibri" w:hAnsi="Calibri"/>
              </w:rPr>
              <w:t xml:space="preserve"> and multicultural issues.</w:t>
            </w:r>
          </w:p>
        </w:tc>
      </w:tr>
    </w:tbl>
    <w:p w:rsidR="00D2488A" w:rsidRPr="00184260" w:rsidRDefault="00D2488A" w:rsidP="00D2488A">
      <w:pPr>
        <w:spacing w:before="120" w:after="0"/>
        <w:jc w:val="both"/>
        <w:rPr>
          <w:rFonts w:ascii="Calibri" w:hAnsi="Calibri"/>
          <w:b/>
          <w:bCs/>
        </w:rPr>
      </w:pPr>
      <w:r w:rsidRPr="00184260">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498"/>
      </w:tblGrid>
      <w:tr w:rsidR="00D2488A" w:rsidRPr="00184260" w:rsidTr="00647CB8">
        <w:trPr>
          <w:jc w:val="center"/>
        </w:trPr>
        <w:tc>
          <w:tcPr>
            <w:tcW w:w="1526" w:type="dxa"/>
            <w:shd w:val="clear" w:color="auto" w:fill="92D050"/>
          </w:tcPr>
          <w:p w:rsidR="00D2488A" w:rsidRPr="00184260" w:rsidRDefault="00D2488A" w:rsidP="00647CB8">
            <w:pPr>
              <w:spacing w:after="0"/>
              <w:jc w:val="both"/>
              <w:rPr>
                <w:rFonts w:ascii="Calibri" w:hAnsi="Calibri"/>
              </w:rPr>
            </w:pPr>
            <w:r w:rsidRPr="00184260">
              <w:rPr>
                <w:rFonts w:ascii="Calibri" w:hAnsi="Calibri"/>
                <w:b/>
                <w:bCs/>
              </w:rPr>
              <w:t>ACT Government Budget</w:t>
            </w:r>
          </w:p>
        </w:tc>
        <w:tc>
          <w:tcPr>
            <w:tcW w:w="7716" w:type="dxa"/>
          </w:tcPr>
          <w:p w:rsidR="00D2488A" w:rsidRPr="00184260" w:rsidRDefault="00D2488A" w:rsidP="00647CB8">
            <w:pPr>
              <w:numPr>
                <w:ilvl w:val="0"/>
                <w:numId w:val="1"/>
              </w:numPr>
              <w:spacing w:after="0" w:line="240" w:lineRule="auto"/>
              <w:ind w:left="360"/>
              <w:rPr>
                <w:rFonts w:ascii="Calibri" w:hAnsi="Calibri"/>
                <w:bCs/>
                <w:color w:val="000000"/>
              </w:rPr>
            </w:pPr>
            <w:r w:rsidRPr="00184260">
              <w:rPr>
                <w:rFonts w:ascii="Calibri" w:hAnsi="Calibri"/>
              </w:rPr>
              <w:t>The responses support the draft variation, which provides clarity to developers and the community and increases potential development density on several unleased Territory land sites to support future land release</w:t>
            </w:r>
            <w:r w:rsidRPr="00184260">
              <w:rPr>
                <w:rFonts w:ascii="Calibri" w:hAnsi="Calibri"/>
                <w:bCs/>
                <w:color w:val="000000"/>
              </w:rPr>
              <w:t>.</w:t>
            </w:r>
          </w:p>
        </w:tc>
      </w:tr>
      <w:tr w:rsidR="00D2488A" w:rsidRPr="00184260" w:rsidTr="00647CB8">
        <w:trPr>
          <w:jc w:val="center"/>
        </w:trPr>
        <w:tc>
          <w:tcPr>
            <w:tcW w:w="1526" w:type="dxa"/>
            <w:shd w:val="clear" w:color="auto" w:fill="0070C0"/>
          </w:tcPr>
          <w:p w:rsidR="00D2488A" w:rsidRPr="00184260" w:rsidRDefault="00D2488A" w:rsidP="00647CB8">
            <w:pPr>
              <w:spacing w:after="0"/>
              <w:jc w:val="both"/>
              <w:rPr>
                <w:rFonts w:ascii="Calibri" w:hAnsi="Calibri"/>
              </w:rPr>
            </w:pPr>
            <w:r w:rsidRPr="00184260">
              <w:rPr>
                <w:rFonts w:ascii="Calibri" w:hAnsi="Calibri"/>
                <w:b/>
                <w:bCs/>
              </w:rPr>
              <w:t>Productivity and innovation</w:t>
            </w:r>
          </w:p>
        </w:tc>
        <w:tc>
          <w:tcPr>
            <w:tcW w:w="7716" w:type="dxa"/>
          </w:tcPr>
          <w:p w:rsidR="00D2488A" w:rsidRPr="00184260" w:rsidRDefault="00D2488A" w:rsidP="00647CB8">
            <w:pPr>
              <w:numPr>
                <w:ilvl w:val="0"/>
                <w:numId w:val="1"/>
              </w:numPr>
              <w:spacing w:after="0" w:line="240" w:lineRule="auto"/>
              <w:ind w:left="360"/>
              <w:rPr>
                <w:rFonts w:ascii="Calibri" w:hAnsi="Calibri"/>
              </w:rPr>
            </w:pPr>
            <w:r w:rsidRPr="00184260">
              <w:rPr>
                <w:rFonts w:ascii="Calibri" w:hAnsi="Calibri"/>
              </w:rPr>
              <w:t>The responses will not have an adverse impact on productivity and innovation.</w:t>
            </w:r>
          </w:p>
        </w:tc>
      </w:tr>
      <w:tr w:rsidR="00D2488A" w:rsidRPr="00184260" w:rsidTr="00647CB8">
        <w:trPr>
          <w:jc w:val="center"/>
        </w:trPr>
        <w:tc>
          <w:tcPr>
            <w:tcW w:w="1526" w:type="dxa"/>
            <w:shd w:val="clear" w:color="auto" w:fill="92D050"/>
          </w:tcPr>
          <w:p w:rsidR="00D2488A" w:rsidRPr="00184260" w:rsidRDefault="00D2488A" w:rsidP="00647CB8">
            <w:pPr>
              <w:spacing w:after="0"/>
              <w:jc w:val="both"/>
              <w:rPr>
                <w:rFonts w:ascii="Calibri" w:hAnsi="Calibri"/>
              </w:rPr>
            </w:pPr>
            <w:r w:rsidRPr="00184260">
              <w:rPr>
                <w:rFonts w:ascii="Calibri" w:hAnsi="Calibri"/>
                <w:b/>
                <w:bCs/>
              </w:rPr>
              <w:t>Investment and Economic Impacts</w:t>
            </w:r>
          </w:p>
        </w:tc>
        <w:tc>
          <w:tcPr>
            <w:tcW w:w="7716" w:type="dxa"/>
          </w:tcPr>
          <w:p w:rsidR="00D2488A" w:rsidRPr="00184260" w:rsidRDefault="00D2488A" w:rsidP="00647CB8">
            <w:pPr>
              <w:numPr>
                <w:ilvl w:val="0"/>
                <w:numId w:val="1"/>
              </w:numPr>
              <w:spacing w:after="0" w:line="240" w:lineRule="auto"/>
              <w:ind w:left="360"/>
              <w:rPr>
                <w:rFonts w:ascii="Calibri" w:hAnsi="Calibri"/>
              </w:rPr>
            </w:pPr>
            <w:r w:rsidRPr="00184260">
              <w:rPr>
                <w:rFonts w:ascii="Calibri" w:hAnsi="Calibri"/>
              </w:rPr>
              <w:t>The responses support DV344, which when approved will provide clarity for developers and the community on the planning policies that will apply to the Woden town centre.</w:t>
            </w:r>
          </w:p>
        </w:tc>
      </w:tr>
    </w:tbl>
    <w:p w:rsidR="00D2488A" w:rsidRPr="00184260" w:rsidRDefault="00D2488A" w:rsidP="00D2488A">
      <w:pPr>
        <w:spacing w:before="120" w:after="0"/>
        <w:jc w:val="both"/>
        <w:rPr>
          <w:rFonts w:ascii="Calibri" w:hAnsi="Calibri"/>
          <w:b/>
          <w:bCs/>
        </w:rPr>
      </w:pPr>
      <w:r w:rsidRPr="00184260">
        <w:rPr>
          <w:rFonts w:ascii="Calibri" w:hAnsi="Calibri"/>
          <w:b/>
          <w:bCs/>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491"/>
      </w:tblGrid>
      <w:tr w:rsidR="00D2488A" w:rsidRPr="00184260" w:rsidTr="00647CB8">
        <w:trPr>
          <w:jc w:val="center"/>
        </w:trPr>
        <w:tc>
          <w:tcPr>
            <w:tcW w:w="1526" w:type="dxa"/>
            <w:shd w:val="clear" w:color="auto" w:fill="0070C0"/>
          </w:tcPr>
          <w:p w:rsidR="00D2488A" w:rsidRPr="00184260" w:rsidRDefault="00D2488A" w:rsidP="00647CB8">
            <w:pPr>
              <w:spacing w:after="0"/>
              <w:jc w:val="both"/>
              <w:rPr>
                <w:rFonts w:ascii="Calibri" w:hAnsi="Calibri"/>
              </w:rPr>
            </w:pPr>
            <w:r w:rsidRPr="00184260">
              <w:rPr>
                <w:rFonts w:ascii="Calibri" w:hAnsi="Calibri"/>
                <w:b/>
                <w:bCs/>
              </w:rPr>
              <w:t>Biodiversity</w:t>
            </w:r>
          </w:p>
        </w:tc>
        <w:tc>
          <w:tcPr>
            <w:tcW w:w="7716" w:type="dxa"/>
          </w:tcPr>
          <w:p w:rsidR="00D2488A" w:rsidRPr="00184260" w:rsidRDefault="00D2488A" w:rsidP="00647CB8">
            <w:pPr>
              <w:numPr>
                <w:ilvl w:val="0"/>
                <w:numId w:val="1"/>
              </w:numPr>
              <w:spacing w:after="0" w:line="240" w:lineRule="auto"/>
              <w:ind w:left="360"/>
              <w:rPr>
                <w:rFonts w:ascii="Calibri" w:hAnsi="Calibri"/>
                <w:color w:val="000000"/>
              </w:rPr>
            </w:pPr>
            <w:r w:rsidRPr="00184260">
              <w:rPr>
                <w:rFonts w:ascii="Calibri" w:hAnsi="Calibri"/>
              </w:rPr>
              <w:t xml:space="preserve">The responses relate to planning provisions within the Woden town centre, a developed urban centre. The responses will not have an adverse impact on biodiversity within </w:t>
            </w:r>
            <w:r>
              <w:rPr>
                <w:rFonts w:ascii="Calibri" w:hAnsi="Calibri"/>
              </w:rPr>
              <w:t xml:space="preserve">the </w:t>
            </w:r>
            <w:r w:rsidRPr="00184260">
              <w:rPr>
                <w:rFonts w:ascii="Calibri" w:hAnsi="Calibri"/>
              </w:rPr>
              <w:t>Woden town centre.</w:t>
            </w:r>
          </w:p>
        </w:tc>
      </w:tr>
      <w:tr w:rsidR="00D2488A" w:rsidRPr="00184260" w:rsidTr="00647CB8">
        <w:trPr>
          <w:jc w:val="center"/>
        </w:trPr>
        <w:tc>
          <w:tcPr>
            <w:tcW w:w="1526" w:type="dxa"/>
            <w:shd w:val="clear" w:color="auto" w:fill="0070C0"/>
          </w:tcPr>
          <w:p w:rsidR="00D2488A" w:rsidRPr="00184260" w:rsidRDefault="00D2488A" w:rsidP="00647CB8">
            <w:pPr>
              <w:spacing w:after="0"/>
              <w:jc w:val="both"/>
              <w:rPr>
                <w:rFonts w:ascii="Calibri" w:hAnsi="Calibri"/>
              </w:rPr>
            </w:pPr>
            <w:r w:rsidRPr="00184260">
              <w:rPr>
                <w:rFonts w:ascii="Calibri" w:hAnsi="Calibri"/>
                <w:b/>
                <w:bCs/>
              </w:rPr>
              <w:t>Heritage</w:t>
            </w:r>
          </w:p>
        </w:tc>
        <w:tc>
          <w:tcPr>
            <w:tcW w:w="7716" w:type="dxa"/>
          </w:tcPr>
          <w:p w:rsidR="00D2488A" w:rsidRPr="00184260" w:rsidRDefault="00D2488A" w:rsidP="00647CB8">
            <w:pPr>
              <w:numPr>
                <w:ilvl w:val="0"/>
                <w:numId w:val="1"/>
              </w:numPr>
              <w:spacing w:after="0" w:line="240" w:lineRule="auto"/>
              <w:ind w:left="360"/>
              <w:rPr>
                <w:rFonts w:ascii="Calibri" w:hAnsi="Calibri"/>
                <w:color w:val="000000"/>
              </w:rPr>
            </w:pPr>
            <w:r w:rsidRPr="00184260">
              <w:rPr>
                <w:rFonts w:ascii="Calibri" w:hAnsi="Calibri"/>
              </w:rPr>
              <w:t>The responses will not adversely impact on items of heritage interest within the Woden town centre.</w:t>
            </w:r>
          </w:p>
        </w:tc>
      </w:tr>
      <w:tr w:rsidR="00D2488A" w:rsidRPr="00184260" w:rsidTr="00647CB8">
        <w:trPr>
          <w:jc w:val="center"/>
        </w:trPr>
        <w:tc>
          <w:tcPr>
            <w:tcW w:w="1526" w:type="dxa"/>
            <w:shd w:val="clear" w:color="auto" w:fill="0070C0"/>
          </w:tcPr>
          <w:p w:rsidR="00D2488A" w:rsidRPr="00184260" w:rsidRDefault="00D2488A" w:rsidP="00647CB8">
            <w:pPr>
              <w:spacing w:after="0"/>
              <w:jc w:val="both"/>
              <w:rPr>
                <w:rFonts w:ascii="Calibri" w:hAnsi="Calibri"/>
              </w:rPr>
            </w:pPr>
            <w:r w:rsidRPr="00184260">
              <w:rPr>
                <w:rFonts w:ascii="Calibri" w:hAnsi="Calibri"/>
                <w:b/>
                <w:bCs/>
              </w:rPr>
              <w:t>Environmental quality</w:t>
            </w:r>
          </w:p>
        </w:tc>
        <w:tc>
          <w:tcPr>
            <w:tcW w:w="7716" w:type="dxa"/>
          </w:tcPr>
          <w:p w:rsidR="00D2488A" w:rsidRPr="00184260" w:rsidRDefault="00D2488A"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The responses will not adversely impact on environmental quality within </w:t>
            </w:r>
            <w:r>
              <w:rPr>
                <w:rFonts w:ascii="Calibri" w:hAnsi="Calibri"/>
                <w:color w:val="000000"/>
              </w:rPr>
              <w:t xml:space="preserve">the </w:t>
            </w:r>
            <w:r w:rsidRPr="00184260">
              <w:rPr>
                <w:rFonts w:ascii="Calibri" w:hAnsi="Calibri"/>
                <w:color w:val="000000"/>
              </w:rPr>
              <w:t>Woden town centre.</w:t>
            </w:r>
          </w:p>
        </w:tc>
      </w:tr>
    </w:tbl>
    <w:p w:rsidR="00D2488A" w:rsidRPr="00184260" w:rsidRDefault="00D2488A" w:rsidP="00D2488A">
      <w:pPr>
        <w:spacing w:before="120" w:after="0"/>
        <w:jc w:val="both"/>
        <w:rPr>
          <w:rFonts w:ascii="Calibri" w:hAnsi="Calibri"/>
          <w:b/>
          <w:bCs/>
          <w:color w:val="0F6FC6"/>
        </w:rPr>
      </w:pPr>
    </w:p>
    <w:p w:rsidR="00187A74" w:rsidRDefault="00187A74">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42"/>
    <w:rsid w:val="00013242"/>
    <w:rsid w:val="00187A74"/>
    <w:rsid w:val="00D24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14442-341B-44E7-AC39-235F5524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8A"/>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2AAA2-C422-49B6-A94C-BC53ED2453D5}"/>
</file>

<file path=customXml/itemProps2.xml><?xml version="1.0" encoding="utf-8"?>
<ds:datastoreItem xmlns:ds="http://schemas.openxmlformats.org/officeDocument/2006/customXml" ds:itemID="{F1F2440F-10C7-4A14-8C73-89B290688099}"/>
</file>

<file path=customXml/itemProps3.xml><?xml version="1.0" encoding="utf-8"?>
<ds:datastoreItem xmlns:ds="http://schemas.openxmlformats.org/officeDocument/2006/customXml" ds:itemID="{663C1909-8241-4B7A-B2C4-304BC63B63B7}"/>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Company>ACT Government</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2018-11-02T03:33:00Z</dcterms:created>
  <dcterms:modified xsi:type="dcterms:W3CDTF">2018-11-02T03:33:00Z</dcterms:modified>
</cp:coreProperties>
</file>