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04C" w:rsidRPr="008A05CF" w:rsidRDefault="002F504C" w:rsidP="002F504C">
      <w:pPr>
        <w:spacing w:after="120"/>
        <w:jc w:val="both"/>
        <w:rPr>
          <w:rFonts w:ascii="Calibri" w:hAnsi="Calibri"/>
          <w:b/>
          <w:bCs/>
          <w:color w:val="000000"/>
        </w:rPr>
      </w:pPr>
      <w:r w:rsidRPr="008A05CF">
        <w:rPr>
          <w:rFonts w:ascii="Calibri" w:hAnsi="Calibri"/>
          <w:b/>
          <w:bCs/>
          <w:color w:val="000000"/>
        </w:rPr>
        <w:t>18/438:  City and Gateway Urban Design Framework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16"/>
      </w:tblGrid>
      <w:tr w:rsidR="002F504C" w:rsidRPr="00C82609" w:rsidTr="005442CD">
        <w:trPr>
          <w:jc w:val="center"/>
        </w:trPr>
        <w:tc>
          <w:tcPr>
            <w:tcW w:w="9105" w:type="dxa"/>
          </w:tcPr>
          <w:p w:rsidR="002F504C" w:rsidRPr="008A05CF" w:rsidRDefault="002F504C" w:rsidP="005442CD">
            <w:pPr>
              <w:spacing w:after="0"/>
              <w:jc w:val="both"/>
              <w:rPr>
                <w:rFonts w:ascii="Calibri" w:hAnsi="Calibri"/>
                <w:b/>
                <w:bCs/>
                <w:color w:val="000000"/>
              </w:rPr>
            </w:pPr>
            <w:r w:rsidRPr="008A05CF">
              <w:rPr>
                <w:rFonts w:ascii="Calibri" w:hAnsi="Calibri"/>
                <w:b/>
                <w:bCs/>
                <w:color w:val="000000"/>
              </w:rPr>
              <w:t>Summary of Impacts</w:t>
            </w:r>
          </w:p>
        </w:tc>
      </w:tr>
      <w:tr w:rsidR="002F504C" w:rsidRPr="008A05CF" w:rsidTr="005442CD">
        <w:trPr>
          <w:jc w:val="center"/>
        </w:trPr>
        <w:tc>
          <w:tcPr>
            <w:tcW w:w="9105" w:type="dxa"/>
          </w:tcPr>
          <w:p w:rsidR="002F504C" w:rsidRPr="008A05CF" w:rsidRDefault="002F504C" w:rsidP="005442CD">
            <w:pPr>
              <w:numPr>
                <w:ilvl w:val="0"/>
                <w:numId w:val="1"/>
              </w:numPr>
              <w:spacing w:after="0" w:line="240" w:lineRule="auto"/>
              <w:ind w:left="360"/>
              <w:rPr>
                <w:rFonts w:ascii="Calibri" w:hAnsi="Calibri"/>
              </w:rPr>
            </w:pPr>
            <w:r w:rsidRPr="008A05CF">
              <w:rPr>
                <w:rFonts w:ascii="Calibri" w:hAnsi="Calibri"/>
              </w:rPr>
              <w:t>The City and Gateway Urban Design Framework (the Framework) is a co-branded document between the ACT Government and the National Capital Authority (NCA).</w:t>
            </w:r>
          </w:p>
          <w:p w:rsidR="002F504C" w:rsidRPr="008A05CF" w:rsidRDefault="002F504C" w:rsidP="005442CD">
            <w:pPr>
              <w:numPr>
                <w:ilvl w:val="0"/>
                <w:numId w:val="1"/>
              </w:numPr>
              <w:spacing w:after="0" w:line="240" w:lineRule="auto"/>
              <w:ind w:left="360"/>
              <w:rPr>
                <w:rFonts w:ascii="Calibri" w:hAnsi="Calibri"/>
              </w:rPr>
            </w:pPr>
            <w:r w:rsidRPr="008A05CF">
              <w:rPr>
                <w:rFonts w:ascii="Calibri" w:hAnsi="Calibri"/>
              </w:rPr>
              <w:t xml:space="preserve">The Framework will provide social, economic and environmental benefits for </w:t>
            </w:r>
            <w:proofErr w:type="spellStart"/>
            <w:r w:rsidRPr="008A05CF">
              <w:rPr>
                <w:rFonts w:ascii="Calibri" w:hAnsi="Calibri"/>
              </w:rPr>
              <w:t>Northbourne</w:t>
            </w:r>
            <w:proofErr w:type="spellEnd"/>
            <w:r w:rsidRPr="008A05CF">
              <w:rPr>
                <w:rFonts w:ascii="Calibri" w:hAnsi="Calibri"/>
              </w:rPr>
              <w:t xml:space="preserve"> Avenue and Federal Highway corridor by articulating strong planning and design principles.</w:t>
            </w:r>
          </w:p>
          <w:p w:rsidR="002F504C" w:rsidRPr="008A05CF" w:rsidRDefault="002F504C" w:rsidP="005442CD">
            <w:pPr>
              <w:numPr>
                <w:ilvl w:val="0"/>
                <w:numId w:val="1"/>
              </w:numPr>
              <w:spacing w:after="0" w:line="240" w:lineRule="auto"/>
              <w:ind w:left="360"/>
              <w:rPr>
                <w:rFonts w:ascii="Calibri" w:hAnsi="Calibri"/>
              </w:rPr>
            </w:pPr>
            <w:r w:rsidRPr="008A05CF">
              <w:rPr>
                <w:rFonts w:ascii="Calibri" w:hAnsi="Calibri"/>
              </w:rPr>
              <w:t>Social Impacts - with urban renewal in close proximity to rapid public transport, active travel infrastructure and well-designed public places offers housing choices close to services to support a diverse, active and healthy community.</w:t>
            </w:r>
          </w:p>
          <w:p w:rsidR="002F504C" w:rsidRPr="008A05CF" w:rsidRDefault="002F504C" w:rsidP="005442CD">
            <w:pPr>
              <w:numPr>
                <w:ilvl w:val="0"/>
                <w:numId w:val="1"/>
              </w:numPr>
              <w:spacing w:after="0" w:line="240" w:lineRule="auto"/>
              <w:ind w:left="360"/>
              <w:rPr>
                <w:rFonts w:ascii="Calibri" w:hAnsi="Calibri"/>
              </w:rPr>
            </w:pPr>
            <w:r w:rsidRPr="008A05CF">
              <w:rPr>
                <w:rFonts w:ascii="Calibri" w:hAnsi="Calibri"/>
              </w:rPr>
              <w:t>Environmental Impacts – urban infill and a more compact built form reduces urban sprawl and land-take, and in combination with rapid public transport and active travel options reduces car dependency and related carbon emissions. The protection and restoration of green recreation spines promotes biodiversity, ecological connectivity and habitats.</w:t>
            </w:r>
          </w:p>
          <w:p w:rsidR="002F504C" w:rsidRPr="008A05CF" w:rsidRDefault="002F504C" w:rsidP="005442CD">
            <w:pPr>
              <w:numPr>
                <w:ilvl w:val="0"/>
                <w:numId w:val="1"/>
              </w:numPr>
              <w:spacing w:after="0" w:line="240" w:lineRule="auto"/>
              <w:ind w:left="360"/>
              <w:rPr>
                <w:rFonts w:ascii="Calibri" w:hAnsi="Calibri"/>
                <w:color w:val="000000"/>
              </w:rPr>
            </w:pPr>
            <w:r w:rsidRPr="009A1F18">
              <w:rPr>
                <w:rFonts w:ascii="Calibri" w:hAnsi="Calibri"/>
              </w:rPr>
              <w:t>Economic Impacts – strategies are provided to encourage and maximise productivity, investment and innovation by managing growth and providing new business, commercial and retail opportunities.</w:t>
            </w:r>
          </w:p>
        </w:tc>
      </w:tr>
    </w:tbl>
    <w:p w:rsidR="002F504C" w:rsidRPr="008A05CF" w:rsidRDefault="002F504C" w:rsidP="002F504C">
      <w:pPr>
        <w:spacing w:after="0"/>
        <w:rPr>
          <w:rFonts w:ascii="Calibri" w:hAnsi="Calibri"/>
          <w:i/>
          <w:color w:val="000000"/>
        </w:rPr>
      </w:pPr>
      <w:r w:rsidRPr="008A05CF">
        <w:rPr>
          <w:rFonts w:ascii="Calibri" w:hAnsi="Calibri"/>
          <w:i/>
          <w:color w:val="000000"/>
        </w:rPr>
        <w:t xml:space="preserve">Key to impacts: Red – negative, </w:t>
      </w:r>
      <w:proofErr w:type="gramStart"/>
      <w:r w:rsidRPr="008A05CF">
        <w:rPr>
          <w:rFonts w:ascii="Calibri" w:hAnsi="Calibri"/>
          <w:i/>
          <w:color w:val="000000"/>
        </w:rPr>
        <w:t>Blue</w:t>
      </w:r>
      <w:proofErr w:type="gramEnd"/>
      <w:r w:rsidRPr="008A05CF">
        <w:rPr>
          <w:rFonts w:ascii="Calibri" w:hAnsi="Calibri"/>
          <w:i/>
          <w:color w:val="000000"/>
        </w:rPr>
        <w:t xml:space="preserve"> - neutral and Green - positive.</w:t>
      </w:r>
    </w:p>
    <w:p w:rsidR="002F504C" w:rsidRPr="008A05CF" w:rsidRDefault="002F504C" w:rsidP="002F504C">
      <w:pPr>
        <w:spacing w:before="120" w:after="0"/>
        <w:jc w:val="both"/>
        <w:rPr>
          <w:rFonts w:ascii="Calibri" w:hAnsi="Calibri"/>
          <w:b/>
          <w:bCs/>
          <w:color w:val="000000"/>
        </w:rPr>
      </w:pPr>
      <w:r w:rsidRPr="008A05CF">
        <w:rPr>
          <w:rFonts w:ascii="Calibri" w:hAnsi="Calibri"/>
          <w:b/>
          <w:bCs/>
          <w:color w:val="000000"/>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20"/>
        <w:gridCol w:w="7496"/>
      </w:tblGrid>
      <w:tr w:rsidR="002F504C" w:rsidRPr="00C82609" w:rsidTr="005442CD">
        <w:trPr>
          <w:jc w:val="center"/>
        </w:trPr>
        <w:tc>
          <w:tcPr>
            <w:tcW w:w="1526" w:type="dxa"/>
            <w:tcBorders>
              <w:right w:val="single" w:sz="4" w:space="0" w:color="auto"/>
            </w:tcBorders>
            <w:shd w:val="clear" w:color="auto" w:fill="92D050"/>
          </w:tcPr>
          <w:p w:rsidR="002F504C" w:rsidRPr="008A05CF" w:rsidRDefault="002F504C" w:rsidP="005442CD">
            <w:pPr>
              <w:spacing w:after="0"/>
              <w:rPr>
                <w:rFonts w:ascii="Calibri" w:hAnsi="Calibri" w:cs="Calibri"/>
                <w:b/>
                <w:color w:val="000000"/>
              </w:rPr>
            </w:pPr>
            <w:r w:rsidRPr="008A05CF">
              <w:rPr>
                <w:rFonts w:ascii="Calibri" w:hAnsi="Calibri" w:cs="Calibri"/>
                <w:b/>
                <w:color w:val="000000"/>
                <w:lang w:val="en-NZ"/>
              </w:rPr>
              <w:t xml:space="preserve">Access to social networks &amp; community activities </w:t>
            </w:r>
          </w:p>
        </w:tc>
        <w:tc>
          <w:tcPr>
            <w:tcW w:w="7716" w:type="dxa"/>
            <w:tcBorders>
              <w:left w:val="single" w:sz="4" w:space="0" w:color="auto"/>
            </w:tcBorders>
          </w:tcPr>
          <w:p w:rsidR="002F504C" w:rsidRPr="008A05CF" w:rsidRDefault="002F504C" w:rsidP="005442CD">
            <w:pPr>
              <w:numPr>
                <w:ilvl w:val="0"/>
                <w:numId w:val="1"/>
              </w:numPr>
              <w:spacing w:after="40" w:line="240" w:lineRule="auto"/>
              <w:ind w:left="360"/>
              <w:rPr>
                <w:rFonts w:ascii="Calibri" w:hAnsi="Calibri"/>
              </w:rPr>
            </w:pPr>
            <w:r w:rsidRPr="008A05CF">
              <w:rPr>
                <w:rFonts w:ascii="Calibri" w:hAnsi="Calibri"/>
              </w:rPr>
              <w:t>The Framework delivers on the government’s priorities for enhancing liveability and social inclusion, health and education investment and better public transport.</w:t>
            </w:r>
          </w:p>
          <w:p w:rsidR="002F504C" w:rsidRPr="008A05CF" w:rsidRDefault="002F504C" w:rsidP="005442CD">
            <w:pPr>
              <w:numPr>
                <w:ilvl w:val="0"/>
                <w:numId w:val="1"/>
              </w:numPr>
              <w:spacing w:after="40" w:line="240" w:lineRule="auto"/>
              <w:ind w:left="360"/>
              <w:rPr>
                <w:rFonts w:ascii="Calibri" w:hAnsi="Calibri"/>
              </w:rPr>
            </w:pPr>
            <w:r w:rsidRPr="008A05CF">
              <w:rPr>
                <w:rFonts w:ascii="Calibri" w:hAnsi="Calibri"/>
              </w:rPr>
              <w:t>The Framework responds to the key messages from the first and second stages of community engagement which includes support for better walking and cycling infrastructure to support all lifestyles, ages and abilities, sustainable building design that contributes positively to public places and streets and a desire for convenient access to well-maintained open space and natural amenity.</w:t>
            </w:r>
          </w:p>
        </w:tc>
      </w:tr>
      <w:tr w:rsidR="002F504C" w:rsidRPr="00C82609" w:rsidTr="005442CD">
        <w:trPr>
          <w:jc w:val="center"/>
        </w:trPr>
        <w:tc>
          <w:tcPr>
            <w:tcW w:w="1526" w:type="dxa"/>
            <w:tcBorders>
              <w:right w:val="single" w:sz="4" w:space="0" w:color="auto"/>
            </w:tcBorders>
            <w:shd w:val="clear" w:color="auto" w:fill="00B0F0"/>
          </w:tcPr>
          <w:p w:rsidR="002F504C" w:rsidRPr="008A05CF" w:rsidRDefault="002F504C" w:rsidP="005442CD">
            <w:pPr>
              <w:spacing w:after="0"/>
              <w:jc w:val="both"/>
              <w:rPr>
                <w:rFonts w:ascii="Calibri" w:hAnsi="Calibri"/>
                <w:color w:val="000000"/>
              </w:rPr>
            </w:pPr>
            <w:r w:rsidRPr="008A05CF">
              <w:rPr>
                <w:rFonts w:ascii="Calibri" w:hAnsi="Calibri"/>
                <w:b/>
                <w:bCs/>
                <w:color w:val="000000"/>
              </w:rPr>
              <w:t>Human rights</w:t>
            </w:r>
          </w:p>
        </w:tc>
        <w:tc>
          <w:tcPr>
            <w:tcW w:w="7716" w:type="dxa"/>
            <w:tcBorders>
              <w:left w:val="single" w:sz="4" w:space="0" w:color="auto"/>
            </w:tcBorders>
          </w:tcPr>
          <w:p w:rsidR="002F504C" w:rsidRPr="00A17A33" w:rsidRDefault="002F504C" w:rsidP="005442CD">
            <w:pPr>
              <w:numPr>
                <w:ilvl w:val="0"/>
                <w:numId w:val="1"/>
              </w:numPr>
              <w:spacing w:after="40" w:line="240" w:lineRule="auto"/>
              <w:ind w:left="360"/>
              <w:rPr>
                <w:rFonts w:ascii="Calibri" w:hAnsi="Calibri"/>
              </w:rPr>
            </w:pPr>
            <w:r w:rsidRPr="008A05CF">
              <w:rPr>
                <w:rFonts w:ascii="Calibri" w:hAnsi="Calibri"/>
              </w:rPr>
              <w:t xml:space="preserve">The Framework does not negatively impact human rights. </w:t>
            </w:r>
          </w:p>
        </w:tc>
      </w:tr>
      <w:tr w:rsidR="002F504C" w:rsidRPr="00C82609" w:rsidTr="005442CD">
        <w:trPr>
          <w:jc w:val="center"/>
        </w:trPr>
        <w:tc>
          <w:tcPr>
            <w:tcW w:w="1526" w:type="dxa"/>
            <w:tcBorders>
              <w:right w:val="single" w:sz="4" w:space="0" w:color="auto"/>
            </w:tcBorders>
            <w:shd w:val="clear" w:color="auto" w:fill="92D050"/>
          </w:tcPr>
          <w:p w:rsidR="002F504C" w:rsidRPr="008A05CF" w:rsidRDefault="002F504C" w:rsidP="005442CD">
            <w:pPr>
              <w:spacing w:after="0"/>
              <w:jc w:val="both"/>
              <w:rPr>
                <w:rFonts w:ascii="Calibri" w:hAnsi="Calibri"/>
                <w:color w:val="000000"/>
              </w:rPr>
            </w:pPr>
            <w:r w:rsidRPr="008A05CF">
              <w:rPr>
                <w:rFonts w:ascii="Calibri" w:hAnsi="Calibri"/>
                <w:b/>
                <w:bCs/>
                <w:color w:val="000000"/>
              </w:rPr>
              <w:t>Indigenous and Multicultural</w:t>
            </w:r>
          </w:p>
        </w:tc>
        <w:tc>
          <w:tcPr>
            <w:tcW w:w="7716" w:type="dxa"/>
            <w:tcBorders>
              <w:left w:val="single" w:sz="4" w:space="0" w:color="auto"/>
            </w:tcBorders>
          </w:tcPr>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 xml:space="preserve">Implementation of the Framework provides an opportunity to acknowledge and celebrate Aboriginal heritage and culture, and the 20th century history of Canberra in the public place and design of the corridor.  The Framework notes that it is desirable to involve Aboriginal and Torres Strait Islander People in any place upgrades. </w:t>
            </w:r>
          </w:p>
        </w:tc>
      </w:tr>
    </w:tbl>
    <w:p w:rsidR="002F504C" w:rsidRPr="008A05CF" w:rsidRDefault="002F504C" w:rsidP="002F504C">
      <w:pPr>
        <w:spacing w:before="120" w:after="0"/>
        <w:jc w:val="both"/>
        <w:rPr>
          <w:rFonts w:ascii="Calibri" w:hAnsi="Calibri"/>
          <w:b/>
          <w:bCs/>
          <w:color w:val="000000"/>
        </w:rPr>
      </w:pPr>
      <w:r w:rsidRPr="008A05CF">
        <w:rPr>
          <w:rFonts w:ascii="Calibri" w:hAnsi="Calibri"/>
          <w:b/>
          <w:bCs/>
          <w:color w:val="000000"/>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18"/>
        <w:gridCol w:w="7498"/>
      </w:tblGrid>
      <w:tr w:rsidR="002F504C" w:rsidRPr="00C82609" w:rsidTr="005442CD">
        <w:trPr>
          <w:jc w:val="center"/>
        </w:trPr>
        <w:tc>
          <w:tcPr>
            <w:tcW w:w="1526" w:type="dxa"/>
            <w:tcBorders>
              <w:right w:val="single" w:sz="4" w:space="0" w:color="auto"/>
            </w:tcBorders>
            <w:shd w:val="clear" w:color="auto" w:fill="00B0F0"/>
          </w:tcPr>
          <w:p w:rsidR="002F504C" w:rsidRPr="008A05CF" w:rsidRDefault="002F504C" w:rsidP="005442CD">
            <w:pPr>
              <w:spacing w:after="0"/>
              <w:jc w:val="both"/>
              <w:rPr>
                <w:rFonts w:ascii="Calibri" w:hAnsi="Calibri"/>
                <w:color w:val="000000"/>
              </w:rPr>
            </w:pPr>
            <w:r w:rsidRPr="008A05CF">
              <w:rPr>
                <w:rFonts w:ascii="Calibri" w:hAnsi="Calibri"/>
                <w:b/>
                <w:bCs/>
                <w:color w:val="000000"/>
              </w:rPr>
              <w:t>ACT Government Budget</w:t>
            </w:r>
          </w:p>
        </w:tc>
        <w:tc>
          <w:tcPr>
            <w:tcW w:w="7716" w:type="dxa"/>
            <w:tcBorders>
              <w:left w:val="single" w:sz="4" w:space="0" w:color="auto"/>
            </w:tcBorders>
          </w:tcPr>
          <w:p w:rsidR="002F504C" w:rsidRPr="008A05CF" w:rsidRDefault="002F504C" w:rsidP="005442CD">
            <w:pPr>
              <w:numPr>
                <w:ilvl w:val="0"/>
                <w:numId w:val="1"/>
              </w:numPr>
              <w:spacing w:after="40" w:line="240" w:lineRule="auto"/>
              <w:ind w:left="360"/>
              <w:rPr>
                <w:rFonts w:ascii="Calibri" w:hAnsi="Calibri"/>
              </w:rPr>
            </w:pPr>
            <w:r w:rsidRPr="008A05CF">
              <w:rPr>
                <w:rFonts w:ascii="Calibri" w:hAnsi="Calibri"/>
              </w:rPr>
              <w:t>The Framework provides guidance on the form, materials and landscaping that are required for public place upgrades. Capital works will be considered through future budget and capital works proposals.</w:t>
            </w:r>
          </w:p>
        </w:tc>
      </w:tr>
      <w:tr w:rsidR="002F504C" w:rsidRPr="00C82609" w:rsidTr="005442CD">
        <w:trPr>
          <w:jc w:val="center"/>
        </w:trPr>
        <w:tc>
          <w:tcPr>
            <w:tcW w:w="1526" w:type="dxa"/>
            <w:tcBorders>
              <w:right w:val="single" w:sz="4" w:space="0" w:color="auto"/>
            </w:tcBorders>
            <w:shd w:val="clear" w:color="auto" w:fill="92D050"/>
          </w:tcPr>
          <w:p w:rsidR="002F504C" w:rsidRPr="008A05CF" w:rsidRDefault="002F504C" w:rsidP="005442CD">
            <w:pPr>
              <w:spacing w:after="0"/>
              <w:jc w:val="both"/>
              <w:rPr>
                <w:rFonts w:ascii="Calibri" w:hAnsi="Calibri"/>
                <w:color w:val="000000"/>
              </w:rPr>
            </w:pPr>
            <w:r w:rsidRPr="008A05CF">
              <w:rPr>
                <w:rFonts w:ascii="Calibri" w:hAnsi="Calibri"/>
                <w:b/>
                <w:bCs/>
                <w:color w:val="000000"/>
              </w:rPr>
              <w:t>Productivity and innovation</w:t>
            </w:r>
          </w:p>
        </w:tc>
        <w:tc>
          <w:tcPr>
            <w:tcW w:w="7716" w:type="dxa"/>
            <w:tcBorders>
              <w:left w:val="single" w:sz="4" w:space="0" w:color="auto"/>
            </w:tcBorders>
          </w:tcPr>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 xml:space="preserve">The Framework identifies that future variations to the Territory Plan and National Capital Plan are required to support and manage an increase in population financial growth and investment. </w:t>
            </w:r>
          </w:p>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 xml:space="preserve">Projected growth, coupled with unprecedented investment in public transport and the redevelopment of public assets along </w:t>
            </w:r>
            <w:proofErr w:type="spellStart"/>
            <w:r w:rsidRPr="00A17A33">
              <w:rPr>
                <w:rFonts w:ascii="Calibri" w:hAnsi="Calibri"/>
              </w:rPr>
              <w:t>Northbourne</w:t>
            </w:r>
            <w:proofErr w:type="spellEnd"/>
            <w:r w:rsidRPr="00A17A33">
              <w:rPr>
                <w:rFonts w:ascii="Calibri" w:hAnsi="Calibri"/>
              </w:rPr>
              <w:t xml:space="preserve"> Avenue, drives the transformation of new and existing sites. This combination of factors also creates unique business opportunities and lifestyle choices that will attract new talent to our city. </w:t>
            </w:r>
          </w:p>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The Framework identifies capacity for a retail centre in the western part of the city centre, close to the light rail stop. It reaffirms the city centre as the primary centre of Canberra and establishes nodes of activity surrounding major light rail stops at Macarthur and Dickson, to respond to the emerging commuter retail demand.</w:t>
            </w:r>
          </w:p>
        </w:tc>
      </w:tr>
      <w:tr w:rsidR="002F504C" w:rsidRPr="008A05CF" w:rsidTr="005442CD">
        <w:trPr>
          <w:jc w:val="center"/>
        </w:trPr>
        <w:tc>
          <w:tcPr>
            <w:tcW w:w="1526" w:type="dxa"/>
            <w:tcBorders>
              <w:right w:val="single" w:sz="4" w:space="0" w:color="auto"/>
            </w:tcBorders>
            <w:shd w:val="clear" w:color="auto" w:fill="92D050"/>
          </w:tcPr>
          <w:p w:rsidR="002F504C" w:rsidRPr="008A05CF" w:rsidRDefault="002F504C" w:rsidP="005442CD">
            <w:pPr>
              <w:spacing w:after="0"/>
              <w:jc w:val="both"/>
              <w:rPr>
                <w:rFonts w:ascii="Calibri" w:hAnsi="Calibri"/>
                <w:color w:val="000000"/>
              </w:rPr>
            </w:pPr>
            <w:r w:rsidRPr="008A05CF">
              <w:rPr>
                <w:rFonts w:ascii="Calibri" w:hAnsi="Calibri"/>
                <w:b/>
                <w:bCs/>
                <w:color w:val="000000"/>
              </w:rPr>
              <w:lastRenderedPageBreak/>
              <w:t>Investment and Economic Impacts</w:t>
            </w:r>
          </w:p>
        </w:tc>
        <w:tc>
          <w:tcPr>
            <w:tcW w:w="7716" w:type="dxa"/>
            <w:tcBorders>
              <w:left w:val="single" w:sz="4" w:space="0" w:color="auto"/>
            </w:tcBorders>
          </w:tcPr>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The Framework captures the value of investment in light rail and adjoining development to deliver optimum benefits for the broader community and the environment.</w:t>
            </w:r>
          </w:p>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The Framework provides strategies for investment, with population and employment growth proje</w:t>
            </w:r>
            <w:bookmarkStart w:id="0" w:name="_GoBack"/>
            <w:bookmarkEnd w:id="0"/>
            <w:r w:rsidRPr="00A17A33">
              <w:rPr>
                <w:rFonts w:ascii="Calibri" w:hAnsi="Calibri"/>
              </w:rPr>
              <w:t>cted for the city and corridor there will be a need for more retail, commercial, education and community services, new high-grade commercial stock, additional hotels and serviced apartments to contribute to a vibrant central business district.</w:t>
            </w:r>
          </w:p>
        </w:tc>
      </w:tr>
    </w:tbl>
    <w:p w:rsidR="002F504C" w:rsidRPr="008A05CF" w:rsidRDefault="002F504C" w:rsidP="002F504C">
      <w:pPr>
        <w:spacing w:before="120" w:after="0"/>
        <w:jc w:val="both"/>
        <w:rPr>
          <w:rFonts w:ascii="Calibri" w:hAnsi="Calibri"/>
          <w:b/>
          <w:bCs/>
          <w:color w:val="000000"/>
        </w:rPr>
      </w:pPr>
      <w:r w:rsidRPr="008A05CF">
        <w:rPr>
          <w:rFonts w:ascii="Calibri" w:hAnsi="Calibri"/>
          <w:b/>
          <w:bCs/>
          <w:color w:val="000000"/>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491"/>
      </w:tblGrid>
      <w:tr w:rsidR="002F504C" w:rsidRPr="00C82609" w:rsidTr="005442CD">
        <w:trPr>
          <w:jc w:val="center"/>
        </w:trPr>
        <w:tc>
          <w:tcPr>
            <w:tcW w:w="1526" w:type="dxa"/>
            <w:shd w:val="clear" w:color="auto" w:fill="92D050"/>
          </w:tcPr>
          <w:p w:rsidR="002F504C" w:rsidRPr="008A05CF" w:rsidRDefault="002F504C" w:rsidP="005442CD">
            <w:pPr>
              <w:spacing w:after="0"/>
              <w:jc w:val="both"/>
              <w:rPr>
                <w:rFonts w:ascii="Calibri" w:hAnsi="Calibri"/>
                <w:color w:val="000000"/>
              </w:rPr>
            </w:pPr>
            <w:r w:rsidRPr="008A05CF">
              <w:rPr>
                <w:rFonts w:ascii="Calibri" w:hAnsi="Calibri"/>
                <w:b/>
                <w:bCs/>
                <w:color w:val="000000"/>
              </w:rPr>
              <w:t>Biodiversity</w:t>
            </w:r>
          </w:p>
        </w:tc>
        <w:tc>
          <w:tcPr>
            <w:tcW w:w="7716" w:type="dxa"/>
          </w:tcPr>
          <w:p w:rsidR="002F504C" w:rsidRPr="008A05CF" w:rsidRDefault="002F504C" w:rsidP="005442CD">
            <w:pPr>
              <w:numPr>
                <w:ilvl w:val="0"/>
                <w:numId w:val="1"/>
              </w:numPr>
              <w:spacing w:after="40" w:line="240" w:lineRule="auto"/>
              <w:ind w:left="360"/>
              <w:rPr>
                <w:rFonts w:ascii="Calibri" w:hAnsi="Calibri"/>
              </w:rPr>
            </w:pPr>
            <w:r w:rsidRPr="008A05CF">
              <w:rPr>
                <w:rFonts w:ascii="Calibri" w:hAnsi="Calibri"/>
              </w:rPr>
              <w:t xml:space="preserve">The Framework outlines the intent to protect and restore the green recreation spine along </w:t>
            </w:r>
            <w:proofErr w:type="spellStart"/>
            <w:r w:rsidRPr="008A05CF">
              <w:rPr>
                <w:rFonts w:ascii="Calibri" w:hAnsi="Calibri"/>
              </w:rPr>
              <w:t>Sullivans</w:t>
            </w:r>
            <w:proofErr w:type="spellEnd"/>
            <w:r w:rsidRPr="008A05CF">
              <w:rPr>
                <w:rFonts w:ascii="Calibri" w:hAnsi="Calibri"/>
              </w:rPr>
              <w:t xml:space="preserve"> Creek to improve the biodiversity, ecological connectivity and habitats for wildlife.</w:t>
            </w:r>
          </w:p>
        </w:tc>
      </w:tr>
      <w:tr w:rsidR="002F504C" w:rsidRPr="008A05CF" w:rsidTr="005442CD">
        <w:trPr>
          <w:jc w:val="center"/>
        </w:trPr>
        <w:tc>
          <w:tcPr>
            <w:tcW w:w="1526" w:type="dxa"/>
            <w:shd w:val="clear" w:color="auto" w:fill="92D050"/>
          </w:tcPr>
          <w:p w:rsidR="002F504C" w:rsidRPr="008A05CF" w:rsidRDefault="002F504C" w:rsidP="005442CD">
            <w:pPr>
              <w:spacing w:after="0"/>
              <w:jc w:val="both"/>
              <w:rPr>
                <w:rFonts w:ascii="Calibri" w:hAnsi="Calibri"/>
                <w:color w:val="000000"/>
              </w:rPr>
            </w:pPr>
            <w:r w:rsidRPr="008A05CF">
              <w:rPr>
                <w:rFonts w:ascii="Calibri" w:hAnsi="Calibri"/>
                <w:b/>
                <w:bCs/>
                <w:color w:val="000000"/>
              </w:rPr>
              <w:t>Heritage</w:t>
            </w:r>
          </w:p>
        </w:tc>
        <w:tc>
          <w:tcPr>
            <w:tcW w:w="7716" w:type="dxa"/>
          </w:tcPr>
          <w:p w:rsidR="002F504C" w:rsidRPr="008A05CF" w:rsidRDefault="002F504C" w:rsidP="005442CD">
            <w:pPr>
              <w:numPr>
                <w:ilvl w:val="0"/>
                <w:numId w:val="1"/>
              </w:numPr>
              <w:spacing w:after="40" w:line="240" w:lineRule="auto"/>
              <w:ind w:left="360"/>
              <w:rPr>
                <w:rFonts w:ascii="Calibri" w:hAnsi="Calibri"/>
              </w:rPr>
            </w:pPr>
            <w:r w:rsidRPr="008A05CF">
              <w:rPr>
                <w:rFonts w:ascii="Calibri" w:hAnsi="Calibri"/>
              </w:rPr>
              <w:t xml:space="preserve">The Framework acknowledges the importance of heritage items and precincts within the City and Gateway corridor. </w:t>
            </w:r>
          </w:p>
        </w:tc>
      </w:tr>
      <w:tr w:rsidR="002F504C" w:rsidRPr="00C82609" w:rsidTr="005442CD">
        <w:trPr>
          <w:jc w:val="center"/>
        </w:trPr>
        <w:tc>
          <w:tcPr>
            <w:tcW w:w="1526" w:type="dxa"/>
            <w:shd w:val="clear" w:color="auto" w:fill="92D050"/>
          </w:tcPr>
          <w:p w:rsidR="002F504C" w:rsidRPr="008A05CF" w:rsidRDefault="002F504C" w:rsidP="005442CD">
            <w:pPr>
              <w:spacing w:after="0"/>
              <w:jc w:val="both"/>
              <w:rPr>
                <w:rFonts w:ascii="Calibri" w:hAnsi="Calibri"/>
                <w:color w:val="000000"/>
              </w:rPr>
            </w:pPr>
            <w:r w:rsidRPr="008A05CF">
              <w:rPr>
                <w:rFonts w:ascii="Calibri" w:hAnsi="Calibri"/>
                <w:b/>
                <w:bCs/>
                <w:color w:val="000000"/>
              </w:rPr>
              <w:t>Environmental quality</w:t>
            </w:r>
          </w:p>
        </w:tc>
        <w:tc>
          <w:tcPr>
            <w:tcW w:w="7716" w:type="dxa"/>
          </w:tcPr>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The Framework principles support the delivery of a number of government initiatives, including the AP2 Climate Change Strategy and the commitment to net zero carbon emissions by 2050.</w:t>
            </w:r>
          </w:p>
          <w:p w:rsidR="002F504C" w:rsidRPr="00A17A33" w:rsidRDefault="002F504C" w:rsidP="005442CD">
            <w:pPr>
              <w:numPr>
                <w:ilvl w:val="0"/>
                <w:numId w:val="1"/>
              </w:numPr>
              <w:spacing w:after="40" w:line="240" w:lineRule="auto"/>
              <w:ind w:left="360"/>
              <w:rPr>
                <w:rFonts w:ascii="Calibri" w:hAnsi="Calibri"/>
              </w:rPr>
            </w:pPr>
            <w:r w:rsidRPr="00A17A33">
              <w:rPr>
                <w:rFonts w:ascii="Calibri" w:hAnsi="Calibri"/>
              </w:rPr>
              <w:t>The Framework’s provision for more housing close to employment, services, and recreation, reducing the need to travel by car, will reduce the ACT’s energy consumption.</w:t>
            </w:r>
          </w:p>
        </w:tc>
      </w:tr>
    </w:tbl>
    <w:p w:rsidR="002F504C" w:rsidRPr="008A05CF" w:rsidRDefault="002F504C" w:rsidP="002F504C">
      <w:pPr>
        <w:rPr>
          <w:rFonts w:ascii="Calibri" w:hAnsi="Calibri"/>
        </w:rPr>
      </w:pPr>
    </w:p>
    <w:p w:rsidR="00AC016A" w:rsidRDefault="00AC016A"/>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4C"/>
    <w:rsid w:val="002F504C"/>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9268D-9AB5-4EEB-85C3-B497F296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04C"/>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4138B-71A8-4792-8474-F3C05357D4E8}"/>
</file>

<file path=customXml/itemProps2.xml><?xml version="1.0" encoding="utf-8"?>
<ds:datastoreItem xmlns:ds="http://schemas.openxmlformats.org/officeDocument/2006/customXml" ds:itemID="{68C9B77D-8BBC-430D-A63C-3A10BBE6DD64}"/>
</file>

<file path=customXml/itemProps3.xml><?xml version="1.0" encoding="utf-8"?>
<ds:datastoreItem xmlns:ds="http://schemas.openxmlformats.org/officeDocument/2006/customXml" ds:itemID="{AA2DB0FA-BE92-417C-BC8B-7F15132C427F}"/>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2018-11-21T23:18:00Z</dcterms:created>
  <dcterms:modified xsi:type="dcterms:W3CDTF">2018-11-21T23:18:00Z</dcterms:modified>
</cp:coreProperties>
</file>