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BA" w:rsidRPr="008A05CF" w:rsidRDefault="00965ABA" w:rsidP="00965ABA">
      <w:pPr>
        <w:spacing w:after="120"/>
        <w:rPr>
          <w:rFonts w:ascii="Calibri" w:hAnsi="Calibri"/>
          <w:b/>
          <w:bCs/>
        </w:rPr>
      </w:pPr>
      <w:r w:rsidRPr="008A05CF">
        <w:rPr>
          <w:rFonts w:ascii="Calibri" w:hAnsi="Calibri"/>
          <w:b/>
          <w:bCs/>
        </w:rPr>
        <w:t>18/599:  Report of the Independent Review of the ACT’s work safety compliance infrastructure, policies, and procedures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965ABA" w:rsidRPr="00C82609" w:rsidTr="005442CD">
        <w:trPr>
          <w:jc w:val="center"/>
        </w:trPr>
        <w:tc>
          <w:tcPr>
            <w:tcW w:w="9105" w:type="dxa"/>
          </w:tcPr>
          <w:p w:rsidR="00965ABA" w:rsidRPr="008A05CF" w:rsidRDefault="00965ABA" w:rsidP="005442CD">
            <w:pPr>
              <w:spacing w:before="60" w:after="0"/>
              <w:jc w:val="both"/>
              <w:rPr>
                <w:rFonts w:ascii="Calibri" w:hAnsi="Calibri"/>
                <w:b/>
                <w:bCs/>
              </w:rPr>
            </w:pPr>
            <w:r w:rsidRPr="008A05CF">
              <w:rPr>
                <w:rFonts w:ascii="Calibri" w:hAnsi="Calibri"/>
                <w:b/>
                <w:bCs/>
              </w:rPr>
              <w:t>Summary of Impacts</w:t>
            </w:r>
          </w:p>
        </w:tc>
      </w:tr>
      <w:tr w:rsidR="00965ABA" w:rsidRPr="00C82609" w:rsidTr="005442CD">
        <w:trPr>
          <w:jc w:val="center"/>
        </w:trPr>
        <w:tc>
          <w:tcPr>
            <w:tcW w:w="9105" w:type="dxa"/>
          </w:tcPr>
          <w:p w:rsidR="00965ABA" w:rsidRPr="00C82609" w:rsidRDefault="00965ABA" w:rsidP="005442CD">
            <w:pPr>
              <w:numPr>
                <w:ilvl w:val="0"/>
                <w:numId w:val="1"/>
              </w:numPr>
              <w:spacing w:after="0" w:line="240" w:lineRule="auto"/>
              <w:ind w:left="360"/>
              <w:rPr>
                <w:rFonts w:ascii="Calibri" w:hAnsi="Calibri"/>
              </w:rPr>
            </w:pPr>
            <w:r w:rsidRPr="00C82609">
              <w:rPr>
                <w:rFonts w:ascii="Calibri" w:hAnsi="Calibri"/>
              </w:rPr>
              <w:t>The Submission seeks Cabinet agreement to support in-principle the primary recommendations made in the report of the Independent Review of the ACT’s work safety compliance infrastructure, policies, and procedures.</w:t>
            </w:r>
          </w:p>
          <w:p w:rsidR="00965ABA" w:rsidRPr="00C82609" w:rsidRDefault="00965ABA" w:rsidP="005442CD">
            <w:pPr>
              <w:numPr>
                <w:ilvl w:val="0"/>
                <w:numId w:val="1"/>
              </w:numPr>
              <w:spacing w:after="0" w:line="240" w:lineRule="auto"/>
              <w:ind w:left="360"/>
              <w:rPr>
                <w:rFonts w:ascii="Calibri" w:hAnsi="Calibri"/>
              </w:rPr>
            </w:pPr>
            <w:r w:rsidRPr="00C82609">
              <w:rPr>
                <w:rFonts w:ascii="Calibri" w:hAnsi="Calibri"/>
              </w:rPr>
              <w:t>The Submission also seeks Cabinet agreement to publicly release the report of the independent review, by way of tabling in the Legislative Assembly.</w:t>
            </w:r>
          </w:p>
          <w:p w:rsidR="00965ABA" w:rsidRPr="00C82609" w:rsidRDefault="00965ABA" w:rsidP="005442CD">
            <w:pPr>
              <w:numPr>
                <w:ilvl w:val="0"/>
                <w:numId w:val="1"/>
              </w:numPr>
              <w:spacing w:after="0" w:line="240" w:lineRule="auto"/>
              <w:ind w:left="360"/>
              <w:rPr>
                <w:rFonts w:ascii="Calibri" w:hAnsi="Calibri"/>
              </w:rPr>
            </w:pPr>
            <w:r w:rsidRPr="00C82609">
              <w:rPr>
                <w:rFonts w:ascii="Calibri" w:hAnsi="Calibri"/>
              </w:rPr>
              <w:t>Following public release of the report, consultation and design development will be undertaken in order to progress with implementation of the recommended changes.</w:t>
            </w:r>
          </w:p>
          <w:p w:rsidR="00965ABA" w:rsidRPr="00C82609" w:rsidRDefault="00965ABA" w:rsidP="005442CD">
            <w:pPr>
              <w:numPr>
                <w:ilvl w:val="0"/>
                <w:numId w:val="1"/>
              </w:numPr>
              <w:spacing w:after="0" w:line="240" w:lineRule="auto"/>
              <w:ind w:left="360"/>
              <w:rPr>
                <w:rFonts w:ascii="Calibri" w:hAnsi="Calibri"/>
              </w:rPr>
            </w:pPr>
            <w:r w:rsidRPr="00C82609">
              <w:rPr>
                <w:rFonts w:ascii="Calibri" w:hAnsi="Calibri"/>
              </w:rPr>
              <w:t xml:space="preserve">Implementing the recommendations in the independent review will lead to the more effective enforcement of and compliance with the ACT’s work health and safety laws. </w:t>
            </w:r>
          </w:p>
        </w:tc>
      </w:tr>
    </w:tbl>
    <w:p w:rsidR="00965ABA" w:rsidRPr="008A05CF" w:rsidRDefault="00965ABA" w:rsidP="00965ABA">
      <w:pPr>
        <w:spacing w:after="120"/>
        <w:rPr>
          <w:rFonts w:ascii="Calibri" w:hAnsi="Calibri"/>
          <w:i/>
        </w:rPr>
      </w:pPr>
      <w:r w:rsidRPr="008A05CF">
        <w:rPr>
          <w:rFonts w:ascii="Calibri" w:hAnsi="Calibri"/>
          <w:i/>
        </w:rPr>
        <w:t xml:space="preserve">Key to impacts: Red – negative, </w:t>
      </w:r>
      <w:proofErr w:type="gramStart"/>
      <w:r w:rsidRPr="008A05CF">
        <w:rPr>
          <w:rFonts w:ascii="Calibri" w:hAnsi="Calibri"/>
          <w:i/>
        </w:rPr>
        <w:t>Blue</w:t>
      </w:r>
      <w:proofErr w:type="gramEnd"/>
      <w:r w:rsidRPr="008A05CF">
        <w:rPr>
          <w:rFonts w:ascii="Calibri" w:hAnsi="Calibri"/>
          <w:i/>
        </w:rPr>
        <w:t xml:space="preserve"> - neutral and Green - positive.</w:t>
      </w:r>
    </w:p>
    <w:p w:rsidR="00965ABA" w:rsidRPr="008A05CF" w:rsidRDefault="00965ABA" w:rsidP="00965ABA">
      <w:pPr>
        <w:tabs>
          <w:tab w:val="left" w:pos="2376"/>
        </w:tabs>
        <w:spacing w:after="0"/>
        <w:jc w:val="both"/>
        <w:rPr>
          <w:rFonts w:ascii="Calibri" w:hAnsi="Calibri"/>
          <w:b/>
          <w:bCs/>
        </w:rPr>
      </w:pPr>
      <w:r w:rsidRPr="008A05CF">
        <w:rPr>
          <w:rFonts w:ascii="Calibri" w:hAnsi="Calibri"/>
          <w:b/>
          <w:bCs/>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1"/>
        <w:gridCol w:w="7515"/>
      </w:tblGrid>
      <w:tr w:rsidR="00965ABA" w:rsidRPr="008A05CF" w:rsidTr="005442CD">
        <w:trPr>
          <w:jc w:val="center"/>
        </w:trPr>
        <w:tc>
          <w:tcPr>
            <w:tcW w:w="1526" w:type="dxa"/>
            <w:shd w:val="clear" w:color="auto" w:fill="92D050"/>
          </w:tcPr>
          <w:p w:rsidR="00965ABA" w:rsidRPr="008A05CF" w:rsidRDefault="00965ABA" w:rsidP="005442CD">
            <w:pPr>
              <w:rPr>
                <w:rFonts w:ascii="Calibri" w:hAnsi="Calibri"/>
              </w:rPr>
            </w:pPr>
            <w:r w:rsidRPr="008A05CF">
              <w:rPr>
                <w:rFonts w:ascii="Calibri" w:hAnsi="Calibri"/>
                <w:b/>
                <w:bCs/>
              </w:rPr>
              <w:t>Justice and rights</w:t>
            </w:r>
          </w:p>
        </w:tc>
        <w:tc>
          <w:tcPr>
            <w:tcW w:w="7716" w:type="dxa"/>
          </w:tcPr>
          <w:p w:rsidR="00965ABA" w:rsidRPr="008A05CF" w:rsidRDefault="00965ABA" w:rsidP="005442CD">
            <w:pPr>
              <w:numPr>
                <w:ilvl w:val="0"/>
                <w:numId w:val="1"/>
              </w:numPr>
              <w:spacing w:after="40" w:line="240" w:lineRule="auto"/>
              <w:ind w:left="360"/>
              <w:rPr>
                <w:rFonts w:ascii="Calibri" w:hAnsi="Calibri"/>
              </w:rPr>
            </w:pPr>
            <w:r w:rsidRPr="008A05CF">
              <w:rPr>
                <w:rFonts w:ascii="Calibri" w:hAnsi="Calibri"/>
              </w:rPr>
              <w:t>Implementation of the recommended changes will benefit everyone in the ACT community, including workers and their families, employers, and the general community, through the effective enforcement of and compliance with the ACT’s work health and safety laws.</w:t>
            </w:r>
          </w:p>
        </w:tc>
      </w:tr>
    </w:tbl>
    <w:p w:rsidR="00965ABA" w:rsidRPr="008A05CF" w:rsidRDefault="00965ABA" w:rsidP="00965ABA">
      <w:pPr>
        <w:spacing w:before="120" w:after="0"/>
        <w:rPr>
          <w:rFonts w:ascii="Calibri" w:hAnsi="Calibri"/>
          <w:b/>
          <w:bCs/>
        </w:rPr>
      </w:pPr>
      <w:r w:rsidRPr="008A05CF">
        <w:rPr>
          <w:rFonts w:ascii="Calibri" w:hAnsi="Calibri"/>
          <w:b/>
          <w:bCs/>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965ABA" w:rsidRPr="008A05CF" w:rsidTr="005442CD">
        <w:trPr>
          <w:jc w:val="center"/>
        </w:trPr>
        <w:tc>
          <w:tcPr>
            <w:tcW w:w="1526" w:type="dxa"/>
            <w:shd w:val="clear" w:color="auto" w:fill="FF0000"/>
          </w:tcPr>
          <w:p w:rsidR="00965ABA" w:rsidRPr="008A05CF" w:rsidRDefault="00965ABA" w:rsidP="005442CD">
            <w:pPr>
              <w:rPr>
                <w:rFonts w:ascii="Calibri" w:hAnsi="Calibri"/>
                <w:b/>
                <w:bCs/>
              </w:rPr>
            </w:pPr>
            <w:r w:rsidRPr="008A05CF">
              <w:rPr>
                <w:rFonts w:ascii="Calibri" w:hAnsi="Calibri"/>
                <w:b/>
                <w:bCs/>
              </w:rPr>
              <w:t>ACT Government Budget</w:t>
            </w:r>
          </w:p>
        </w:tc>
        <w:tc>
          <w:tcPr>
            <w:tcW w:w="7716" w:type="dxa"/>
          </w:tcPr>
          <w:p w:rsidR="00965ABA" w:rsidRPr="008A05CF" w:rsidRDefault="00965ABA" w:rsidP="005442CD">
            <w:pPr>
              <w:numPr>
                <w:ilvl w:val="0"/>
                <w:numId w:val="1"/>
              </w:numPr>
              <w:spacing w:after="40" w:line="240" w:lineRule="auto"/>
              <w:ind w:left="360"/>
              <w:rPr>
                <w:rFonts w:ascii="Calibri" w:hAnsi="Calibri"/>
              </w:rPr>
            </w:pPr>
            <w:r w:rsidRPr="008A05CF">
              <w:rPr>
                <w:rFonts w:ascii="Calibri" w:hAnsi="Calibri"/>
              </w:rPr>
              <w:t xml:space="preserve">Additional funding will be required to fund any ongoing financial impact of implementing changes to the governance and structure of </w:t>
            </w:r>
            <w:proofErr w:type="spellStart"/>
            <w:r w:rsidRPr="008A05CF">
              <w:rPr>
                <w:rFonts w:ascii="Calibri" w:hAnsi="Calibri"/>
              </w:rPr>
              <w:t>WorkSafe</w:t>
            </w:r>
            <w:proofErr w:type="spellEnd"/>
            <w:r w:rsidRPr="008A05CF">
              <w:rPr>
                <w:rFonts w:ascii="Calibri" w:hAnsi="Calibri"/>
              </w:rPr>
              <w:t xml:space="preserve"> ACT.</w:t>
            </w:r>
          </w:p>
        </w:tc>
      </w:tr>
      <w:tr w:rsidR="00965ABA" w:rsidRPr="00C82609" w:rsidTr="005442CD">
        <w:trPr>
          <w:jc w:val="center"/>
        </w:trPr>
        <w:tc>
          <w:tcPr>
            <w:tcW w:w="1526" w:type="dxa"/>
            <w:shd w:val="clear" w:color="auto" w:fill="92D050"/>
          </w:tcPr>
          <w:p w:rsidR="00965ABA" w:rsidRPr="008A05CF" w:rsidRDefault="00965ABA" w:rsidP="005442CD">
            <w:pPr>
              <w:shd w:val="clear" w:color="auto" w:fill="92D050"/>
              <w:rPr>
                <w:rFonts w:ascii="Calibri" w:hAnsi="Calibri"/>
              </w:rPr>
            </w:pPr>
            <w:r w:rsidRPr="008A05CF">
              <w:rPr>
                <w:rFonts w:ascii="Calibri" w:hAnsi="Calibri"/>
                <w:b/>
                <w:bCs/>
              </w:rPr>
              <w:t>Productivity</w:t>
            </w:r>
          </w:p>
        </w:tc>
        <w:tc>
          <w:tcPr>
            <w:tcW w:w="7716" w:type="dxa"/>
          </w:tcPr>
          <w:p w:rsidR="00965ABA" w:rsidRPr="008A05CF" w:rsidRDefault="00965ABA" w:rsidP="005442CD">
            <w:pPr>
              <w:numPr>
                <w:ilvl w:val="0"/>
                <w:numId w:val="1"/>
              </w:numPr>
              <w:spacing w:after="40" w:line="240" w:lineRule="auto"/>
              <w:ind w:left="360"/>
              <w:rPr>
                <w:rFonts w:ascii="Calibri" w:hAnsi="Calibri"/>
              </w:rPr>
            </w:pPr>
            <w:r w:rsidRPr="008A05CF">
              <w:rPr>
                <w:rFonts w:ascii="Calibri" w:hAnsi="Calibri"/>
              </w:rPr>
              <w:t>Effective compliance and enforcement of work health and safety laws supports economic development by reducing the incidence of injuries in the workplace, and limiting lost productivity through time off work due to injury. Further, it creates a level playing field for businesses by ensuring companies do not benefit by avoiding their legal obligations to workers.</w:t>
            </w:r>
          </w:p>
        </w:tc>
      </w:tr>
    </w:tbl>
    <w:p w:rsidR="00965ABA" w:rsidRPr="00C82609" w:rsidRDefault="00965ABA" w:rsidP="00965ABA">
      <w:pPr>
        <w:spacing w:before="120" w:after="0"/>
        <w:rPr>
          <w:rFonts w:ascii="Calibri" w:hAnsi="Calibri"/>
          <w:b/>
          <w:bCs/>
        </w:rPr>
      </w:pPr>
      <w:r w:rsidRPr="00C82609">
        <w:rPr>
          <w:rFonts w:ascii="Calibri" w:hAnsi="Calibri"/>
          <w:b/>
          <w:bCs/>
        </w:rPr>
        <w:t>Environment</w:t>
      </w:r>
    </w:p>
    <w:p w:rsidR="00965ABA" w:rsidRPr="00C82609" w:rsidRDefault="00965ABA" w:rsidP="00965ABA">
      <w:pPr>
        <w:spacing w:after="0"/>
        <w:jc w:val="both"/>
        <w:rPr>
          <w:rFonts w:ascii="Calibri" w:hAnsi="Calibri"/>
          <w:bCs/>
        </w:rPr>
      </w:pPr>
      <w:r w:rsidRPr="00C82609">
        <w:rPr>
          <w:rFonts w:ascii="Calibri" w:hAnsi="Calibri"/>
          <w:bCs/>
        </w:rPr>
        <w:t>Nil Impact</w:t>
      </w: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BA"/>
    <w:rsid w:val="00965ABA"/>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F1C34-EB25-4ADD-9160-98BFFC3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ABA"/>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3D997-8414-49FA-B789-4283ABC61FFB}"/>
</file>

<file path=customXml/itemProps2.xml><?xml version="1.0" encoding="utf-8"?>
<ds:datastoreItem xmlns:ds="http://schemas.openxmlformats.org/officeDocument/2006/customXml" ds:itemID="{A21FC98E-49BA-4671-865B-D6281E90419F}"/>
</file>

<file path=customXml/itemProps3.xml><?xml version="1.0" encoding="utf-8"?>
<ds:datastoreItem xmlns:ds="http://schemas.openxmlformats.org/officeDocument/2006/customXml" ds:itemID="{A7383914-C0AE-40A2-953C-2BDDFA95CE4F}"/>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2018-11-21T23:22:00Z</dcterms:created>
  <dcterms:modified xsi:type="dcterms:W3CDTF">2018-11-21T23:22:00Z</dcterms:modified>
</cp:coreProperties>
</file>