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9F" w:rsidRPr="0088286D" w:rsidRDefault="003E7C9F" w:rsidP="003E7C9F">
      <w:pPr>
        <w:spacing w:after="120"/>
        <w:jc w:val="both"/>
        <w:rPr>
          <w:rFonts w:asciiTheme="minorHAnsi" w:hAnsiTheme="minorHAnsi"/>
          <w:b/>
          <w:bCs/>
          <w:sz w:val="20"/>
          <w:szCs w:val="20"/>
        </w:rPr>
      </w:pPr>
      <w:r w:rsidRPr="0088286D">
        <w:rPr>
          <w:rFonts w:asciiTheme="minorHAnsi" w:hAnsiTheme="minorHAnsi"/>
          <w:b/>
          <w:bCs/>
          <w:sz w:val="20"/>
          <w:szCs w:val="20"/>
        </w:rPr>
        <w:t>18/453</w:t>
      </w:r>
      <w:r>
        <w:rPr>
          <w:rFonts w:asciiTheme="minorHAnsi" w:hAnsiTheme="minorHAnsi"/>
          <w:b/>
          <w:bCs/>
          <w:sz w:val="20"/>
          <w:szCs w:val="20"/>
        </w:rPr>
        <w:t>:</w:t>
      </w:r>
      <w:r w:rsidRPr="0088286D">
        <w:rPr>
          <w:rFonts w:asciiTheme="minorHAnsi" w:hAnsiTheme="minorHAnsi"/>
          <w:b/>
          <w:bCs/>
          <w:sz w:val="20"/>
          <w:szCs w:val="20"/>
        </w:rPr>
        <w:t xml:space="preserve">  City Precinct Renewal Program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3E7C9F" w:rsidRPr="0088286D" w:rsidTr="00A54AF8">
        <w:trPr>
          <w:jc w:val="center"/>
        </w:trPr>
        <w:tc>
          <w:tcPr>
            <w:tcW w:w="9105" w:type="dxa"/>
          </w:tcPr>
          <w:p w:rsidR="003E7C9F" w:rsidRPr="0088286D" w:rsidRDefault="003E7C9F" w:rsidP="00A54AF8">
            <w:pPr>
              <w:spacing w:before="60" w:after="0"/>
              <w:jc w:val="both"/>
              <w:rPr>
                <w:rFonts w:asciiTheme="minorHAnsi" w:hAnsiTheme="minorHAnsi"/>
                <w:b/>
                <w:bCs/>
                <w:sz w:val="20"/>
                <w:szCs w:val="20"/>
              </w:rPr>
            </w:pPr>
            <w:r w:rsidRPr="0088286D">
              <w:rPr>
                <w:rFonts w:asciiTheme="minorHAnsi" w:hAnsiTheme="minorHAnsi"/>
                <w:b/>
                <w:bCs/>
                <w:sz w:val="20"/>
                <w:szCs w:val="20"/>
              </w:rPr>
              <w:t>Summary of Impacts</w:t>
            </w:r>
          </w:p>
        </w:tc>
      </w:tr>
      <w:tr w:rsidR="003E7C9F" w:rsidRPr="0088286D" w:rsidTr="00A54AF8">
        <w:trPr>
          <w:jc w:val="center"/>
        </w:trPr>
        <w:tc>
          <w:tcPr>
            <w:tcW w:w="9105" w:type="dxa"/>
          </w:tcPr>
          <w:p w:rsidR="003E7C9F" w:rsidRPr="00437EF5" w:rsidRDefault="003E7C9F" w:rsidP="00A54AF8">
            <w:pPr>
              <w:numPr>
                <w:ilvl w:val="0"/>
                <w:numId w:val="1"/>
              </w:numPr>
              <w:spacing w:after="0" w:line="240" w:lineRule="auto"/>
              <w:ind w:left="360"/>
              <w:rPr>
                <w:rFonts w:asciiTheme="minorHAnsi" w:hAnsiTheme="minorHAnsi"/>
                <w:sz w:val="20"/>
                <w:szCs w:val="20"/>
              </w:rPr>
            </w:pPr>
            <w:r w:rsidRPr="00437EF5">
              <w:rPr>
                <w:rFonts w:asciiTheme="minorHAnsi" w:hAnsiTheme="minorHAnsi"/>
                <w:sz w:val="20"/>
                <w:szCs w:val="20"/>
              </w:rPr>
              <w:t>The City Precinct Renewal Program provides a cohesive, co-ordinated program of delivery activities for the City Renewal Precinct. The Program is built on significant existing Precinct strategies and plans relevant to the Precinct, and distils these further into a detailed 30 year planning horizon.</w:t>
            </w:r>
          </w:p>
          <w:p w:rsidR="003E7C9F" w:rsidRPr="00437EF5" w:rsidRDefault="003E7C9F" w:rsidP="00A54AF8">
            <w:pPr>
              <w:numPr>
                <w:ilvl w:val="0"/>
                <w:numId w:val="1"/>
              </w:numPr>
              <w:spacing w:after="0" w:line="240" w:lineRule="auto"/>
              <w:ind w:left="360"/>
              <w:rPr>
                <w:rFonts w:asciiTheme="minorHAnsi" w:hAnsiTheme="minorHAnsi"/>
                <w:sz w:val="20"/>
                <w:szCs w:val="20"/>
              </w:rPr>
            </w:pPr>
            <w:r w:rsidRPr="00437EF5">
              <w:rPr>
                <w:rFonts w:asciiTheme="minorHAnsi" w:hAnsiTheme="minorHAnsi"/>
                <w:sz w:val="20"/>
                <w:szCs w:val="20"/>
              </w:rPr>
              <w:t>The Program will have a positive impact on Social, Economic and Environmental outcomes through its strategic alignment with the Government’s 2016 Statement of Ambition and the Minister for Planning and Land Management’s 2015 Statement of Planning Intent.</w:t>
            </w:r>
          </w:p>
          <w:p w:rsidR="003E7C9F" w:rsidRPr="0088286D" w:rsidRDefault="003E7C9F" w:rsidP="00A54AF8">
            <w:pPr>
              <w:numPr>
                <w:ilvl w:val="0"/>
                <w:numId w:val="1"/>
              </w:numPr>
              <w:spacing w:after="0" w:line="240" w:lineRule="auto"/>
              <w:ind w:left="360"/>
              <w:rPr>
                <w:rFonts w:asciiTheme="minorHAnsi" w:hAnsiTheme="minorHAnsi"/>
                <w:sz w:val="20"/>
                <w:szCs w:val="20"/>
              </w:rPr>
            </w:pPr>
            <w:r w:rsidRPr="0088286D">
              <w:rPr>
                <w:rFonts w:asciiTheme="minorHAnsi" w:hAnsiTheme="minorHAnsi"/>
                <w:sz w:val="20"/>
                <w:szCs w:val="20"/>
              </w:rPr>
              <w:t>The program sets very clear and achievable targets relating to population and job growth, social inclusion, and sustainability targets consistent with the interrelated All-of-Government strategies.</w:t>
            </w:r>
          </w:p>
        </w:tc>
      </w:tr>
    </w:tbl>
    <w:p w:rsidR="003E7C9F" w:rsidRPr="0088286D" w:rsidRDefault="003E7C9F" w:rsidP="003E7C9F">
      <w:pPr>
        <w:spacing w:after="120"/>
        <w:rPr>
          <w:rFonts w:asciiTheme="minorHAnsi" w:hAnsiTheme="minorHAnsi"/>
          <w:i/>
          <w:sz w:val="20"/>
          <w:szCs w:val="20"/>
        </w:rPr>
      </w:pPr>
      <w:r w:rsidRPr="0088286D">
        <w:rPr>
          <w:rFonts w:asciiTheme="minorHAnsi" w:hAnsiTheme="minorHAnsi"/>
          <w:i/>
          <w:sz w:val="20"/>
          <w:szCs w:val="20"/>
        </w:rPr>
        <w:t xml:space="preserve">Key to impacts: Red – negative, </w:t>
      </w:r>
      <w:proofErr w:type="gramStart"/>
      <w:r w:rsidRPr="0088286D">
        <w:rPr>
          <w:rFonts w:asciiTheme="minorHAnsi" w:hAnsiTheme="minorHAnsi"/>
          <w:i/>
          <w:sz w:val="20"/>
          <w:szCs w:val="20"/>
        </w:rPr>
        <w:t>Blue</w:t>
      </w:r>
      <w:proofErr w:type="gramEnd"/>
      <w:r w:rsidRPr="0088286D">
        <w:rPr>
          <w:rFonts w:asciiTheme="minorHAnsi" w:hAnsiTheme="minorHAnsi"/>
          <w:i/>
          <w:sz w:val="20"/>
          <w:szCs w:val="20"/>
        </w:rPr>
        <w:t xml:space="preserve"> </w:t>
      </w:r>
      <w:r>
        <w:rPr>
          <w:rFonts w:asciiTheme="minorHAnsi" w:hAnsiTheme="minorHAnsi"/>
          <w:i/>
          <w:sz w:val="20"/>
          <w:szCs w:val="20"/>
        </w:rPr>
        <w:t xml:space="preserve">- </w:t>
      </w:r>
      <w:r w:rsidRPr="0088286D">
        <w:rPr>
          <w:rFonts w:asciiTheme="minorHAnsi" w:hAnsiTheme="minorHAnsi"/>
          <w:i/>
          <w:sz w:val="20"/>
          <w:szCs w:val="20"/>
        </w:rPr>
        <w:t xml:space="preserve">neutral and Green </w:t>
      </w:r>
      <w:r>
        <w:rPr>
          <w:rFonts w:asciiTheme="minorHAnsi" w:hAnsiTheme="minorHAnsi"/>
          <w:i/>
          <w:sz w:val="20"/>
          <w:szCs w:val="20"/>
        </w:rPr>
        <w:t>- p</w:t>
      </w:r>
      <w:r w:rsidRPr="0088286D">
        <w:rPr>
          <w:rFonts w:asciiTheme="minorHAnsi" w:hAnsiTheme="minorHAnsi"/>
          <w:i/>
          <w:sz w:val="20"/>
          <w:szCs w:val="20"/>
        </w:rPr>
        <w:t>ositive.</w:t>
      </w:r>
    </w:p>
    <w:p w:rsidR="003E7C9F" w:rsidRPr="0088286D" w:rsidRDefault="003E7C9F" w:rsidP="003E7C9F">
      <w:pPr>
        <w:spacing w:after="0"/>
        <w:jc w:val="both"/>
        <w:rPr>
          <w:rFonts w:asciiTheme="minorHAnsi" w:hAnsiTheme="minorHAnsi"/>
          <w:b/>
          <w:bCs/>
          <w:sz w:val="20"/>
          <w:szCs w:val="20"/>
        </w:rPr>
      </w:pPr>
      <w:r w:rsidRPr="0088286D">
        <w:rPr>
          <w:rFonts w:asciiTheme="minorHAnsi" w:hAnsiTheme="minorHAnsi"/>
          <w:b/>
          <w:bCs/>
          <w:sz w:val="20"/>
          <w:szCs w:val="2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1"/>
        <w:gridCol w:w="7515"/>
      </w:tblGrid>
      <w:tr w:rsidR="003E7C9F" w:rsidRPr="0088286D" w:rsidTr="00A54AF8">
        <w:trPr>
          <w:jc w:val="center"/>
        </w:trPr>
        <w:tc>
          <w:tcPr>
            <w:tcW w:w="1526" w:type="dxa"/>
            <w:shd w:val="clear" w:color="auto" w:fill="92D050"/>
          </w:tcPr>
          <w:p w:rsidR="003E7C9F" w:rsidRPr="0088286D" w:rsidRDefault="003E7C9F" w:rsidP="00A54AF8">
            <w:pPr>
              <w:rPr>
                <w:rFonts w:asciiTheme="minorHAnsi" w:hAnsiTheme="minorHAnsi"/>
                <w:sz w:val="20"/>
                <w:szCs w:val="20"/>
              </w:rPr>
            </w:pPr>
            <w:r w:rsidRPr="0088286D">
              <w:rPr>
                <w:rFonts w:asciiTheme="minorHAnsi" w:hAnsiTheme="minorHAnsi"/>
                <w:b/>
                <w:bCs/>
                <w:sz w:val="20"/>
                <w:szCs w:val="20"/>
              </w:rPr>
              <w:t>Justice and rights</w:t>
            </w:r>
          </w:p>
        </w:tc>
        <w:tc>
          <w:tcPr>
            <w:tcW w:w="7716" w:type="dxa"/>
          </w:tcPr>
          <w:p w:rsidR="003E7C9F" w:rsidRPr="0088286D" w:rsidRDefault="003E7C9F" w:rsidP="00A54AF8">
            <w:pPr>
              <w:numPr>
                <w:ilvl w:val="0"/>
                <w:numId w:val="1"/>
              </w:numPr>
              <w:spacing w:after="0" w:line="240" w:lineRule="auto"/>
              <w:ind w:left="360"/>
              <w:rPr>
                <w:rFonts w:asciiTheme="minorHAnsi" w:hAnsiTheme="minorHAnsi"/>
                <w:sz w:val="20"/>
                <w:szCs w:val="20"/>
              </w:rPr>
            </w:pPr>
            <w:r w:rsidRPr="0088286D">
              <w:rPr>
                <w:rFonts w:asciiTheme="minorHAnsi" w:hAnsiTheme="minorHAnsi"/>
                <w:sz w:val="20"/>
                <w:szCs w:val="20"/>
              </w:rPr>
              <w:t xml:space="preserve">The Program sets targets for social sustainability including dwelling mix, affordable housing, and inclusive and accessible facilities. </w:t>
            </w:r>
          </w:p>
        </w:tc>
      </w:tr>
    </w:tbl>
    <w:p w:rsidR="003E7C9F" w:rsidRPr="0088286D" w:rsidRDefault="003E7C9F" w:rsidP="003E7C9F">
      <w:pPr>
        <w:spacing w:before="120" w:after="0"/>
        <w:jc w:val="both"/>
        <w:rPr>
          <w:rFonts w:asciiTheme="minorHAnsi" w:hAnsiTheme="minorHAnsi"/>
          <w:b/>
          <w:bCs/>
          <w:sz w:val="20"/>
          <w:szCs w:val="20"/>
        </w:rPr>
      </w:pPr>
      <w:r w:rsidRPr="0088286D">
        <w:rPr>
          <w:rFonts w:asciiTheme="minorHAnsi" w:hAnsiTheme="minorHAnsi"/>
          <w:b/>
          <w:bCs/>
          <w:sz w:val="20"/>
          <w:szCs w:val="2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6"/>
        <w:gridCol w:w="7500"/>
      </w:tblGrid>
      <w:tr w:rsidR="003E7C9F" w:rsidRPr="0088286D" w:rsidTr="00A54AF8">
        <w:trPr>
          <w:jc w:val="center"/>
        </w:trPr>
        <w:tc>
          <w:tcPr>
            <w:tcW w:w="1526" w:type="dxa"/>
            <w:shd w:val="clear" w:color="auto" w:fill="FF0000"/>
          </w:tcPr>
          <w:p w:rsidR="003E7C9F" w:rsidRPr="0088286D" w:rsidRDefault="003E7C9F" w:rsidP="00A54AF8">
            <w:pPr>
              <w:rPr>
                <w:rFonts w:asciiTheme="minorHAnsi" w:hAnsiTheme="minorHAnsi"/>
                <w:sz w:val="20"/>
                <w:szCs w:val="20"/>
              </w:rPr>
            </w:pPr>
            <w:r w:rsidRPr="0088286D">
              <w:rPr>
                <w:rFonts w:asciiTheme="minorHAnsi" w:hAnsiTheme="minorHAnsi"/>
                <w:b/>
                <w:bCs/>
                <w:sz w:val="20"/>
                <w:szCs w:val="20"/>
              </w:rPr>
              <w:t>ACT Government Budget</w:t>
            </w:r>
          </w:p>
        </w:tc>
        <w:tc>
          <w:tcPr>
            <w:tcW w:w="7716" w:type="dxa"/>
          </w:tcPr>
          <w:p w:rsidR="003E7C9F" w:rsidRPr="0088286D" w:rsidRDefault="003E7C9F" w:rsidP="00A54AF8">
            <w:pPr>
              <w:numPr>
                <w:ilvl w:val="0"/>
                <w:numId w:val="1"/>
              </w:numPr>
              <w:spacing w:after="0" w:line="240" w:lineRule="auto"/>
              <w:ind w:left="360"/>
              <w:rPr>
                <w:rFonts w:asciiTheme="minorHAnsi" w:hAnsiTheme="minorHAnsi"/>
                <w:sz w:val="20"/>
                <w:szCs w:val="20"/>
              </w:rPr>
            </w:pPr>
            <w:r w:rsidRPr="0088286D">
              <w:rPr>
                <w:rFonts w:asciiTheme="minorHAnsi" w:hAnsiTheme="minorHAnsi"/>
                <w:sz w:val="20"/>
                <w:szCs w:val="20"/>
              </w:rPr>
              <w:t>The submission has no budget impacts</w:t>
            </w:r>
            <w:r>
              <w:rPr>
                <w:rFonts w:asciiTheme="minorHAnsi" w:hAnsiTheme="minorHAnsi"/>
                <w:sz w:val="20"/>
                <w:szCs w:val="20"/>
              </w:rPr>
              <w:t>.</w:t>
            </w:r>
          </w:p>
          <w:p w:rsidR="003E7C9F" w:rsidRPr="0088286D" w:rsidRDefault="003E7C9F" w:rsidP="00A54AF8">
            <w:pPr>
              <w:numPr>
                <w:ilvl w:val="0"/>
                <w:numId w:val="1"/>
              </w:numPr>
              <w:spacing w:after="0" w:line="240" w:lineRule="auto"/>
              <w:ind w:left="317" w:hanging="317"/>
              <w:rPr>
                <w:rFonts w:asciiTheme="minorHAnsi" w:hAnsiTheme="minorHAnsi"/>
                <w:sz w:val="20"/>
                <w:szCs w:val="20"/>
              </w:rPr>
            </w:pPr>
            <w:r w:rsidRPr="0088286D">
              <w:rPr>
                <w:rFonts w:asciiTheme="minorHAnsi" w:hAnsiTheme="minorHAnsi"/>
                <w:sz w:val="20"/>
                <w:szCs w:val="20"/>
              </w:rPr>
              <w:t>The funding required to deliver on the program will be brought forward on a case-by-case basis as part of the regular ACT Budget funding cycle.</w:t>
            </w:r>
          </w:p>
        </w:tc>
      </w:tr>
      <w:tr w:rsidR="003E7C9F" w:rsidRPr="0088286D" w:rsidTr="00A54AF8">
        <w:trPr>
          <w:jc w:val="center"/>
        </w:trPr>
        <w:tc>
          <w:tcPr>
            <w:tcW w:w="1526" w:type="dxa"/>
            <w:shd w:val="clear" w:color="auto" w:fill="92D050"/>
          </w:tcPr>
          <w:p w:rsidR="003E7C9F" w:rsidRPr="0088286D" w:rsidRDefault="003E7C9F" w:rsidP="00A54AF8">
            <w:pPr>
              <w:rPr>
                <w:rFonts w:asciiTheme="minorHAnsi" w:hAnsiTheme="minorHAnsi"/>
                <w:b/>
                <w:bCs/>
                <w:sz w:val="20"/>
                <w:szCs w:val="20"/>
              </w:rPr>
            </w:pPr>
            <w:r>
              <w:rPr>
                <w:rFonts w:asciiTheme="minorHAnsi" w:hAnsiTheme="minorHAnsi"/>
                <w:b/>
                <w:bCs/>
                <w:sz w:val="20"/>
                <w:szCs w:val="20"/>
              </w:rPr>
              <w:t>Productivity</w:t>
            </w:r>
          </w:p>
        </w:tc>
        <w:tc>
          <w:tcPr>
            <w:tcW w:w="7716" w:type="dxa"/>
          </w:tcPr>
          <w:p w:rsidR="003E7C9F" w:rsidRPr="0088286D" w:rsidRDefault="003E7C9F" w:rsidP="00A54AF8">
            <w:pPr>
              <w:numPr>
                <w:ilvl w:val="0"/>
                <w:numId w:val="1"/>
              </w:numPr>
              <w:spacing w:after="0" w:line="240" w:lineRule="auto"/>
              <w:ind w:left="360"/>
              <w:rPr>
                <w:rFonts w:asciiTheme="minorHAnsi" w:hAnsiTheme="minorHAnsi"/>
                <w:sz w:val="20"/>
                <w:szCs w:val="20"/>
              </w:rPr>
            </w:pPr>
            <w:r w:rsidRPr="0088286D">
              <w:rPr>
                <w:rFonts w:asciiTheme="minorHAnsi" w:hAnsiTheme="minorHAnsi"/>
                <w:sz w:val="20"/>
                <w:szCs w:val="20"/>
              </w:rPr>
              <w:t>The renewal and new development activities and frameworks within the program will transform current unproductive places and spaces into vibrant hubs of activity and commerce.</w:t>
            </w:r>
          </w:p>
        </w:tc>
      </w:tr>
      <w:tr w:rsidR="003E7C9F" w:rsidRPr="0088286D" w:rsidTr="00A54AF8">
        <w:trPr>
          <w:jc w:val="center"/>
        </w:trPr>
        <w:tc>
          <w:tcPr>
            <w:tcW w:w="1526" w:type="dxa"/>
            <w:shd w:val="clear" w:color="auto" w:fill="92D050"/>
          </w:tcPr>
          <w:p w:rsidR="003E7C9F" w:rsidRDefault="003E7C9F" w:rsidP="00A54AF8">
            <w:pPr>
              <w:rPr>
                <w:rFonts w:asciiTheme="minorHAnsi" w:hAnsiTheme="minorHAnsi"/>
                <w:b/>
                <w:bCs/>
                <w:sz w:val="20"/>
                <w:szCs w:val="20"/>
              </w:rPr>
            </w:pPr>
            <w:r>
              <w:rPr>
                <w:rFonts w:asciiTheme="minorHAnsi" w:hAnsiTheme="minorHAnsi"/>
                <w:b/>
                <w:bCs/>
                <w:sz w:val="20"/>
                <w:szCs w:val="20"/>
              </w:rPr>
              <w:t>Investment</w:t>
            </w:r>
          </w:p>
        </w:tc>
        <w:tc>
          <w:tcPr>
            <w:tcW w:w="7716" w:type="dxa"/>
          </w:tcPr>
          <w:p w:rsidR="003E7C9F" w:rsidRPr="0088286D" w:rsidRDefault="003E7C9F" w:rsidP="00A54AF8">
            <w:pPr>
              <w:numPr>
                <w:ilvl w:val="0"/>
                <w:numId w:val="1"/>
              </w:numPr>
              <w:spacing w:after="0" w:line="240" w:lineRule="auto"/>
              <w:ind w:left="360"/>
              <w:rPr>
                <w:rFonts w:asciiTheme="minorHAnsi" w:hAnsiTheme="minorHAnsi"/>
                <w:sz w:val="20"/>
                <w:szCs w:val="20"/>
              </w:rPr>
            </w:pPr>
            <w:r w:rsidRPr="0088286D">
              <w:rPr>
                <w:rFonts w:asciiTheme="minorHAnsi" w:hAnsiTheme="minorHAnsi"/>
                <w:sz w:val="20"/>
                <w:szCs w:val="20"/>
              </w:rPr>
              <w:t>The transformation of the renewal precinct in-line with the program will attract both national and international investment</w:t>
            </w:r>
            <w:r>
              <w:rPr>
                <w:rFonts w:asciiTheme="minorHAnsi" w:hAnsiTheme="minorHAnsi"/>
                <w:sz w:val="20"/>
                <w:szCs w:val="20"/>
              </w:rPr>
              <w:t>.</w:t>
            </w:r>
          </w:p>
        </w:tc>
      </w:tr>
      <w:tr w:rsidR="003E7C9F" w:rsidRPr="0088286D" w:rsidTr="00A54AF8">
        <w:trPr>
          <w:jc w:val="center"/>
        </w:trPr>
        <w:tc>
          <w:tcPr>
            <w:tcW w:w="1526" w:type="dxa"/>
            <w:shd w:val="clear" w:color="auto" w:fill="92D050"/>
          </w:tcPr>
          <w:p w:rsidR="003E7C9F" w:rsidRDefault="003E7C9F" w:rsidP="00A54AF8">
            <w:pPr>
              <w:rPr>
                <w:rFonts w:asciiTheme="minorHAnsi" w:hAnsiTheme="minorHAnsi"/>
                <w:b/>
                <w:bCs/>
                <w:sz w:val="20"/>
                <w:szCs w:val="20"/>
              </w:rPr>
            </w:pPr>
            <w:r>
              <w:rPr>
                <w:rFonts w:asciiTheme="minorHAnsi" w:hAnsiTheme="minorHAnsi"/>
                <w:b/>
                <w:bCs/>
                <w:sz w:val="20"/>
                <w:szCs w:val="20"/>
              </w:rPr>
              <w:t>Competition</w:t>
            </w:r>
          </w:p>
        </w:tc>
        <w:tc>
          <w:tcPr>
            <w:tcW w:w="7716" w:type="dxa"/>
          </w:tcPr>
          <w:p w:rsidR="003E7C9F" w:rsidRPr="0088286D" w:rsidRDefault="003E7C9F" w:rsidP="00A54AF8">
            <w:pPr>
              <w:numPr>
                <w:ilvl w:val="0"/>
                <w:numId w:val="1"/>
              </w:numPr>
              <w:spacing w:after="0" w:line="240" w:lineRule="auto"/>
              <w:ind w:left="360"/>
              <w:rPr>
                <w:rFonts w:asciiTheme="minorHAnsi" w:hAnsiTheme="minorHAnsi"/>
                <w:sz w:val="20"/>
                <w:szCs w:val="20"/>
              </w:rPr>
            </w:pPr>
            <w:r w:rsidRPr="0088286D">
              <w:rPr>
                <w:rFonts w:asciiTheme="minorHAnsi" w:hAnsiTheme="minorHAnsi"/>
                <w:sz w:val="20"/>
                <w:szCs w:val="20"/>
              </w:rPr>
              <w:t>Successfully achieving the vision outlined within the program will boost the ACT’s competitiveness in attracting population and employment both nationally and internationally</w:t>
            </w:r>
          </w:p>
        </w:tc>
      </w:tr>
    </w:tbl>
    <w:p w:rsidR="003E7C9F" w:rsidRPr="0088286D" w:rsidRDefault="003E7C9F" w:rsidP="003E7C9F">
      <w:pPr>
        <w:spacing w:before="120" w:after="0"/>
        <w:jc w:val="both"/>
        <w:rPr>
          <w:rFonts w:asciiTheme="minorHAnsi" w:hAnsiTheme="minorHAnsi"/>
          <w:b/>
          <w:bCs/>
          <w:sz w:val="20"/>
          <w:szCs w:val="20"/>
        </w:rPr>
      </w:pPr>
      <w:r w:rsidRPr="0088286D">
        <w:rPr>
          <w:rFonts w:asciiTheme="minorHAnsi" w:hAnsiTheme="minorHAnsi"/>
          <w:b/>
          <w:bCs/>
          <w:sz w:val="20"/>
          <w:szCs w:val="2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1"/>
        <w:gridCol w:w="7515"/>
      </w:tblGrid>
      <w:tr w:rsidR="003E7C9F" w:rsidRPr="0088286D" w:rsidTr="00A54AF8">
        <w:trPr>
          <w:jc w:val="center"/>
        </w:trPr>
        <w:tc>
          <w:tcPr>
            <w:tcW w:w="1526" w:type="dxa"/>
            <w:shd w:val="clear" w:color="auto" w:fill="92D050"/>
          </w:tcPr>
          <w:p w:rsidR="003E7C9F" w:rsidRPr="0088286D" w:rsidRDefault="003E7C9F" w:rsidP="00A54AF8">
            <w:pPr>
              <w:jc w:val="both"/>
              <w:rPr>
                <w:rFonts w:asciiTheme="minorHAnsi" w:hAnsiTheme="minorHAnsi"/>
                <w:sz w:val="20"/>
                <w:szCs w:val="20"/>
              </w:rPr>
            </w:pPr>
            <w:r w:rsidRPr="0088286D">
              <w:rPr>
                <w:rFonts w:asciiTheme="minorHAnsi" w:hAnsiTheme="minorHAnsi"/>
                <w:b/>
                <w:bCs/>
                <w:sz w:val="20"/>
                <w:szCs w:val="20"/>
              </w:rPr>
              <w:t>Energy</w:t>
            </w:r>
          </w:p>
        </w:tc>
        <w:tc>
          <w:tcPr>
            <w:tcW w:w="7716" w:type="dxa"/>
          </w:tcPr>
          <w:p w:rsidR="003E7C9F" w:rsidRPr="0088286D" w:rsidRDefault="003E7C9F" w:rsidP="00A54AF8">
            <w:pPr>
              <w:numPr>
                <w:ilvl w:val="0"/>
                <w:numId w:val="1"/>
              </w:numPr>
              <w:spacing w:after="0" w:line="240" w:lineRule="auto"/>
              <w:ind w:left="360"/>
              <w:rPr>
                <w:rFonts w:asciiTheme="minorHAnsi" w:hAnsiTheme="minorHAnsi"/>
                <w:sz w:val="20"/>
                <w:szCs w:val="20"/>
              </w:rPr>
            </w:pPr>
            <w:r w:rsidRPr="0088286D">
              <w:rPr>
                <w:rFonts w:asciiTheme="minorHAnsi" w:hAnsiTheme="minorHAnsi"/>
                <w:sz w:val="20"/>
                <w:szCs w:val="20"/>
              </w:rPr>
              <w:t>The Program is consistent with the Government’s environmental policy frameworks and objectives as they relate to Climate Change, Energy and Active Travel. The accompanying CRA Sustainability Strategy sets a number of Precinct specific environmental targets over the next 30 years.</w:t>
            </w:r>
          </w:p>
        </w:tc>
      </w:tr>
    </w:tbl>
    <w:p w:rsidR="00EC4C52" w:rsidRDefault="00EC4C52">
      <w:bookmarkStart w:id="0" w:name="_GoBack"/>
      <w:bookmarkEnd w:id="0"/>
    </w:p>
    <w:sectPr w:rsidR="00EC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21"/>
    <w:rsid w:val="003E7C9F"/>
    <w:rsid w:val="0047703A"/>
    <w:rsid w:val="00D14721"/>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CB137-7A87-4399-8D5D-A6551F87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3A"/>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C0E81-E4F3-4768-AE90-164B6FFB411F}"/>
</file>

<file path=customXml/itemProps2.xml><?xml version="1.0" encoding="utf-8"?>
<ds:datastoreItem xmlns:ds="http://schemas.openxmlformats.org/officeDocument/2006/customXml" ds:itemID="{636E3A09-6589-4FCB-9053-EFAD038F10EA}"/>
</file>

<file path=customXml/itemProps3.xml><?xml version="1.0" encoding="utf-8"?>
<ds:datastoreItem xmlns:ds="http://schemas.openxmlformats.org/officeDocument/2006/customXml" ds:itemID="{F342910F-2BE1-4B99-A88F-F60EE5F0449D}"/>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ACT Government</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2018-12-13T22:56:00Z</dcterms:created>
  <dcterms:modified xsi:type="dcterms:W3CDTF">2018-12-19T01:24:00Z</dcterms:modified>
</cp:coreProperties>
</file>