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44C60" w14:textId="77777777" w:rsidR="00E07191" w:rsidRPr="000509B7" w:rsidRDefault="00E07191" w:rsidP="00E07191">
      <w:pPr>
        <w:spacing w:before="200" w:line="240" w:lineRule="auto"/>
        <w:rPr>
          <w:rFonts w:asciiTheme="minorHAnsi" w:hAnsiTheme="minorHAnsi"/>
          <w:b/>
          <w:bCs/>
        </w:rPr>
      </w:pPr>
      <w:r w:rsidRPr="000509B7">
        <w:rPr>
          <w:rFonts w:asciiTheme="minorHAnsi" w:hAnsiTheme="minorHAnsi"/>
          <w:b/>
          <w:bCs/>
        </w:rPr>
        <w:t>Directorate:</w:t>
      </w:r>
      <w:r w:rsidRPr="000509B7">
        <w:rPr>
          <w:rFonts w:asciiTheme="minorHAnsi" w:hAnsiTheme="minorHAnsi"/>
          <w:b/>
          <w:bCs/>
        </w:rPr>
        <w:tab/>
        <w:t xml:space="preserve">Chief Minister, Treasury and Economic Development </w:t>
      </w:r>
    </w:p>
    <w:p w14:paraId="56B2A683" w14:textId="77777777" w:rsidR="00E07191" w:rsidRPr="000509B7" w:rsidRDefault="00E07191" w:rsidP="00E07191">
      <w:pPr>
        <w:spacing w:before="200" w:line="240" w:lineRule="auto"/>
        <w:rPr>
          <w:rFonts w:asciiTheme="minorHAnsi" w:hAnsiTheme="minorHAnsi"/>
          <w:b/>
          <w:bCs/>
        </w:rPr>
      </w:pPr>
      <w:bookmarkStart w:id="0" w:name="_GoBack"/>
      <w:r w:rsidRPr="000509B7">
        <w:rPr>
          <w:rFonts w:asciiTheme="minorHAnsi" w:hAnsiTheme="minorHAnsi"/>
          <w:b/>
          <w:bCs/>
        </w:rPr>
        <w:t>17/551</w:t>
      </w:r>
      <w:r>
        <w:rPr>
          <w:rFonts w:asciiTheme="minorHAnsi" w:hAnsiTheme="minorHAnsi"/>
          <w:b/>
          <w:bCs/>
        </w:rPr>
        <w:t xml:space="preserve"> -</w:t>
      </w:r>
      <w:r w:rsidRPr="000509B7">
        <w:rPr>
          <w:rFonts w:asciiTheme="minorHAnsi" w:hAnsiTheme="minorHAnsi"/>
          <w:b/>
          <w:bCs/>
        </w:rPr>
        <w:t xml:space="preserve"> National Partnership on the Skilling Australians Fund </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9038"/>
      </w:tblGrid>
      <w:tr w:rsidR="00E07191" w:rsidRPr="00966EB9" w14:paraId="197FACD1" w14:textId="77777777" w:rsidTr="003B6A8A">
        <w:trPr>
          <w:jc w:val="center"/>
        </w:trPr>
        <w:tc>
          <w:tcPr>
            <w:tcW w:w="9105" w:type="dxa"/>
          </w:tcPr>
          <w:bookmarkEnd w:id="0"/>
          <w:p w14:paraId="1EAACCCE" w14:textId="77777777" w:rsidR="00E07191" w:rsidRPr="000509B7" w:rsidRDefault="00E07191" w:rsidP="003B6A8A">
            <w:pPr>
              <w:spacing w:before="60" w:after="60" w:line="240" w:lineRule="auto"/>
              <w:rPr>
                <w:rFonts w:asciiTheme="minorHAnsi" w:hAnsiTheme="minorHAnsi"/>
                <w:b/>
                <w:bCs/>
              </w:rPr>
            </w:pPr>
            <w:r w:rsidRPr="000509B7">
              <w:rPr>
                <w:rFonts w:asciiTheme="minorHAnsi" w:hAnsiTheme="minorHAnsi"/>
                <w:b/>
                <w:bCs/>
              </w:rPr>
              <w:t>Summary of Impacts</w:t>
            </w:r>
          </w:p>
        </w:tc>
      </w:tr>
      <w:tr w:rsidR="00E07191" w:rsidRPr="00966EB9" w14:paraId="1EF533E0" w14:textId="77777777" w:rsidTr="003B6A8A">
        <w:trPr>
          <w:jc w:val="center"/>
        </w:trPr>
        <w:tc>
          <w:tcPr>
            <w:tcW w:w="9105" w:type="dxa"/>
          </w:tcPr>
          <w:p w14:paraId="52158752" w14:textId="77777777" w:rsidR="00E07191" w:rsidRPr="00966EB9" w:rsidRDefault="00E07191" w:rsidP="003B6A8A">
            <w:pPr>
              <w:numPr>
                <w:ilvl w:val="0"/>
                <w:numId w:val="2"/>
              </w:numPr>
              <w:spacing w:before="60" w:after="60" w:line="240" w:lineRule="auto"/>
              <w:ind w:left="360"/>
              <w:rPr>
                <w:rFonts w:asciiTheme="minorHAnsi" w:hAnsiTheme="minorHAnsi"/>
              </w:rPr>
            </w:pPr>
            <w:r w:rsidRPr="00966EB9">
              <w:rPr>
                <w:rFonts w:asciiTheme="minorHAnsi" w:hAnsiTheme="minorHAnsi"/>
              </w:rPr>
              <w:t xml:space="preserve">The Skilling Australians Fund may have a range of economic and social impacts on the ACT. </w:t>
            </w:r>
          </w:p>
        </w:tc>
      </w:tr>
    </w:tbl>
    <w:p w14:paraId="3FD3DF1C" w14:textId="77777777" w:rsidR="00E07191" w:rsidRPr="00966EB9" w:rsidRDefault="00E07191" w:rsidP="00E07191">
      <w:pPr>
        <w:spacing w:after="120" w:line="240" w:lineRule="auto"/>
        <w:rPr>
          <w:rFonts w:asciiTheme="minorHAnsi" w:hAnsiTheme="minorHAnsi"/>
          <w:i/>
        </w:rPr>
      </w:pPr>
      <w:r w:rsidRPr="00966EB9">
        <w:rPr>
          <w:rFonts w:asciiTheme="minorHAnsi" w:hAnsiTheme="minorHAnsi"/>
          <w:i/>
        </w:rPr>
        <w:t xml:space="preserve">Key to impacts: Red – negative, </w:t>
      </w:r>
      <w:r w:rsidRPr="00966EB9">
        <w:rPr>
          <w:rFonts w:asciiTheme="minorHAnsi" w:hAnsiTheme="minorHAnsi"/>
          <w:i/>
          <w:color w:val="000000" w:themeColor="text1"/>
        </w:rPr>
        <w:t xml:space="preserve">Blue – neutral </w:t>
      </w:r>
      <w:r w:rsidRPr="00966EB9">
        <w:rPr>
          <w:rFonts w:asciiTheme="minorHAnsi" w:hAnsiTheme="minorHAnsi"/>
          <w:i/>
        </w:rPr>
        <w:t>and Green Positive.</w:t>
      </w:r>
    </w:p>
    <w:p w14:paraId="3E22FAA1" w14:textId="77777777" w:rsidR="00E07191" w:rsidRPr="000509B7" w:rsidRDefault="00E07191" w:rsidP="00E07191">
      <w:pPr>
        <w:spacing w:before="120" w:after="120" w:line="240" w:lineRule="auto"/>
        <w:rPr>
          <w:rFonts w:asciiTheme="minorHAnsi" w:hAnsiTheme="minorHAnsi"/>
          <w:b/>
          <w:bCs/>
        </w:rPr>
      </w:pPr>
      <w:r w:rsidRPr="000509B7">
        <w:rPr>
          <w:rFonts w:asciiTheme="minorHAnsi" w:hAnsiTheme="minorHAnsi"/>
          <w:b/>
          <w:bCs/>
        </w:rPr>
        <w:t>Economic</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519"/>
        <w:gridCol w:w="7519"/>
      </w:tblGrid>
      <w:tr w:rsidR="00E07191" w:rsidRPr="00966EB9" w14:paraId="72FAA781" w14:textId="77777777" w:rsidTr="003B6A8A">
        <w:trPr>
          <w:jc w:val="center"/>
        </w:trPr>
        <w:tc>
          <w:tcPr>
            <w:tcW w:w="1526" w:type="dxa"/>
            <w:shd w:val="clear" w:color="auto" w:fill="00B0F0"/>
          </w:tcPr>
          <w:p w14:paraId="5EF5DAF0" w14:textId="77777777" w:rsidR="00E07191" w:rsidRPr="000509B7" w:rsidRDefault="00E07191" w:rsidP="003B6A8A">
            <w:pPr>
              <w:spacing w:before="60" w:after="60" w:line="240" w:lineRule="auto"/>
              <w:rPr>
                <w:rFonts w:asciiTheme="minorHAnsi" w:hAnsiTheme="minorHAnsi"/>
              </w:rPr>
            </w:pPr>
            <w:r w:rsidRPr="000509B7">
              <w:rPr>
                <w:rFonts w:asciiTheme="minorHAnsi" w:hAnsiTheme="minorHAnsi"/>
                <w:b/>
                <w:bCs/>
              </w:rPr>
              <w:t>ACT Government Budget</w:t>
            </w:r>
          </w:p>
        </w:tc>
        <w:tc>
          <w:tcPr>
            <w:tcW w:w="7716" w:type="dxa"/>
          </w:tcPr>
          <w:p w14:paraId="18DD0AF9" w14:textId="77777777" w:rsidR="00E07191" w:rsidRPr="000509B7" w:rsidRDefault="00E07191"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Through negotiations with the Federal Government, ACT officials will seek to minimise the ACT’s financial exposure. The release of Federal Government funds from the Skilling Australian Fund will require an ACT Government co-contribution. The decision to release funds will be subject to Cabinet consideration. </w:t>
            </w:r>
          </w:p>
        </w:tc>
      </w:tr>
      <w:tr w:rsidR="00E07191" w:rsidRPr="00966EB9" w14:paraId="23F7A566" w14:textId="77777777" w:rsidTr="003B6A8A">
        <w:trPr>
          <w:jc w:val="center"/>
        </w:trPr>
        <w:tc>
          <w:tcPr>
            <w:tcW w:w="1526" w:type="dxa"/>
            <w:shd w:val="clear" w:color="auto" w:fill="92D050"/>
          </w:tcPr>
          <w:p w14:paraId="14F8F0C8" w14:textId="77777777" w:rsidR="00E07191" w:rsidRPr="00966EB9" w:rsidRDefault="00E07191" w:rsidP="003B6A8A">
            <w:pPr>
              <w:spacing w:before="60" w:after="60" w:line="240" w:lineRule="auto"/>
              <w:rPr>
                <w:rFonts w:asciiTheme="minorHAnsi" w:hAnsiTheme="minorHAnsi"/>
                <w:b/>
                <w:bCs/>
              </w:rPr>
            </w:pPr>
            <w:r w:rsidRPr="00966EB9">
              <w:rPr>
                <w:rFonts w:asciiTheme="minorHAnsi" w:hAnsiTheme="minorHAnsi"/>
                <w:b/>
                <w:bCs/>
              </w:rPr>
              <w:t>Productivity and innovation</w:t>
            </w:r>
          </w:p>
        </w:tc>
        <w:tc>
          <w:tcPr>
            <w:tcW w:w="7716" w:type="dxa"/>
            <w:shd w:val="clear" w:color="auto" w:fill="auto"/>
          </w:tcPr>
          <w:p w14:paraId="2D39F84E" w14:textId="77777777" w:rsidR="00E07191" w:rsidRPr="000509B7" w:rsidRDefault="00E07191" w:rsidP="003B6A8A">
            <w:pPr>
              <w:numPr>
                <w:ilvl w:val="0"/>
                <w:numId w:val="2"/>
              </w:numPr>
              <w:spacing w:before="60" w:after="60" w:line="240" w:lineRule="auto"/>
              <w:ind w:left="360"/>
              <w:rPr>
                <w:rFonts w:asciiTheme="minorHAnsi" w:hAnsiTheme="minorHAnsi"/>
              </w:rPr>
            </w:pPr>
            <w:r w:rsidRPr="000509B7">
              <w:rPr>
                <w:rFonts w:asciiTheme="minorHAnsi" w:hAnsiTheme="minorHAnsi"/>
              </w:rPr>
              <w:t>Increased investment in vocational education and training to meet industry needs would support the ACT labour market to fill positions in established and emerging industries.</w:t>
            </w:r>
          </w:p>
        </w:tc>
      </w:tr>
      <w:tr w:rsidR="00E07191" w:rsidRPr="00966EB9" w14:paraId="559F0732" w14:textId="77777777" w:rsidTr="003B6A8A">
        <w:trPr>
          <w:jc w:val="center"/>
        </w:trPr>
        <w:tc>
          <w:tcPr>
            <w:tcW w:w="1526" w:type="dxa"/>
            <w:shd w:val="clear" w:color="auto" w:fill="92D050"/>
          </w:tcPr>
          <w:p w14:paraId="6E910475" w14:textId="77777777" w:rsidR="00E07191" w:rsidRPr="00966EB9" w:rsidRDefault="00E07191" w:rsidP="003B6A8A">
            <w:pPr>
              <w:spacing w:before="60" w:after="60" w:line="240" w:lineRule="auto"/>
              <w:rPr>
                <w:rFonts w:asciiTheme="minorHAnsi" w:hAnsiTheme="minorHAnsi"/>
                <w:b/>
                <w:bCs/>
              </w:rPr>
            </w:pPr>
            <w:r w:rsidRPr="00966EB9">
              <w:rPr>
                <w:rFonts w:asciiTheme="minorHAnsi" w:hAnsiTheme="minorHAnsi"/>
                <w:b/>
                <w:bCs/>
              </w:rPr>
              <w:t>Employment</w:t>
            </w:r>
          </w:p>
        </w:tc>
        <w:tc>
          <w:tcPr>
            <w:tcW w:w="7716" w:type="dxa"/>
            <w:shd w:val="clear" w:color="auto" w:fill="auto"/>
          </w:tcPr>
          <w:p w14:paraId="4C64E481" w14:textId="77777777" w:rsidR="00E07191" w:rsidRPr="000509B7" w:rsidRDefault="00E07191"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The primary objective of the </w:t>
            </w:r>
            <w:r w:rsidRPr="000509B7">
              <w:rPr>
                <w:rFonts w:asciiTheme="minorHAnsi" w:hAnsiTheme="minorHAnsi"/>
                <w:i/>
              </w:rPr>
              <w:t xml:space="preserve">National Partnership on the Skilling Australians Fund </w:t>
            </w:r>
            <w:r w:rsidRPr="000509B7">
              <w:rPr>
                <w:rFonts w:asciiTheme="minorHAnsi" w:hAnsiTheme="minorHAnsi"/>
              </w:rPr>
              <w:t>(SAF NP) is to increase the number of apprenticeship and traineeship commencements. It is expected that an increase in labour force skills will result in an increase in employment opportunities for Canberrans. A skilled labour force is also likely to attract businesses and industries to the Territory.</w:t>
            </w:r>
          </w:p>
        </w:tc>
      </w:tr>
      <w:tr w:rsidR="00E07191" w:rsidRPr="00966EB9" w14:paraId="2CA3B549" w14:textId="77777777" w:rsidTr="003B6A8A">
        <w:trPr>
          <w:jc w:val="center"/>
        </w:trPr>
        <w:tc>
          <w:tcPr>
            <w:tcW w:w="1526" w:type="dxa"/>
            <w:shd w:val="clear" w:color="auto" w:fill="92D050"/>
          </w:tcPr>
          <w:p w14:paraId="50E3FD4D" w14:textId="77777777" w:rsidR="00E07191" w:rsidRPr="00966EB9" w:rsidRDefault="00E07191" w:rsidP="003B6A8A">
            <w:pPr>
              <w:spacing w:before="60" w:after="60" w:line="240" w:lineRule="auto"/>
              <w:rPr>
                <w:rFonts w:asciiTheme="minorHAnsi" w:hAnsiTheme="minorHAnsi"/>
                <w:b/>
                <w:bCs/>
              </w:rPr>
            </w:pPr>
            <w:r w:rsidRPr="00966EB9">
              <w:rPr>
                <w:rFonts w:asciiTheme="minorHAnsi" w:hAnsiTheme="minorHAnsi"/>
                <w:b/>
                <w:bCs/>
              </w:rPr>
              <w:t>Skills and education</w:t>
            </w:r>
          </w:p>
        </w:tc>
        <w:tc>
          <w:tcPr>
            <w:tcW w:w="7716" w:type="dxa"/>
          </w:tcPr>
          <w:p w14:paraId="557961A4" w14:textId="77777777" w:rsidR="00E07191" w:rsidRPr="000509B7" w:rsidRDefault="00E07191"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The SAF NP will considerably benefit skills and education in the ACT by providing funding for apprenticeship and traineeship programs. Secondary school students will have an increased exposure to VET through the proposed pre-apprenticeships program.  </w:t>
            </w:r>
          </w:p>
        </w:tc>
      </w:tr>
      <w:tr w:rsidR="00E07191" w:rsidRPr="00966EB9" w14:paraId="6AED9517" w14:textId="77777777" w:rsidTr="003B6A8A">
        <w:trPr>
          <w:jc w:val="center"/>
        </w:trPr>
        <w:tc>
          <w:tcPr>
            <w:tcW w:w="1526" w:type="dxa"/>
            <w:shd w:val="clear" w:color="auto" w:fill="92D050"/>
          </w:tcPr>
          <w:p w14:paraId="1F6E69CB" w14:textId="77777777" w:rsidR="00E07191" w:rsidRPr="00966EB9" w:rsidRDefault="00E07191" w:rsidP="003B6A8A">
            <w:pPr>
              <w:spacing w:before="60" w:after="60" w:line="240" w:lineRule="auto"/>
              <w:rPr>
                <w:rFonts w:asciiTheme="minorHAnsi" w:hAnsiTheme="minorHAnsi"/>
                <w:b/>
                <w:bCs/>
              </w:rPr>
            </w:pPr>
            <w:r w:rsidRPr="00966EB9">
              <w:rPr>
                <w:rFonts w:asciiTheme="minorHAnsi" w:hAnsiTheme="minorHAnsi"/>
                <w:b/>
                <w:bCs/>
              </w:rPr>
              <w:t>Investment and economic growth</w:t>
            </w:r>
          </w:p>
        </w:tc>
        <w:tc>
          <w:tcPr>
            <w:tcW w:w="7716" w:type="dxa"/>
          </w:tcPr>
          <w:p w14:paraId="69DD5408" w14:textId="77777777" w:rsidR="00E07191" w:rsidRPr="000509B7" w:rsidRDefault="00E07191" w:rsidP="003B6A8A">
            <w:pPr>
              <w:numPr>
                <w:ilvl w:val="0"/>
                <w:numId w:val="2"/>
              </w:numPr>
              <w:spacing w:before="60" w:after="60" w:line="240" w:lineRule="auto"/>
              <w:ind w:left="357" w:hanging="357"/>
              <w:rPr>
                <w:rFonts w:asciiTheme="minorHAnsi" w:hAnsiTheme="minorHAnsi"/>
              </w:rPr>
            </w:pPr>
            <w:r w:rsidRPr="000509B7">
              <w:rPr>
                <w:rFonts w:asciiTheme="minorHAnsi" w:hAnsiTheme="minorHAnsi"/>
              </w:rPr>
              <w:t>Increasing the skills of the ACT labour force will further establish the ACT as a prime location for businesses in established and emerging industries looking for skilled workers.</w:t>
            </w:r>
          </w:p>
        </w:tc>
      </w:tr>
      <w:tr w:rsidR="00E07191" w:rsidRPr="00966EB9" w14:paraId="069D7318" w14:textId="77777777" w:rsidTr="003B6A8A">
        <w:trPr>
          <w:jc w:val="center"/>
        </w:trPr>
        <w:tc>
          <w:tcPr>
            <w:tcW w:w="1526" w:type="dxa"/>
            <w:shd w:val="clear" w:color="auto" w:fill="00B0F0"/>
          </w:tcPr>
          <w:p w14:paraId="377D798F" w14:textId="77777777" w:rsidR="00E07191" w:rsidRPr="00966EB9" w:rsidRDefault="00E07191" w:rsidP="003B6A8A">
            <w:pPr>
              <w:spacing w:before="60" w:after="60" w:line="240" w:lineRule="auto"/>
              <w:rPr>
                <w:rFonts w:asciiTheme="minorHAnsi" w:hAnsiTheme="minorHAnsi"/>
                <w:b/>
                <w:bCs/>
              </w:rPr>
            </w:pPr>
            <w:r w:rsidRPr="00966EB9">
              <w:rPr>
                <w:rFonts w:asciiTheme="minorHAnsi" w:hAnsiTheme="minorHAnsi"/>
                <w:b/>
                <w:bCs/>
              </w:rPr>
              <w:t>Small business impact</w:t>
            </w:r>
          </w:p>
        </w:tc>
        <w:tc>
          <w:tcPr>
            <w:tcW w:w="7716" w:type="dxa"/>
          </w:tcPr>
          <w:p w14:paraId="63AD337F" w14:textId="77777777" w:rsidR="00E07191" w:rsidRPr="000509B7" w:rsidRDefault="00E07191"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Small businesses will be subject to the Skilling Australians Fund levy if they employ temporary skilled workers under a Skilled Visa.  </w:t>
            </w:r>
          </w:p>
        </w:tc>
      </w:tr>
    </w:tbl>
    <w:p w14:paraId="61551F08" w14:textId="77777777" w:rsidR="00E07191" w:rsidRPr="00966EB9" w:rsidRDefault="00E07191" w:rsidP="00E07191">
      <w:pPr>
        <w:spacing w:before="120" w:after="120" w:line="240" w:lineRule="auto"/>
        <w:rPr>
          <w:rFonts w:asciiTheme="minorHAnsi" w:hAnsiTheme="minorHAnsi"/>
          <w:b/>
          <w:bCs/>
        </w:rPr>
      </w:pPr>
      <w:r w:rsidRPr="00966EB9">
        <w:rPr>
          <w:rFonts w:asciiTheme="minorHAnsi" w:hAnsiTheme="minorHAnsi"/>
          <w:b/>
          <w:bCs/>
        </w:rPr>
        <w:t>Social</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525"/>
        <w:gridCol w:w="7513"/>
      </w:tblGrid>
      <w:tr w:rsidR="00E07191" w:rsidRPr="00966EB9" w14:paraId="67252B9D" w14:textId="77777777" w:rsidTr="003B6A8A">
        <w:trPr>
          <w:jc w:val="center"/>
        </w:trPr>
        <w:tc>
          <w:tcPr>
            <w:tcW w:w="1526" w:type="dxa"/>
            <w:shd w:val="clear" w:color="auto" w:fill="92D050"/>
          </w:tcPr>
          <w:p w14:paraId="19946268" w14:textId="77777777" w:rsidR="00E07191" w:rsidRPr="000509B7" w:rsidRDefault="00E07191" w:rsidP="003B6A8A">
            <w:pPr>
              <w:spacing w:before="60" w:after="60" w:line="240" w:lineRule="auto"/>
              <w:rPr>
                <w:rFonts w:asciiTheme="minorHAnsi" w:hAnsiTheme="minorHAnsi"/>
              </w:rPr>
            </w:pPr>
            <w:r w:rsidRPr="000509B7">
              <w:rPr>
                <w:rFonts w:asciiTheme="minorHAnsi" w:hAnsiTheme="minorHAnsi"/>
                <w:b/>
                <w:bCs/>
              </w:rPr>
              <w:t>Access to services</w:t>
            </w:r>
          </w:p>
        </w:tc>
        <w:tc>
          <w:tcPr>
            <w:tcW w:w="7716" w:type="dxa"/>
          </w:tcPr>
          <w:p w14:paraId="6C8FE3DB" w14:textId="77777777" w:rsidR="00E07191" w:rsidRPr="000509B7" w:rsidRDefault="00E07191"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The primary objective of the </w:t>
            </w:r>
            <w:r w:rsidRPr="000509B7">
              <w:rPr>
                <w:rFonts w:asciiTheme="minorHAnsi" w:hAnsiTheme="minorHAnsi"/>
                <w:i/>
              </w:rPr>
              <w:t xml:space="preserve">National Partnership on the Skilling Australians Fund </w:t>
            </w:r>
            <w:r w:rsidRPr="000509B7">
              <w:rPr>
                <w:rFonts w:asciiTheme="minorHAnsi" w:hAnsiTheme="minorHAnsi"/>
              </w:rPr>
              <w:t>(SAF NP) is to increase the number of apprenticeship and traineeship commencements. An increase in training places will provide increased access to services for interested individuals.</w:t>
            </w:r>
          </w:p>
        </w:tc>
      </w:tr>
      <w:tr w:rsidR="00E07191" w:rsidRPr="00966EB9" w14:paraId="710FF450" w14:textId="77777777" w:rsidTr="003B6A8A">
        <w:trPr>
          <w:jc w:val="center"/>
        </w:trPr>
        <w:tc>
          <w:tcPr>
            <w:tcW w:w="1526" w:type="dxa"/>
            <w:shd w:val="clear" w:color="auto" w:fill="92D050"/>
          </w:tcPr>
          <w:p w14:paraId="180704F9" w14:textId="77777777" w:rsidR="00E07191" w:rsidRPr="00966EB9" w:rsidRDefault="00E07191" w:rsidP="003B6A8A">
            <w:pPr>
              <w:spacing w:before="60" w:after="60" w:line="240" w:lineRule="auto"/>
              <w:rPr>
                <w:rFonts w:asciiTheme="minorHAnsi" w:hAnsiTheme="minorHAnsi"/>
                <w:b/>
                <w:bCs/>
              </w:rPr>
            </w:pPr>
            <w:r w:rsidRPr="00966EB9">
              <w:rPr>
                <w:rFonts w:asciiTheme="minorHAnsi" w:hAnsiTheme="minorHAnsi"/>
                <w:b/>
                <w:bCs/>
              </w:rPr>
              <w:t>Gender</w:t>
            </w:r>
          </w:p>
        </w:tc>
        <w:tc>
          <w:tcPr>
            <w:tcW w:w="7716" w:type="dxa"/>
          </w:tcPr>
          <w:p w14:paraId="60567D40" w14:textId="77777777" w:rsidR="00E07191" w:rsidRPr="000509B7" w:rsidRDefault="00E07191"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SAF funds will be used for a Women in Trades Grants Program, aiming to increase the participation of women in traditionally male dominated trades.  </w:t>
            </w:r>
          </w:p>
        </w:tc>
      </w:tr>
      <w:tr w:rsidR="00E07191" w:rsidRPr="00966EB9" w14:paraId="45291D05" w14:textId="77777777" w:rsidTr="003B6A8A">
        <w:trPr>
          <w:jc w:val="center"/>
        </w:trPr>
        <w:tc>
          <w:tcPr>
            <w:tcW w:w="1526" w:type="dxa"/>
            <w:shd w:val="clear" w:color="auto" w:fill="92D050"/>
          </w:tcPr>
          <w:p w14:paraId="0C1C88C4" w14:textId="77777777" w:rsidR="00E07191" w:rsidRPr="00966EB9" w:rsidRDefault="00E07191" w:rsidP="003B6A8A">
            <w:pPr>
              <w:spacing w:before="60" w:after="60" w:line="240" w:lineRule="auto"/>
              <w:rPr>
                <w:rFonts w:asciiTheme="minorHAnsi" w:hAnsiTheme="minorHAnsi"/>
                <w:b/>
                <w:bCs/>
              </w:rPr>
            </w:pPr>
            <w:r w:rsidRPr="00966EB9">
              <w:rPr>
                <w:rFonts w:asciiTheme="minorHAnsi" w:hAnsiTheme="minorHAnsi"/>
                <w:b/>
                <w:bCs/>
              </w:rPr>
              <w:t>Impacts on different age groups</w:t>
            </w:r>
          </w:p>
        </w:tc>
        <w:tc>
          <w:tcPr>
            <w:tcW w:w="7716" w:type="dxa"/>
          </w:tcPr>
          <w:p w14:paraId="3DB789AA" w14:textId="77777777" w:rsidR="00E07191" w:rsidRPr="000509B7" w:rsidRDefault="00E07191"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Prospective SAF projects include increasing the skilling opportunities available to mature workers and a pre-apprenticeships program for ACT secondary school students. These programs prioritise access to vocational education and training for priority age cohorts. </w:t>
            </w:r>
          </w:p>
        </w:tc>
      </w:tr>
      <w:tr w:rsidR="00E07191" w:rsidRPr="00966EB9" w14:paraId="7FE3BA8C" w14:textId="77777777" w:rsidTr="003B6A8A">
        <w:trPr>
          <w:jc w:val="center"/>
        </w:trPr>
        <w:tc>
          <w:tcPr>
            <w:tcW w:w="1526" w:type="dxa"/>
            <w:shd w:val="clear" w:color="auto" w:fill="92D050"/>
          </w:tcPr>
          <w:p w14:paraId="554B0F9F" w14:textId="77777777" w:rsidR="00E07191" w:rsidRPr="00966EB9" w:rsidRDefault="00E07191" w:rsidP="003B6A8A">
            <w:pPr>
              <w:spacing w:before="60" w:after="60" w:line="240" w:lineRule="auto"/>
              <w:rPr>
                <w:rFonts w:asciiTheme="minorHAnsi" w:hAnsiTheme="minorHAnsi"/>
                <w:b/>
                <w:bCs/>
              </w:rPr>
            </w:pPr>
            <w:r w:rsidRPr="00966EB9">
              <w:rPr>
                <w:rFonts w:asciiTheme="minorHAnsi" w:hAnsiTheme="minorHAnsi"/>
                <w:b/>
                <w:bCs/>
              </w:rPr>
              <w:t>Indigenous and multicultural</w:t>
            </w:r>
          </w:p>
        </w:tc>
        <w:tc>
          <w:tcPr>
            <w:tcW w:w="7716" w:type="dxa"/>
          </w:tcPr>
          <w:p w14:paraId="3BA3398D" w14:textId="77777777" w:rsidR="00E07191" w:rsidRPr="000509B7" w:rsidRDefault="00E07191"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Increased VET funding through the SAF will allow for increased programs targeting disadvantaged cohorts. </w:t>
            </w:r>
          </w:p>
        </w:tc>
      </w:tr>
      <w:tr w:rsidR="00E07191" w:rsidRPr="00966EB9" w14:paraId="621DC80A" w14:textId="77777777" w:rsidTr="003B6A8A">
        <w:trPr>
          <w:jc w:val="center"/>
        </w:trPr>
        <w:tc>
          <w:tcPr>
            <w:tcW w:w="1526" w:type="dxa"/>
            <w:shd w:val="clear" w:color="auto" w:fill="92D050"/>
          </w:tcPr>
          <w:p w14:paraId="5E789561" w14:textId="77777777" w:rsidR="00E07191" w:rsidRPr="00966EB9" w:rsidRDefault="00E07191" w:rsidP="003B6A8A">
            <w:pPr>
              <w:spacing w:before="60" w:after="60" w:line="240" w:lineRule="auto"/>
              <w:rPr>
                <w:rFonts w:asciiTheme="minorHAnsi" w:hAnsiTheme="minorHAnsi"/>
                <w:b/>
                <w:bCs/>
              </w:rPr>
            </w:pPr>
            <w:r w:rsidRPr="00966EB9">
              <w:rPr>
                <w:rFonts w:asciiTheme="minorHAnsi" w:hAnsiTheme="minorHAnsi"/>
                <w:b/>
                <w:bCs/>
              </w:rPr>
              <w:t>Disadvantaged and vulnerable</w:t>
            </w:r>
          </w:p>
        </w:tc>
        <w:tc>
          <w:tcPr>
            <w:tcW w:w="7716" w:type="dxa"/>
          </w:tcPr>
          <w:p w14:paraId="53078247" w14:textId="77777777" w:rsidR="00E07191" w:rsidRPr="000509B7" w:rsidRDefault="00E07191"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Increased VET funding through the SAF will allow for increased programs targeting disadvantaged cohorts. </w:t>
            </w:r>
          </w:p>
        </w:tc>
      </w:tr>
      <w:tr w:rsidR="00E07191" w:rsidRPr="00966EB9" w14:paraId="3D06FE2C" w14:textId="77777777" w:rsidTr="003B6A8A">
        <w:trPr>
          <w:jc w:val="center"/>
        </w:trPr>
        <w:tc>
          <w:tcPr>
            <w:tcW w:w="1526" w:type="dxa"/>
            <w:shd w:val="clear" w:color="auto" w:fill="92D050"/>
          </w:tcPr>
          <w:p w14:paraId="2B901734" w14:textId="77777777" w:rsidR="00E07191" w:rsidRPr="00966EB9" w:rsidRDefault="00E07191" w:rsidP="003B6A8A">
            <w:pPr>
              <w:spacing w:before="60" w:after="60" w:line="240" w:lineRule="auto"/>
              <w:rPr>
                <w:rFonts w:asciiTheme="minorHAnsi" w:hAnsiTheme="minorHAnsi"/>
                <w:b/>
                <w:bCs/>
              </w:rPr>
            </w:pPr>
            <w:r w:rsidRPr="00966EB9">
              <w:rPr>
                <w:rFonts w:asciiTheme="minorHAnsi" w:hAnsiTheme="minorHAnsi"/>
                <w:b/>
                <w:bCs/>
              </w:rPr>
              <w:t>Disability</w:t>
            </w:r>
          </w:p>
        </w:tc>
        <w:tc>
          <w:tcPr>
            <w:tcW w:w="7716" w:type="dxa"/>
          </w:tcPr>
          <w:p w14:paraId="51D6EB20" w14:textId="77777777" w:rsidR="00E07191" w:rsidRPr="000509B7" w:rsidRDefault="00E07191"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Increased VET funding through the SAF will allow for increased programs targeting disadvantaged cohorts. </w:t>
            </w:r>
          </w:p>
        </w:tc>
      </w:tr>
    </w:tbl>
    <w:p w14:paraId="5051A5C4" w14:textId="77777777" w:rsidR="00E07191" w:rsidRDefault="00E07191" w:rsidP="00E07191">
      <w:pPr>
        <w:spacing w:line="240" w:lineRule="auto"/>
        <w:rPr>
          <w:rFonts w:asciiTheme="minorHAnsi" w:hAnsiTheme="minorHAnsi"/>
          <w:b/>
        </w:rPr>
      </w:pPr>
      <w:r>
        <w:rPr>
          <w:rFonts w:asciiTheme="minorHAnsi" w:hAnsiTheme="minorHAnsi"/>
          <w:b/>
        </w:rPr>
        <w:lastRenderedPageBreak/>
        <w:t>Environmental</w:t>
      </w:r>
    </w:p>
    <w:p w14:paraId="5F05E365" w14:textId="725AA55F" w:rsidR="000509B7" w:rsidRPr="00E07191" w:rsidRDefault="00E07191" w:rsidP="00E07191">
      <w:pPr>
        <w:spacing w:line="240" w:lineRule="auto"/>
        <w:rPr>
          <w:rFonts w:asciiTheme="minorHAnsi" w:hAnsiTheme="minorHAnsi"/>
        </w:rPr>
      </w:pPr>
      <w:r>
        <w:rPr>
          <w:rFonts w:asciiTheme="minorHAnsi" w:hAnsiTheme="minorHAnsi"/>
        </w:rPr>
        <w:t xml:space="preserve">No </w:t>
      </w:r>
      <w:r w:rsidR="001E119F">
        <w:rPr>
          <w:rFonts w:asciiTheme="minorHAnsi" w:hAnsiTheme="minorHAnsi"/>
        </w:rPr>
        <w:t>impact.</w:t>
      </w:r>
      <w:r w:rsidR="004C2238">
        <w:rPr>
          <w:rFonts w:asciiTheme="minorHAnsi" w:hAnsiTheme="minorHAnsi"/>
        </w:rPr>
        <w:t>w</w:t>
      </w:r>
    </w:p>
    <w:sectPr w:rsidR="000509B7" w:rsidRPr="00E07191" w:rsidSect="00A80730">
      <w:footnotePr>
        <w:numRestart w:val="eachSect"/>
      </w:footnotePr>
      <w:type w:val="continuous"/>
      <w:pgSz w:w="11906" w:h="16838"/>
      <w:pgMar w:top="1242" w:right="1440" w:bottom="709" w:left="1418" w:header="567" w:footer="3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61E5B" w14:textId="77777777" w:rsidR="00E170A3" w:rsidRDefault="00E170A3" w:rsidP="009041C7">
      <w:pPr>
        <w:spacing w:after="0" w:line="240" w:lineRule="auto"/>
      </w:pPr>
      <w:r>
        <w:separator/>
      </w:r>
    </w:p>
  </w:endnote>
  <w:endnote w:type="continuationSeparator" w:id="0">
    <w:p w14:paraId="559A4ACD" w14:textId="77777777" w:rsidR="00E170A3" w:rsidRDefault="00E170A3" w:rsidP="0090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41102" w14:textId="77777777" w:rsidR="00E170A3" w:rsidRDefault="00E170A3" w:rsidP="009041C7">
      <w:pPr>
        <w:spacing w:after="0" w:line="240" w:lineRule="auto"/>
      </w:pPr>
      <w:r>
        <w:separator/>
      </w:r>
    </w:p>
  </w:footnote>
  <w:footnote w:type="continuationSeparator" w:id="0">
    <w:p w14:paraId="4A30B665" w14:textId="77777777" w:rsidR="00E170A3" w:rsidRDefault="00E170A3" w:rsidP="00904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F4730"/>
    <w:multiLevelType w:val="hybridMultilevel"/>
    <w:tmpl w:val="93ACB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314CDA"/>
    <w:multiLevelType w:val="hybridMultilevel"/>
    <w:tmpl w:val="2F7E8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AF464F"/>
    <w:multiLevelType w:val="hybridMultilevel"/>
    <w:tmpl w:val="EBD61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D6461B"/>
    <w:multiLevelType w:val="hybridMultilevel"/>
    <w:tmpl w:val="31DE68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E171AF"/>
    <w:multiLevelType w:val="hybridMultilevel"/>
    <w:tmpl w:val="E910BC44"/>
    <w:lvl w:ilvl="0" w:tplc="30F0BCC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43266E5"/>
    <w:multiLevelType w:val="hybridMultilevel"/>
    <w:tmpl w:val="7334FD3A"/>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A05918"/>
    <w:multiLevelType w:val="hybridMultilevel"/>
    <w:tmpl w:val="48F08E22"/>
    <w:lvl w:ilvl="0" w:tplc="4D7E39C4">
      <w:start w:val="1"/>
      <w:numFmt w:val="bullet"/>
      <w:pStyle w:val="Bulletpoint"/>
      <w:lvlText w:val=""/>
      <w:lvlJc w:val="left"/>
      <w:pPr>
        <w:tabs>
          <w:tab w:val="num" w:pos="927"/>
        </w:tabs>
        <w:ind w:left="927" w:hanging="567"/>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7" w15:restartNumberingAfterBreak="0">
    <w:nsid w:val="676A0B89"/>
    <w:multiLevelType w:val="hybridMultilevel"/>
    <w:tmpl w:val="835865FE"/>
    <w:lvl w:ilvl="0" w:tplc="0C090001">
      <w:start w:val="1"/>
      <w:numFmt w:val="bullet"/>
      <w:lvlText w:val=""/>
      <w:lvlJc w:val="left"/>
      <w:pPr>
        <w:ind w:left="360" w:hanging="360"/>
      </w:pPr>
      <w:rPr>
        <w:rFonts w:ascii="Symbol" w:hAnsi="Symbol" w:hint="default"/>
      </w:rPr>
    </w:lvl>
    <w:lvl w:ilvl="1" w:tplc="E73802EA">
      <w:start w:val="1"/>
      <w:numFmt w:val="bullet"/>
      <w:lvlText w:val="-"/>
      <w:lvlJc w:val="left"/>
      <w:pPr>
        <w:ind w:left="1080" w:hanging="360"/>
      </w:pPr>
      <w:rPr>
        <w:rFonts w:ascii="Times New Roman" w:eastAsia="Times New Roman" w:hAnsi="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0"/>
  </w:num>
  <w:num w:numId="6">
    <w:abstractNumId w:val="5"/>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9216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D9"/>
    <w:rsid w:val="00024B3B"/>
    <w:rsid w:val="000509B7"/>
    <w:rsid w:val="0006131B"/>
    <w:rsid w:val="00091628"/>
    <w:rsid w:val="000C2F9A"/>
    <w:rsid w:val="000C3FD2"/>
    <w:rsid w:val="000E6A5B"/>
    <w:rsid w:val="0012116E"/>
    <w:rsid w:val="001945FF"/>
    <w:rsid w:val="001E119F"/>
    <w:rsid w:val="00282429"/>
    <w:rsid w:val="002B5F53"/>
    <w:rsid w:val="002C5063"/>
    <w:rsid w:val="002E146C"/>
    <w:rsid w:val="002F15D9"/>
    <w:rsid w:val="00323F9A"/>
    <w:rsid w:val="0038149F"/>
    <w:rsid w:val="00383CBB"/>
    <w:rsid w:val="0039154F"/>
    <w:rsid w:val="00394AF0"/>
    <w:rsid w:val="003D50B9"/>
    <w:rsid w:val="003E4F03"/>
    <w:rsid w:val="00425BD9"/>
    <w:rsid w:val="00426BD2"/>
    <w:rsid w:val="00433827"/>
    <w:rsid w:val="00446767"/>
    <w:rsid w:val="004557F1"/>
    <w:rsid w:val="00455889"/>
    <w:rsid w:val="0046471C"/>
    <w:rsid w:val="004C2238"/>
    <w:rsid w:val="004D51BB"/>
    <w:rsid w:val="004E4513"/>
    <w:rsid w:val="004F72CA"/>
    <w:rsid w:val="005151F6"/>
    <w:rsid w:val="00534E14"/>
    <w:rsid w:val="0055530B"/>
    <w:rsid w:val="005613E4"/>
    <w:rsid w:val="00575F46"/>
    <w:rsid w:val="00580319"/>
    <w:rsid w:val="00580B7F"/>
    <w:rsid w:val="00584E17"/>
    <w:rsid w:val="005B1E0D"/>
    <w:rsid w:val="005C4A84"/>
    <w:rsid w:val="005F446E"/>
    <w:rsid w:val="006033C5"/>
    <w:rsid w:val="0063051E"/>
    <w:rsid w:val="0063212C"/>
    <w:rsid w:val="0065455C"/>
    <w:rsid w:val="00654652"/>
    <w:rsid w:val="00663B63"/>
    <w:rsid w:val="006657D8"/>
    <w:rsid w:val="006B7146"/>
    <w:rsid w:val="007104EA"/>
    <w:rsid w:val="007400D4"/>
    <w:rsid w:val="0074403C"/>
    <w:rsid w:val="00764D79"/>
    <w:rsid w:val="007B44D5"/>
    <w:rsid w:val="007C07EE"/>
    <w:rsid w:val="007E0AD7"/>
    <w:rsid w:val="008232E2"/>
    <w:rsid w:val="00850B04"/>
    <w:rsid w:val="008A50E6"/>
    <w:rsid w:val="008B2545"/>
    <w:rsid w:val="008B3320"/>
    <w:rsid w:val="008B6CEE"/>
    <w:rsid w:val="008C071B"/>
    <w:rsid w:val="008C4BC9"/>
    <w:rsid w:val="008D2C42"/>
    <w:rsid w:val="009041C7"/>
    <w:rsid w:val="00913FA9"/>
    <w:rsid w:val="0095779D"/>
    <w:rsid w:val="00961470"/>
    <w:rsid w:val="00966EB9"/>
    <w:rsid w:val="009A03A0"/>
    <w:rsid w:val="009A2EF2"/>
    <w:rsid w:val="009B0DDD"/>
    <w:rsid w:val="009B1C1D"/>
    <w:rsid w:val="009B4E96"/>
    <w:rsid w:val="009C24CB"/>
    <w:rsid w:val="00A41FC1"/>
    <w:rsid w:val="00A65C62"/>
    <w:rsid w:val="00A71DF3"/>
    <w:rsid w:val="00A80730"/>
    <w:rsid w:val="00AC35A2"/>
    <w:rsid w:val="00B00DC1"/>
    <w:rsid w:val="00B41519"/>
    <w:rsid w:val="00B52E5E"/>
    <w:rsid w:val="00B727F6"/>
    <w:rsid w:val="00B75835"/>
    <w:rsid w:val="00B86D1B"/>
    <w:rsid w:val="00B9178A"/>
    <w:rsid w:val="00BB641E"/>
    <w:rsid w:val="00BC4A9E"/>
    <w:rsid w:val="00BF2A09"/>
    <w:rsid w:val="00C17089"/>
    <w:rsid w:val="00C2489F"/>
    <w:rsid w:val="00C271AE"/>
    <w:rsid w:val="00C53382"/>
    <w:rsid w:val="00C912AA"/>
    <w:rsid w:val="00CA2605"/>
    <w:rsid w:val="00CC41FF"/>
    <w:rsid w:val="00CD08E7"/>
    <w:rsid w:val="00CE50C8"/>
    <w:rsid w:val="00CF5FA5"/>
    <w:rsid w:val="00CF6227"/>
    <w:rsid w:val="00D02042"/>
    <w:rsid w:val="00D115C3"/>
    <w:rsid w:val="00D34FF1"/>
    <w:rsid w:val="00D677A2"/>
    <w:rsid w:val="00D848AA"/>
    <w:rsid w:val="00DB5B40"/>
    <w:rsid w:val="00DB7E9C"/>
    <w:rsid w:val="00E07191"/>
    <w:rsid w:val="00E170A3"/>
    <w:rsid w:val="00E252F0"/>
    <w:rsid w:val="00EB2853"/>
    <w:rsid w:val="00EB64A6"/>
    <w:rsid w:val="00F32B7B"/>
    <w:rsid w:val="00F548F5"/>
    <w:rsid w:val="00F64C12"/>
    <w:rsid w:val="00F65981"/>
    <w:rsid w:val="00F772BB"/>
    <w:rsid w:val="00FA3109"/>
    <w:rsid w:val="00FB1845"/>
    <w:rsid w:val="00FE48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00BFB5DA"/>
  <w15:chartTrackingRefBased/>
  <w15:docId w15:val="{515E4DA0-2B16-46F1-9D48-974C212B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1C7"/>
    <w:pPr>
      <w:spacing w:after="200" w:line="276" w:lineRule="auto"/>
    </w:pPr>
    <w:rPr>
      <w:rFonts w:ascii="Arial" w:eastAsia="Times New Roman" w:hAnsi="Arial" w:cs="Arial"/>
      <w:sz w:val="21"/>
      <w:szCs w:val="21"/>
      <w:lang w:eastAsia="en-AU"/>
    </w:rPr>
  </w:style>
  <w:style w:type="paragraph" w:styleId="Heading1">
    <w:name w:val="heading 1"/>
    <w:basedOn w:val="Normal"/>
    <w:next w:val="Normal"/>
    <w:link w:val="Heading1Char"/>
    <w:autoRedefine/>
    <w:uiPriority w:val="99"/>
    <w:qFormat/>
    <w:rsid w:val="00C17089"/>
    <w:pPr>
      <w:keepNext/>
      <w:keepLines/>
      <w:spacing w:after="400" w:line="240" w:lineRule="atLeast"/>
      <w:outlineLvl w:val="0"/>
    </w:pPr>
    <w:rPr>
      <w:rFonts w:eastAsia="Constantia"/>
      <w:color w:val="4BACC6"/>
      <w:sz w:val="36"/>
      <w:szCs w:val="36"/>
    </w:rPr>
  </w:style>
  <w:style w:type="paragraph" w:styleId="Heading2">
    <w:name w:val="heading 2"/>
    <w:basedOn w:val="Heading1"/>
    <w:next w:val="Normal"/>
    <w:link w:val="Heading2Char"/>
    <w:uiPriority w:val="99"/>
    <w:qFormat/>
    <w:rsid w:val="00CD08E7"/>
    <w:pPr>
      <w:spacing w:before="400" w:after="200"/>
      <w:jc w:val="both"/>
      <w:outlineLvl w:val="1"/>
    </w:pPr>
    <w:rPr>
      <w:rFonts w:ascii="Cambria" w:hAnsi="Cambria"/>
      <w:b/>
      <w:color w:val="4F81BD"/>
      <w:sz w:val="26"/>
      <w:szCs w:val="26"/>
    </w:rPr>
  </w:style>
  <w:style w:type="paragraph" w:styleId="Heading3">
    <w:name w:val="heading 3"/>
    <w:basedOn w:val="Normal"/>
    <w:next w:val="Normal"/>
    <w:link w:val="Heading3Char"/>
    <w:uiPriority w:val="9"/>
    <w:semiHidden/>
    <w:unhideWhenUsed/>
    <w:qFormat/>
    <w:rsid w:val="00C271AE"/>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41C7"/>
    <w:pPr>
      <w:tabs>
        <w:tab w:val="center" w:pos="4513"/>
        <w:tab w:val="right" w:pos="9026"/>
      </w:tabs>
    </w:pPr>
  </w:style>
  <w:style w:type="character" w:customStyle="1" w:styleId="HeaderChar">
    <w:name w:val="Header Char"/>
    <w:basedOn w:val="DefaultParagraphFont"/>
    <w:link w:val="Header"/>
    <w:uiPriority w:val="99"/>
    <w:rsid w:val="009041C7"/>
    <w:rPr>
      <w:rFonts w:ascii="Arial" w:eastAsia="Times New Roman" w:hAnsi="Arial" w:cs="Arial"/>
      <w:sz w:val="21"/>
      <w:szCs w:val="21"/>
      <w:lang w:eastAsia="en-AU"/>
    </w:rPr>
  </w:style>
  <w:style w:type="paragraph" w:customStyle="1" w:styleId="Bulletpoint">
    <w:name w:val="Bullet point"/>
    <w:basedOn w:val="Normal"/>
    <w:uiPriority w:val="99"/>
    <w:rsid w:val="009041C7"/>
    <w:pPr>
      <w:numPr>
        <w:numId w:val="1"/>
      </w:numPr>
      <w:spacing w:after="100"/>
      <w:jc w:val="both"/>
    </w:pPr>
    <w:rPr>
      <w:rFonts w:ascii="Calibri" w:hAnsi="Calibri"/>
      <w:sz w:val="22"/>
      <w:szCs w:val="22"/>
    </w:rPr>
  </w:style>
  <w:style w:type="paragraph" w:customStyle="1" w:styleId="StyleBulletpoint105pt">
    <w:name w:val="Style Bullet point + 10.5 pt"/>
    <w:basedOn w:val="Bulletpoint"/>
    <w:link w:val="StyleBulletpoint105ptChar"/>
    <w:uiPriority w:val="99"/>
    <w:rsid w:val="009041C7"/>
    <w:rPr>
      <w:sz w:val="21"/>
      <w:szCs w:val="21"/>
    </w:rPr>
  </w:style>
  <w:style w:type="character" w:customStyle="1" w:styleId="StyleBulletpoint105ptChar">
    <w:name w:val="Style Bullet point + 10.5 pt Char"/>
    <w:link w:val="StyleBulletpoint105pt"/>
    <w:uiPriority w:val="99"/>
    <w:locked/>
    <w:rsid w:val="009041C7"/>
    <w:rPr>
      <w:rFonts w:ascii="Calibri" w:eastAsia="Times New Roman" w:hAnsi="Calibri" w:cs="Arial"/>
      <w:sz w:val="21"/>
      <w:szCs w:val="21"/>
      <w:lang w:eastAsia="en-AU"/>
    </w:rPr>
  </w:style>
  <w:style w:type="paragraph" w:styleId="Footer">
    <w:name w:val="footer"/>
    <w:basedOn w:val="Normal"/>
    <w:link w:val="FooterChar"/>
    <w:uiPriority w:val="99"/>
    <w:unhideWhenUsed/>
    <w:rsid w:val="00904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1C7"/>
    <w:rPr>
      <w:rFonts w:ascii="Arial" w:eastAsia="Times New Roman" w:hAnsi="Arial" w:cs="Arial"/>
      <w:sz w:val="21"/>
      <w:szCs w:val="21"/>
      <w:lang w:eastAsia="en-AU"/>
    </w:rPr>
  </w:style>
  <w:style w:type="paragraph" w:styleId="ListParagraph">
    <w:name w:val="List Paragraph"/>
    <w:basedOn w:val="Normal"/>
    <w:uiPriority w:val="99"/>
    <w:qFormat/>
    <w:rsid w:val="009041C7"/>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38149F"/>
    <w:rPr>
      <w:sz w:val="16"/>
      <w:szCs w:val="16"/>
    </w:rPr>
  </w:style>
  <w:style w:type="paragraph" w:styleId="CommentText">
    <w:name w:val="annotation text"/>
    <w:basedOn w:val="Normal"/>
    <w:link w:val="CommentTextChar"/>
    <w:uiPriority w:val="99"/>
    <w:semiHidden/>
    <w:unhideWhenUsed/>
    <w:rsid w:val="0038149F"/>
    <w:pPr>
      <w:spacing w:line="240" w:lineRule="auto"/>
    </w:pPr>
    <w:rPr>
      <w:sz w:val="20"/>
      <w:szCs w:val="20"/>
    </w:rPr>
  </w:style>
  <w:style w:type="character" w:customStyle="1" w:styleId="CommentTextChar">
    <w:name w:val="Comment Text Char"/>
    <w:basedOn w:val="DefaultParagraphFont"/>
    <w:link w:val="CommentText"/>
    <w:uiPriority w:val="99"/>
    <w:semiHidden/>
    <w:rsid w:val="0038149F"/>
    <w:rPr>
      <w:rFonts w:ascii="Arial" w:eastAsia="Times New Roman"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38149F"/>
    <w:rPr>
      <w:b/>
      <w:bCs/>
    </w:rPr>
  </w:style>
  <w:style w:type="character" w:customStyle="1" w:styleId="CommentSubjectChar">
    <w:name w:val="Comment Subject Char"/>
    <w:basedOn w:val="CommentTextChar"/>
    <w:link w:val="CommentSubject"/>
    <w:uiPriority w:val="99"/>
    <w:semiHidden/>
    <w:rsid w:val="0038149F"/>
    <w:rPr>
      <w:rFonts w:ascii="Arial" w:eastAsia="Times New Roman" w:hAnsi="Arial" w:cs="Arial"/>
      <w:b/>
      <w:bCs/>
      <w:sz w:val="20"/>
      <w:szCs w:val="20"/>
      <w:lang w:eastAsia="en-AU"/>
    </w:rPr>
  </w:style>
  <w:style w:type="paragraph" w:styleId="BalloonText">
    <w:name w:val="Balloon Text"/>
    <w:basedOn w:val="Normal"/>
    <w:link w:val="BalloonTextChar"/>
    <w:uiPriority w:val="99"/>
    <w:semiHidden/>
    <w:unhideWhenUsed/>
    <w:rsid w:val="00381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49F"/>
    <w:rPr>
      <w:rFonts w:ascii="Segoe UI" w:eastAsia="Times New Roman" w:hAnsi="Segoe UI" w:cs="Segoe UI"/>
      <w:sz w:val="18"/>
      <w:szCs w:val="18"/>
      <w:lang w:eastAsia="en-AU"/>
    </w:rPr>
  </w:style>
  <w:style w:type="character" w:customStyle="1" w:styleId="Heading1Char">
    <w:name w:val="Heading 1 Char"/>
    <w:basedOn w:val="DefaultParagraphFont"/>
    <w:link w:val="Heading1"/>
    <w:uiPriority w:val="99"/>
    <w:rsid w:val="00C17089"/>
    <w:rPr>
      <w:rFonts w:ascii="Arial" w:eastAsia="Constantia" w:hAnsi="Arial" w:cs="Arial"/>
      <w:color w:val="4BACC6"/>
      <w:sz w:val="36"/>
      <w:szCs w:val="36"/>
      <w:lang w:eastAsia="en-AU"/>
    </w:rPr>
  </w:style>
  <w:style w:type="character" w:customStyle="1" w:styleId="Heading3Char">
    <w:name w:val="Heading 3 Char"/>
    <w:basedOn w:val="DefaultParagraphFont"/>
    <w:link w:val="Heading3"/>
    <w:uiPriority w:val="9"/>
    <w:semiHidden/>
    <w:rsid w:val="00C271AE"/>
    <w:rPr>
      <w:rFonts w:ascii="Calibri Light" w:eastAsia="Times New Roman" w:hAnsi="Calibri Light" w:cs="Times New Roman"/>
      <w:b/>
      <w:bCs/>
      <w:sz w:val="26"/>
      <w:szCs w:val="26"/>
      <w:lang w:eastAsia="en-AU"/>
    </w:rPr>
  </w:style>
  <w:style w:type="table" w:styleId="TableGrid">
    <w:name w:val="Table Grid"/>
    <w:basedOn w:val="TableNormal"/>
    <w:uiPriority w:val="59"/>
    <w:rsid w:val="0095779D"/>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A65C62"/>
    <w:rPr>
      <w:sz w:val="20"/>
      <w:szCs w:val="20"/>
    </w:rPr>
  </w:style>
  <w:style w:type="character" w:customStyle="1" w:styleId="FootnoteTextChar">
    <w:name w:val="Footnote Text Char"/>
    <w:basedOn w:val="DefaultParagraphFont"/>
    <w:link w:val="FootnoteText"/>
    <w:semiHidden/>
    <w:rsid w:val="00A65C62"/>
    <w:rPr>
      <w:rFonts w:ascii="Arial" w:eastAsia="Times New Roman" w:hAnsi="Arial" w:cs="Arial"/>
      <w:sz w:val="20"/>
      <w:szCs w:val="20"/>
      <w:lang w:eastAsia="en-AU"/>
    </w:rPr>
  </w:style>
  <w:style w:type="character" w:styleId="FootnoteReference">
    <w:name w:val="footnote reference"/>
    <w:semiHidden/>
    <w:unhideWhenUsed/>
    <w:rsid w:val="00A65C62"/>
    <w:rPr>
      <w:vertAlign w:val="superscript"/>
    </w:rPr>
  </w:style>
  <w:style w:type="character" w:styleId="Hyperlink">
    <w:name w:val="Hyperlink"/>
    <w:uiPriority w:val="99"/>
    <w:unhideWhenUsed/>
    <w:rsid w:val="00A65C62"/>
    <w:rPr>
      <w:color w:val="0563C1"/>
      <w:u w:val="single"/>
    </w:rPr>
  </w:style>
  <w:style w:type="paragraph" w:styleId="Revision">
    <w:name w:val="Revision"/>
    <w:hidden/>
    <w:uiPriority w:val="99"/>
    <w:semiHidden/>
    <w:rsid w:val="003D50B9"/>
    <w:pPr>
      <w:spacing w:after="0" w:line="240" w:lineRule="auto"/>
    </w:pPr>
    <w:rPr>
      <w:rFonts w:ascii="Arial" w:eastAsia="Times New Roman" w:hAnsi="Arial" w:cs="Arial"/>
      <w:sz w:val="21"/>
      <w:szCs w:val="21"/>
      <w:lang w:eastAsia="en-AU"/>
    </w:rPr>
  </w:style>
  <w:style w:type="paragraph" w:customStyle="1" w:styleId="Text">
    <w:name w:val="Text"/>
    <w:basedOn w:val="Normal"/>
    <w:rsid w:val="00CD08E7"/>
    <w:pPr>
      <w:autoSpaceDE w:val="0"/>
      <w:autoSpaceDN w:val="0"/>
      <w:adjustRightInd w:val="0"/>
      <w:jc w:val="both"/>
    </w:pPr>
    <w:rPr>
      <w:rFonts w:ascii="Calibri" w:hAnsi="Calibri"/>
      <w:color w:val="000000"/>
      <w:sz w:val="22"/>
      <w:szCs w:val="22"/>
    </w:rPr>
  </w:style>
  <w:style w:type="character" w:customStyle="1" w:styleId="A3">
    <w:name w:val="A3"/>
    <w:uiPriority w:val="99"/>
    <w:rsid w:val="00CD08E7"/>
    <w:rPr>
      <w:color w:val="000000"/>
      <w:sz w:val="20"/>
      <w:szCs w:val="20"/>
    </w:rPr>
  </w:style>
  <w:style w:type="character" w:customStyle="1" w:styleId="Heading2Char">
    <w:name w:val="Heading 2 Char"/>
    <w:basedOn w:val="DefaultParagraphFont"/>
    <w:link w:val="Heading2"/>
    <w:uiPriority w:val="99"/>
    <w:rsid w:val="00CD08E7"/>
    <w:rPr>
      <w:rFonts w:ascii="Cambria" w:eastAsia="Constantia" w:hAnsi="Cambria" w:cs="Arial"/>
      <w:b/>
      <w:color w:val="4F81BD"/>
      <w:sz w:val="26"/>
      <w:szCs w:val="26"/>
      <w:lang w:eastAsia="en-AU"/>
    </w:rPr>
  </w:style>
  <w:style w:type="paragraph" w:styleId="PlainText">
    <w:name w:val="Plain Text"/>
    <w:basedOn w:val="Normal"/>
    <w:link w:val="PlainTextChar"/>
    <w:uiPriority w:val="99"/>
    <w:semiHidden/>
    <w:unhideWhenUsed/>
    <w:rsid w:val="00764D79"/>
    <w:pPr>
      <w:spacing w:after="0" w:line="240" w:lineRule="auto"/>
    </w:pPr>
    <w:rPr>
      <w:rFonts w:ascii="Calibri" w:eastAsiaTheme="minorHAnsi" w:hAnsi="Calibri" w:cstheme="minorBidi"/>
      <w:sz w:val="22"/>
      <w:lang w:eastAsia="en-US"/>
    </w:rPr>
  </w:style>
  <w:style w:type="character" w:customStyle="1" w:styleId="PlainTextChar">
    <w:name w:val="Plain Text Char"/>
    <w:basedOn w:val="DefaultParagraphFont"/>
    <w:link w:val="PlainText"/>
    <w:uiPriority w:val="99"/>
    <w:semiHidden/>
    <w:rsid w:val="00764D7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140546">
      <w:bodyDiv w:val="1"/>
      <w:marLeft w:val="0"/>
      <w:marRight w:val="0"/>
      <w:marTop w:val="0"/>
      <w:marBottom w:val="0"/>
      <w:divBdr>
        <w:top w:val="none" w:sz="0" w:space="0" w:color="auto"/>
        <w:left w:val="none" w:sz="0" w:space="0" w:color="auto"/>
        <w:bottom w:val="none" w:sz="0" w:space="0" w:color="auto"/>
        <w:right w:val="none" w:sz="0" w:space="0" w:color="auto"/>
      </w:divBdr>
    </w:div>
    <w:div w:id="576328521">
      <w:bodyDiv w:val="1"/>
      <w:marLeft w:val="0"/>
      <w:marRight w:val="0"/>
      <w:marTop w:val="0"/>
      <w:marBottom w:val="0"/>
      <w:divBdr>
        <w:top w:val="none" w:sz="0" w:space="0" w:color="auto"/>
        <w:left w:val="none" w:sz="0" w:space="0" w:color="auto"/>
        <w:bottom w:val="none" w:sz="0" w:space="0" w:color="auto"/>
        <w:right w:val="none" w:sz="0" w:space="0" w:color="auto"/>
      </w:divBdr>
    </w:div>
    <w:div w:id="885143721">
      <w:bodyDiv w:val="1"/>
      <w:marLeft w:val="0"/>
      <w:marRight w:val="0"/>
      <w:marTop w:val="0"/>
      <w:marBottom w:val="0"/>
      <w:divBdr>
        <w:top w:val="none" w:sz="0" w:space="0" w:color="auto"/>
        <w:left w:val="none" w:sz="0" w:space="0" w:color="auto"/>
        <w:bottom w:val="none" w:sz="0" w:space="0" w:color="auto"/>
        <w:right w:val="none" w:sz="0" w:space="0" w:color="auto"/>
      </w:divBdr>
    </w:div>
    <w:div w:id="1040015721">
      <w:bodyDiv w:val="1"/>
      <w:marLeft w:val="0"/>
      <w:marRight w:val="0"/>
      <w:marTop w:val="0"/>
      <w:marBottom w:val="0"/>
      <w:divBdr>
        <w:top w:val="none" w:sz="0" w:space="0" w:color="auto"/>
        <w:left w:val="none" w:sz="0" w:space="0" w:color="auto"/>
        <w:bottom w:val="none" w:sz="0" w:space="0" w:color="auto"/>
        <w:right w:val="none" w:sz="0" w:space="0" w:color="auto"/>
      </w:divBdr>
    </w:div>
    <w:div w:id="1068454412">
      <w:bodyDiv w:val="1"/>
      <w:marLeft w:val="0"/>
      <w:marRight w:val="0"/>
      <w:marTop w:val="0"/>
      <w:marBottom w:val="0"/>
      <w:divBdr>
        <w:top w:val="none" w:sz="0" w:space="0" w:color="auto"/>
        <w:left w:val="none" w:sz="0" w:space="0" w:color="auto"/>
        <w:bottom w:val="none" w:sz="0" w:space="0" w:color="auto"/>
        <w:right w:val="none" w:sz="0" w:space="0" w:color="auto"/>
      </w:divBdr>
    </w:div>
    <w:div w:id="1089697168">
      <w:bodyDiv w:val="1"/>
      <w:marLeft w:val="0"/>
      <w:marRight w:val="0"/>
      <w:marTop w:val="0"/>
      <w:marBottom w:val="0"/>
      <w:divBdr>
        <w:top w:val="none" w:sz="0" w:space="0" w:color="auto"/>
        <w:left w:val="none" w:sz="0" w:space="0" w:color="auto"/>
        <w:bottom w:val="none" w:sz="0" w:space="0" w:color="auto"/>
        <w:right w:val="none" w:sz="0" w:space="0" w:color="auto"/>
      </w:divBdr>
    </w:div>
    <w:div w:id="1115640924">
      <w:bodyDiv w:val="1"/>
      <w:marLeft w:val="0"/>
      <w:marRight w:val="0"/>
      <w:marTop w:val="0"/>
      <w:marBottom w:val="0"/>
      <w:divBdr>
        <w:top w:val="none" w:sz="0" w:space="0" w:color="auto"/>
        <w:left w:val="none" w:sz="0" w:space="0" w:color="auto"/>
        <w:bottom w:val="none" w:sz="0" w:space="0" w:color="auto"/>
        <w:right w:val="none" w:sz="0" w:space="0" w:color="auto"/>
      </w:divBdr>
    </w:div>
    <w:div w:id="1182359416">
      <w:bodyDiv w:val="1"/>
      <w:marLeft w:val="0"/>
      <w:marRight w:val="0"/>
      <w:marTop w:val="0"/>
      <w:marBottom w:val="0"/>
      <w:divBdr>
        <w:top w:val="none" w:sz="0" w:space="0" w:color="auto"/>
        <w:left w:val="none" w:sz="0" w:space="0" w:color="auto"/>
        <w:bottom w:val="none" w:sz="0" w:space="0" w:color="auto"/>
        <w:right w:val="none" w:sz="0" w:space="0" w:color="auto"/>
      </w:divBdr>
    </w:div>
    <w:div w:id="1645966057">
      <w:bodyDiv w:val="1"/>
      <w:marLeft w:val="0"/>
      <w:marRight w:val="0"/>
      <w:marTop w:val="0"/>
      <w:marBottom w:val="0"/>
      <w:divBdr>
        <w:top w:val="none" w:sz="0" w:space="0" w:color="auto"/>
        <w:left w:val="none" w:sz="0" w:space="0" w:color="auto"/>
        <w:bottom w:val="none" w:sz="0" w:space="0" w:color="auto"/>
        <w:right w:val="none" w:sz="0" w:space="0" w:color="auto"/>
      </w:divBdr>
    </w:div>
    <w:div w:id="1853450014">
      <w:bodyDiv w:val="1"/>
      <w:marLeft w:val="0"/>
      <w:marRight w:val="0"/>
      <w:marTop w:val="0"/>
      <w:marBottom w:val="0"/>
      <w:divBdr>
        <w:top w:val="none" w:sz="0" w:space="0" w:color="auto"/>
        <w:left w:val="none" w:sz="0" w:space="0" w:color="auto"/>
        <w:bottom w:val="none" w:sz="0" w:space="0" w:color="auto"/>
        <w:right w:val="none" w:sz="0" w:space="0" w:color="auto"/>
      </w:divBdr>
    </w:div>
    <w:div w:id="199105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2BDB7-0975-4ACF-86AA-36E7EA27F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0771988-9F83-47F7-B04F-1EBF05F121A8}">
  <ds:schemaRefs>
    <ds:schemaRef ds:uri="http://purl.org/dc/elements/1.1/"/>
    <ds:schemaRef ds:uri="http://schemas.microsoft.com/office/2006/documentManagement/types"/>
    <ds:schemaRef ds:uri="http://schemas.microsoft.com/office/infopath/2007/PartnerControls"/>
    <ds:schemaRef ds:uri="http://www.w3.org/XML/1998/namespace"/>
    <ds:schemaRef ds:uri="http://purl.org/dc/dcmitype/"/>
    <ds:schemaRef ds:uri="http://purl.org/dc/terms/"/>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09BA799E-EB05-4D4B-B025-C91B429E620D}">
  <ds:schemaRefs>
    <ds:schemaRef ds:uri="http://schemas.microsoft.com/sharepoint/v3/contenttype/forms"/>
  </ds:schemaRefs>
</ds:datastoreItem>
</file>

<file path=customXml/itemProps4.xml><?xml version="1.0" encoding="utf-8"?>
<ds:datastoreItem xmlns:ds="http://schemas.openxmlformats.org/officeDocument/2006/customXml" ds:itemID="{D0AE77E3-A8C9-49FC-B192-6CE80CB2E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1135</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17-551 Triple Bottom Line Assessment</vt:lpstr>
    </vt:vector>
  </TitlesOfParts>
  <Company>ACT Government</Company>
  <LinksUpToDate>false</LinksUpToDate>
  <CharactersWithSpaces>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17-551 Triple Bottom Line Assessment</dc:title>
  <dc:subject/>
  <dc:creator>ACT Government</dc:creator>
  <cp:keywords/>
  <dc:description/>
  <cp:lastModifiedBy>Maniacherry, Ponnu</cp:lastModifiedBy>
  <cp:revision>65</cp:revision>
  <cp:lastPrinted>2018-05-29T07:24:00Z</cp:lastPrinted>
  <dcterms:created xsi:type="dcterms:W3CDTF">2018-05-14T23:19:00Z</dcterms:created>
  <dcterms:modified xsi:type="dcterms:W3CDTF">2018-07-11T03:05:00Z</dcterms:modified>
</cp:coreProperties>
</file>