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07" w:rsidRPr="00040AA2" w:rsidRDefault="009B3707" w:rsidP="009B3707">
      <w:pPr>
        <w:spacing w:after="160" w:line="259" w:lineRule="auto"/>
        <w:rPr>
          <w:rFonts w:ascii="Calibri" w:hAnsi="Calibri"/>
          <w:b/>
          <w:bCs/>
          <w:color w:val="000000"/>
          <w:sz w:val="20"/>
          <w:szCs w:val="20"/>
        </w:rPr>
      </w:pPr>
      <w:bookmarkStart w:id="0" w:name="_GoBack"/>
      <w:r w:rsidRPr="00040AA2">
        <w:rPr>
          <w:rFonts w:ascii="Calibri" w:hAnsi="Calibri"/>
          <w:b/>
          <w:bCs/>
          <w:color w:val="000000"/>
          <w:sz w:val="20"/>
          <w:szCs w:val="20"/>
        </w:rPr>
        <w:t>18/339 Crimes (Restorative Justice) Amendment Bill 2018 – policy approval</w:t>
      </w:r>
    </w:p>
    <w:bookmarkEnd w:id="0"/>
    <w:p w:rsidR="009B3707" w:rsidRPr="00040AA2" w:rsidRDefault="009B3707" w:rsidP="009B3707">
      <w:pPr>
        <w:spacing w:after="120"/>
        <w:jc w:val="both"/>
        <w:rPr>
          <w:rFonts w:ascii="Calibri" w:hAnsi="Calibri"/>
          <w:bCs/>
          <w:i/>
          <w:color w:val="000000"/>
          <w:sz w:val="20"/>
          <w:szCs w:val="20"/>
        </w:rPr>
      </w:pPr>
      <w:r w:rsidRPr="00040AA2">
        <w:rPr>
          <w:rFonts w:ascii="Calibri" w:hAnsi="Calibri"/>
          <w:bCs/>
          <w:i/>
          <w:color w:val="000000"/>
          <w:sz w:val="20"/>
          <w:szCs w:val="20"/>
        </w:rPr>
        <w:t>(</w:t>
      </w:r>
      <w:proofErr w:type="gramStart"/>
      <w:r w:rsidRPr="00040AA2">
        <w:rPr>
          <w:rFonts w:ascii="Calibri" w:hAnsi="Calibri"/>
          <w:bCs/>
          <w:i/>
          <w:color w:val="000000"/>
          <w:sz w:val="20"/>
          <w:szCs w:val="20"/>
        </w:rPr>
        <w:t>refers</w:t>
      </w:r>
      <w:proofErr w:type="gramEnd"/>
      <w:r w:rsidRPr="00040AA2">
        <w:rPr>
          <w:rFonts w:ascii="Calibri" w:hAnsi="Calibri"/>
          <w:bCs/>
          <w:i/>
          <w:color w:val="000000"/>
          <w:sz w:val="20"/>
          <w:szCs w:val="20"/>
        </w:rPr>
        <w:t xml:space="preserve"> to 18/340/CAB - Crimes (Restorative Justice) Amendment Bill 2018)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9B3707" w:rsidRPr="00040AA2" w:rsidTr="00944488">
        <w:trPr>
          <w:jc w:val="center"/>
        </w:trPr>
        <w:tc>
          <w:tcPr>
            <w:tcW w:w="9105" w:type="dxa"/>
          </w:tcPr>
          <w:p w:rsidR="009B3707" w:rsidRPr="00040AA2" w:rsidRDefault="009B3707" w:rsidP="00944488">
            <w:pPr>
              <w:spacing w:before="60" w:after="0"/>
              <w:jc w:val="both"/>
              <w:rPr>
                <w:rFonts w:ascii="Calibri" w:hAnsi="Calibri"/>
                <w:b/>
                <w:bCs/>
                <w:color w:val="000000"/>
                <w:sz w:val="20"/>
                <w:szCs w:val="20"/>
              </w:rPr>
            </w:pPr>
            <w:r w:rsidRPr="00040AA2">
              <w:rPr>
                <w:rFonts w:ascii="Calibri" w:hAnsi="Calibri"/>
                <w:b/>
                <w:bCs/>
                <w:color w:val="000000"/>
                <w:sz w:val="20"/>
                <w:szCs w:val="20"/>
              </w:rPr>
              <w:t>Summary of Impacts</w:t>
            </w:r>
          </w:p>
        </w:tc>
      </w:tr>
      <w:tr w:rsidR="009B3707" w:rsidRPr="00040AA2" w:rsidTr="00944488">
        <w:trPr>
          <w:jc w:val="center"/>
        </w:trPr>
        <w:tc>
          <w:tcPr>
            <w:tcW w:w="9105"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This Bill will amend the </w:t>
            </w:r>
            <w:r w:rsidRPr="00577F9A">
              <w:rPr>
                <w:rFonts w:ascii="Calibri" w:hAnsi="Calibri"/>
                <w:i/>
                <w:color w:val="000000"/>
                <w:sz w:val="20"/>
                <w:szCs w:val="20"/>
              </w:rPr>
              <w:t>Crimes (Restorative Justice) Act 2004</w:t>
            </w:r>
            <w:r w:rsidRPr="00040AA2">
              <w:rPr>
                <w:rFonts w:ascii="Calibri" w:hAnsi="Calibri"/>
                <w:color w:val="000000"/>
                <w:sz w:val="20"/>
                <w:szCs w:val="20"/>
              </w:rPr>
              <w:t xml:space="preserve"> to enhance access to the ACT’s Restorative Justice System. </w:t>
            </w:r>
          </w:p>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Bill introduces a number of amendments to the Act which will allow for the Restorative Justice Unit</w:t>
            </w:r>
            <w:r>
              <w:rPr>
                <w:rFonts w:ascii="Calibri" w:hAnsi="Calibri"/>
                <w:color w:val="000000"/>
                <w:sz w:val="20"/>
                <w:szCs w:val="20"/>
              </w:rPr>
              <w:t xml:space="preserve"> (RJU)</w:t>
            </w:r>
            <w:r w:rsidRPr="00040AA2">
              <w:rPr>
                <w:rFonts w:ascii="Calibri" w:hAnsi="Calibri"/>
                <w:color w:val="000000"/>
                <w:sz w:val="20"/>
                <w:szCs w:val="20"/>
              </w:rPr>
              <w:t>, rather than referring entities, to assess suitability of partici</w:t>
            </w:r>
            <w:r>
              <w:rPr>
                <w:rFonts w:ascii="Calibri" w:hAnsi="Calibri"/>
                <w:color w:val="000000"/>
                <w:sz w:val="20"/>
                <w:szCs w:val="20"/>
              </w:rPr>
              <w:t>pants  for restorative justice,</w:t>
            </w:r>
            <w:r w:rsidRPr="00040AA2">
              <w:rPr>
                <w:rFonts w:ascii="Calibri" w:hAnsi="Calibri"/>
                <w:color w:val="000000"/>
                <w:sz w:val="20"/>
                <w:szCs w:val="20"/>
              </w:rPr>
              <w:t xml:space="preserve"> clarify provisions in the Act relating to court referral procedures, allow for convenors to flexibly obtain written consent from participants, modernise the terminology of the Act and introduce a changed threshold for young offenders to meet in relation to the taking of responsibility to allow them to be referred </w:t>
            </w:r>
            <w:r>
              <w:rPr>
                <w:rFonts w:ascii="Calibri" w:hAnsi="Calibri"/>
                <w:color w:val="000000"/>
                <w:sz w:val="20"/>
                <w:szCs w:val="20"/>
              </w:rPr>
              <w:t>for</w:t>
            </w:r>
            <w:r w:rsidRPr="00040AA2">
              <w:rPr>
                <w:rFonts w:ascii="Calibri" w:hAnsi="Calibri"/>
                <w:color w:val="000000"/>
                <w:sz w:val="20"/>
                <w:szCs w:val="20"/>
              </w:rPr>
              <w:t xml:space="preserve"> </w:t>
            </w:r>
            <w:r>
              <w:rPr>
                <w:rFonts w:ascii="Calibri" w:hAnsi="Calibri"/>
                <w:color w:val="000000"/>
                <w:sz w:val="20"/>
                <w:szCs w:val="20"/>
              </w:rPr>
              <w:t>r</w:t>
            </w:r>
            <w:r w:rsidRPr="0017568A">
              <w:rPr>
                <w:rFonts w:ascii="Calibri" w:hAnsi="Calibri"/>
                <w:color w:val="000000"/>
                <w:sz w:val="20"/>
                <w:szCs w:val="20"/>
              </w:rPr>
              <w:t xml:space="preserve">estorative </w:t>
            </w:r>
            <w:r>
              <w:rPr>
                <w:rFonts w:ascii="Calibri" w:hAnsi="Calibri"/>
                <w:color w:val="000000"/>
                <w:sz w:val="20"/>
                <w:szCs w:val="20"/>
              </w:rPr>
              <w:t>j</w:t>
            </w:r>
            <w:r w:rsidRPr="0017568A">
              <w:rPr>
                <w:rFonts w:ascii="Calibri" w:hAnsi="Calibri"/>
                <w:color w:val="000000"/>
                <w:sz w:val="20"/>
                <w:szCs w:val="20"/>
              </w:rPr>
              <w:t>ustice</w:t>
            </w:r>
            <w:r>
              <w:rPr>
                <w:rFonts w:ascii="Calibri" w:hAnsi="Calibri"/>
                <w:color w:val="000000"/>
                <w:sz w:val="20"/>
                <w:szCs w:val="20"/>
              </w:rPr>
              <w:t>.</w:t>
            </w:r>
          </w:p>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This Bill responds to barriers to referrals which were identified by referring entities throughout the implementation of Phase 2 of the ACT’s Restorative Justice Scheme. </w:t>
            </w:r>
          </w:p>
        </w:tc>
      </w:tr>
    </w:tbl>
    <w:p w:rsidR="009B3707" w:rsidRPr="00040AA2" w:rsidRDefault="009B3707" w:rsidP="009B3707">
      <w:pPr>
        <w:spacing w:after="120"/>
        <w:rPr>
          <w:rFonts w:ascii="Calibri" w:hAnsi="Calibri"/>
          <w:i/>
          <w:color w:val="000000"/>
          <w:sz w:val="20"/>
          <w:szCs w:val="20"/>
        </w:rPr>
      </w:pPr>
      <w:r w:rsidRPr="00040AA2">
        <w:rPr>
          <w:rFonts w:ascii="Calibri" w:hAnsi="Calibri"/>
          <w:i/>
          <w:color w:val="000000"/>
          <w:sz w:val="20"/>
          <w:szCs w:val="20"/>
        </w:rPr>
        <w:t xml:space="preserve">Key to impacts: Red – negative, </w:t>
      </w:r>
      <w:proofErr w:type="gramStart"/>
      <w:r w:rsidRPr="00040AA2">
        <w:rPr>
          <w:rFonts w:ascii="Calibri" w:hAnsi="Calibri"/>
          <w:i/>
          <w:color w:val="000000"/>
          <w:sz w:val="20"/>
          <w:szCs w:val="20"/>
        </w:rPr>
        <w:t>Blue</w:t>
      </w:r>
      <w:proofErr w:type="gramEnd"/>
      <w:r w:rsidRPr="00040AA2">
        <w:rPr>
          <w:rFonts w:ascii="Calibri" w:hAnsi="Calibri"/>
          <w:i/>
          <w:color w:val="000000"/>
          <w:sz w:val="20"/>
          <w:szCs w:val="20"/>
        </w:rPr>
        <w:t xml:space="preserve"> - neutral and Green - Positive.</w:t>
      </w:r>
    </w:p>
    <w:p w:rsidR="009B3707" w:rsidRPr="00040AA2" w:rsidRDefault="009B3707" w:rsidP="009B3707">
      <w:pPr>
        <w:spacing w:before="120" w:after="0"/>
        <w:jc w:val="both"/>
        <w:rPr>
          <w:rFonts w:ascii="Calibri" w:hAnsi="Calibri"/>
          <w:b/>
          <w:bCs/>
          <w:color w:val="000000"/>
          <w:sz w:val="20"/>
          <w:szCs w:val="20"/>
        </w:rPr>
      </w:pPr>
      <w:r w:rsidRPr="00040AA2">
        <w:rPr>
          <w:rFonts w:ascii="Calibri" w:hAnsi="Calibri"/>
          <w:b/>
          <w:bCs/>
          <w:color w:val="000000"/>
          <w:sz w:val="20"/>
          <w:szCs w:val="2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498"/>
      </w:tblGrid>
      <w:tr w:rsidR="009B3707" w:rsidRPr="00040AA2" w:rsidTr="00944488">
        <w:trPr>
          <w:jc w:val="center"/>
        </w:trPr>
        <w:tc>
          <w:tcPr>
            <w:tcW w:w="1526" w:type="dxa"/>
            <w:shd w:val="clear" w:color="auto" w:fill="92D050"/>
          </w:tcPr>
          <w:p w:rsidR="009B3707" w:rsidRPr="00040AA2" w:rsidRDefault="009B3707" w:rsidP="00944488">
            <w:pPr>
              <w:rPr>
                <w:rFonts w:ascii="Calibri" w:hAnsi="Calibri"/>
                <w:color w:val="000000"/>
                <w:sz w:val="20"/>
                <w:szCs w:val="20"/>
              </w:rPr>
            </w:pPr>
            <w:r w:rsidRPr="00040AA2">
              <w:rPr>
                <w:rFonts w:ascii="Calibri" w:hAnsi="Calibri"/>
                <w:b/>
                <w:bCs/>
                <w:color w:val="000000"/>
                <w:sz w:val="20"/>
                <w:szCs w:val="20"/>
              </w:rPr>
              <w:t>ACT Government Budget</w:t>
            </w:r>
          </w:p>
        </w:tc>
        <w:tc>
          <w:tcPr>
            <w:tcW w:w="7716"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This Bill promotes access to services, by reducing barriers to referrals to restorative justice in the ACT. </w:t>
            </w:r>
          </w:p>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Increased access to restorative justice offers more victims of crime the opportunity to engage with and have their needs considered in a criminal justice process.</w:t>
            </w:r>
          </w:p>
        </w:tc>
      </w:tr>
      <w:tr w:rsidR="009B3707" w:rsidRPr="00040AA2" w:rsidTr="00944488">
        <w:trPr>
          <w:jc w:val="center"/>
        </w:trPr>
        <w:tc>
          <w:tcPr>
            <w:tcW w:w="1526" w:type="dxa"/>
            <w:shd w:val="clear" w:color="auto" w:fill="0070C0"/>
          </w:tcPr>
          <w:p w:rsidR="009B3707" w:rsidRPr="00040AA2" w:rsidRDefault="009B3707" w:rsidP="00944488">
            <w:pPr>
              <w:rPr>
                <w:rFonts w:ascii="Calibri" w:hAnsi="Calibri"/>
                <w:b/>
                <w:bCs/>
                <w:color w:val="000000"/>
                <w:sz w:val="20"/>
                <w:szCs w:val="20"/>
              </w:rPr>
            </w:pPr>
            <w:r w:rsidRPr="00040AA2">
              <w:rPr>
                <w:rFonts w:ascii="Calibri" w:hAnsi="Calibri"/>
                <w:b/>
                <w:bCs/>
                <w:color w:val="000000"/>
                <w:sz w:val="20"/>
                <w:szCs w:val="20"/>
              </w:rPr>
              <w:t>Human Rights</w:t>
            </w:r>
          </w:p>
        </w:tc>
        <w:tc>
          <w:tcPr>
            <w:tcW w:w="7716"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 amendments will potentially engage a range of human rights under the </w:t>
            </w:r>
            <w:r w:rsidRPr="00040AA2">
              <w:rPr>
                <w:rFonts w:ascii="Calibri" w:hAnsi="Calibri"/>
                <w:i/>
                <w:color w:val="000000"/>
                <w:sz w:val="20"/>
                <w:szCs w:val="20"/>
              </w:rPr>
              <w:t>Human Rights Act 2004.</w:t>
            </w:r>
            <w:r w:rsidRPr="00040AA2">
              <w:rPr>
                <w:rFonts w:ascii="Calibri" w:hAnsi="Calibri"/>
                <w:color w:val="000000"/>
                <w:sz w:val="20"/>
                <w:szCs w:val="20"/>
              </w:rPr>
              <w:t>All amendments will be subject to a human rights assessment throughout the development of the Bill.</w:t>
            </w:r>
          </w:p>
        </w:tc>
      </w:tr>
      <w:tr w:rsidR="009B3707" w:rsidRPr="00040AA2" w:rsidTr="00944488">
        <w:trPr>
          <w:trHeight w:val="598"/>
          <w:jc w:val="center"/>
        </w:trPr>
        <w:tc>
          <w:tcPr>
            <w:tcW w:w="1526" w:type="dxa"/>
            <w:shd w:val="clear" w:color="auto" w:fill="92D050"/>
          </w:tcPr>
          <w:p w:rsidR="009B3707" w:rsidRPr="00040AA2" w:rsidRDefault="009B3707" w:rsidP="00944488">
            <w:pPr>
              <w:spacing w:after="0" w:line="240" w:lineRule="auto"/>
              <w:rPr>
                <w:rFonts w:ascii="Calibri" w:hAnsi="Calibri"/>
                <w:b/>
                <w:bCs/>
                <w:color w:val="000000"/>
                <w:sz w:val="20"/>
                <w:szCs w:val="20"/>
              </w:rPr>
            </w:pPr>
            <w:r w:rsidRPr="00040AA2">
              <w:rPr>
                <w:rFonts w:ascii="Calibri" w:hAnsi="Calibri"/>
                <w:b/>
                <w:bCs/>
                <w:color w:val="000000"/>
                <w:sz w:val="20"/>
                <w:szCs w:val="20"/>
              </w:rPr>
              <w:t>Indigenous and Multicultural</w:t>
            </w:r>
          </w:p>
        </w:tc>
        <w:tc>
          <w:tcPr>
            <w:tcW w:w="7716" w:type="dxa"/>
          </w:tcPr>
          <w:p w:rsidR="009B3707" w:rsidRPr="00040AA2" w:rsidRDefault="009B3707" w:rsidP="00944488">
            <w:pPr>
              <w:numPr>
                <w:ilvl w:val="0"/>
                <w:numId w:val="1"/>
              </w:numPr>
              <w:spacing w:after="0" w:line="240" w:lineRule="auto"/>
              <w:ind w:left="357" w:hanging="357"/>
              <w:rPr>
                <w:rFonts w:ascii="Calibri" w:hAnsi="Calibri"/>
                <w:color w:val="000000"/>
                <w:sz w:val="20"/>
                <w:szCs w:val="20"/>
              </w:rPr>
            </w:pPr>
            <w:r w:rsidRPr="00040AA2">
              <w:rPr>
                <w:rFonts w:ascii="Calibri" w:hAnsi="Calibri"/>
                <w:color w:val="000000"/>
                <w:sz w:val="20"/>
                <w:szCs w:val="20"/>
              </w:rPr>
              <w:t xml:space="preserve">This Bill will support Aboriginal and Torres Strait Islander </w:t>
            </w:r>
            <w:proofErr w:type="spellStart"/>
            <w:r w:rsidRPr="00040AA2">
              <w:rPr>
                <w:rFonts w:ascii="Calibri" w:hAnsi="Calibri"/>
                <w:color w:val="000000"/>
                <w:sz w:val="20"/>
                <w:szCs w:val="20"/>
              </w:rPr>
              <w:t>Canberrans</w:t>
            </w:r>
            <w:proofErr w:type="spellEnd"/>
            <w:r w:rsidRPr="00040AA2">
              <w:rPr>
                <w:rFonts w:ascii="Calibri" w:hAnsi="Calibri"/>
                <w:color w:val="000000"/>
                <w:sz w:val="20"/>
                <w:szCs w:val="20"/>
              </w:rPr>
              <w:t xml:space="preserve"> through enhancing access to the restorative justice scheme.</w:t>
            </w:r>
          </w:p>
        </w:tc>
      </w:tr>
      <w:tr w:rsidR="009B3707" w:rsidRPr="00040AA2" w:rsidTr="00944488">
        <w:trPr>
          <w:jc w:val="center"/>
        </w:trPr>
        <w:tc>
          <w:tcPr>
            <w:tcW w:w="1526" w:type="dxa"/>
            <w:shd w:val="clear" w:color="auto" w:fill="92D050"/>
          </w:tcPr>
          <w:p w:rsidR="009B3707" w:rsidRPr="00040AA2" w:rsidRDefault="009B3707" w:rsidP="00944488">
            <w:pPr>
              <w:rPr>
                <w:rFonts w:ascii="Calibri" w:hAnsi="Calibri"/>
                <w:b/>
                <w:bCs/>
                <w:color w:val="000000"/>
                <w:sz w:val="20"/>
                <w:szCs w:val="20"/>
              </w:rPr>
            </w:pPr>
            <w:r w:rsidRPr="00040AA2">
              <w:rPr>
                <w:rFonts w:ascii="Calibri" w:hAnsi="Calibri"/>
                <w:b/>
                <w:bCs/>
                <w:color w:val="000000"/>
                <w:sz w:val="20"/>
                <w:szCs w:val="20"/>
              </w:rPr>
              <w:t>Disability</w:t>
            </w:r>
          </w:p>
        </w:tc>
        <w:tc>
          <w:tcPr>
            <w:tcW w:w="7716"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Amendments to the eligibility criteria will reduce the administrative burden on referring entities within the criminal justice system making referrals to the RJU.</w:t>
            </w:r>
          </w:p>
        </w:tc>
      </w:tr>
      <w:tr w:rsidR="009B3707" w:rsidRPr="00040AA2" w:rsidTr="00944488">
        <w:trPr>
          <w:jc w:val="center"/>
        </w:trPr>
        <w:tc>
          <w:tcPr>
            <w:tcW w:w="1526" w:type="dxa"/>
            <w:shd w:val="clear" w:color="auto" w:fill="92D050"/>
          </w:tcPr>
          <w:p w:rsidR="009B3707" w:rsidRPr="00040AA2" w:rsidRDefault="009B3707" w:rsidP="00944488">
            <w:pPr>
              <w:spacing w:after="0" w:line="240" w:lineRule="auto"/>
              <w:rPr>
                <w:rFonts w:ascii="Calibri" w:hAnsi="Calibri"/>
                <w:b/>
                <w:bCs/>
                <w:color w:val="000000"/>
                <w:sz w:val="20"/>
                <w:szCs w:val="20"/>
              </w:rPr>
            </w:pPr>
            <w:r w:rsidRPr="00040AA2">
              <w:rPr>
                <w:rFonts w:ascii="Calibri" w:hAnsi="Calibri"/>
                <w:b/>
                <w:bCs/>
                <w:color w:val="000000"/>
                <w:sz w:val="20"/>
                <w:szCs w:val="20"/>
              </w:rPr>
              <w:t>Justice and crime</w:t>
            </w:r>
          </w:p>
        </w:tc>
        <w:tc>
          <w:tcPr>
            <w:tcW w:w="7716"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amendments will support more young people being referred to restorative justice.</w:t>
            </w:r>
          </w:p>
        </w:tc>
      </w:tr>
      <w:tr w:rsidR="009B3707" w:rsidRPr="00040AA2" w:rsidTr="00944488">
        <w:trPr>
          <w:jc w:val="center"/>
        </w:trPr>
        <w:tc>
          <w:tcPr>
            <w:tcW w:w="1526" w:type="dxa"/>
            <w:shd w:val="clear" w:color="auto" w:fill="92D050"/>
          </w:tcPr>
          <w:p w:rsidR="009B3707" w:rsidRPr="00040AA2" w:rsidRDefault="009B3707" w:rsidP="00944488">
            <w:pPr>
              <w:spacing w:after="0" w:line="240" w:lineRule="auto"/>
              <w:rPr>
                <w:rFonts w:ascii="Calibri" w:hAnsi="Calibri"/>
                <w:b/>
                <w:bCs/>
                <w:color w:val="000000"/>
                <w:sz w:val="20"/>
                <w:szCs w:val="20"/>
              </w:rPr>
            </w:pPr>
            <w:r w:rsidRPr="00040AA2">
              <w:rPr>
                <w:rFonts w:ascii="Calibri" w:hAnsi="Calibri"/>
                <w:b/>
                <w:bCs/>
                <w:color w:val="000000"/>
                <w:sz w:val="20"/>
                <w:szCs w:val="20"/>
              </w:rPr>
              <w:t>Impact on different age groups</w:t>
            </w:r>
          </w:p>
        </w:tc>
        <w:tc>
          <w:tcPr>
            <w:tcW w:w="7716"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amendments will support more young people being referred to restorative justice.</w:t>
            </w:r>
          </w:p>
        </w:tc>
      </w:tr>
      <w:tr w:rsidR="009B3707" w:rsidRPr="00040AA2" w:rsidTr="00944488">
        <w:trPr>
          <w:jc w:val="center"/>
        </w:trPr>
        <w:tc>
          <w:tcPr>
            <w:tcW w:w="1526" w:type="dxa"/>
            <w:shd w:val="clear" w:color="auto" w:fill="92D050"/>
          </w:tcPr>
          <w:p w:rsidR="009B3707" w:rsidRPr="00040AA2" w:rsidRDefault="009B3707" w:rsidP="00944488">
            <w:pPr>
              <w:spacing w:after="0" w:line="240" w:lineRule="auto"/>
              <w:rPr>
                <w:rFonts w:ascii="Calibri" w:hAnsi="Calibri"/>
                <w:b/>
                <w:bCs/>
                <w:color w:val="000000"/>
                <w:sz w:val="20"/>
                <w:szCs w:val="20"/>
              </w:rPr>
            </w:pPr>
            <w:r w:rsidRPr="00040AA2">
              <w:rPr>
                <w:rFonts w:ascii="Calibri" w:hAnsi="Calibri"/>
                <w:b/>
                <w:bCs/>
                <w:color w:val="000000"/>
                <w:sz w:val="20"/>
                <w:szCs w:val="20"/>
              </w:rPr>
              <w:t>Women</w:t>
            </w:r>
          </w:p>
        </w:tc>
        <w:tc>
          <w:tcPr>
            <w:tcW w:w="7716"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amendments will provide greater agency for women to explore whether their needs may be met by a restorative justice process. This amendment will be particularly relevant for women following the commencement of Phase 3, which will allow for referrals of family violence and sexual offences to restorative justice.</w:t>
            </w:r>
          </w:p>
        </w:tc>
      </w:tr>
    </w:tbl>
    <w:p w:rsidR="009B3707" w:rsidRPr="00040AA2" w:rsidRDefault="009B3707" w:rsidP="009B3707">
      <w:pPr>
        <w:spacing w:before="120" w:after="0"/>
        <w:jc w:val="both"/>
        <w:rPr>
          <w:rFonts w:ascii="Calibri" w:hAnsi="Calibri"/>
          <w:b/>
          <w:bCs/>
          <w:color w:val="000000"/>
          <w:sz w:val="20"/>
          <w:szCs w:val="20"/>
        </w:rPr>
      </w:pPr>
      <w:r w:rsidRPr="00040AA2">
        <w:rPr>
          <w:rFonts w:ascii="Calibri" w:hAnsi="Calibri"/>
          <w:b/>
          <w:bCs/>
          <w:color w:val="000000"/>
          <w:sz w:val="20"/>
          <w:szCs w:val="2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7"/>
        <w:gridCol w:w="7499"/>
      </w:tblGrid>
      <w:tr w:rsidR="009B3707" w:rsidRPr="00040AA2" w:rsidTr="00944488">
        <w:trPr>
          <w:jc w:val="center"/>
        </w:trPr>
        <w:tc>
          <w:tcPr>
            <w:tcW w:w="1526" w:type="dxa"/>
            <w:shd w:val="clear" w:color="auto" w:fill="0070C0"/>
          </w:tcPr>
          <w:p w:rsidR="009B3707" w:rsidRPr="00040AA2" w:rsidRDefault="009B3707" w:rsidP="00944488">
            <w:pPr>
              <w:jc w:val="both"/>
              <w:rPr>
                <w:rFonts w:ascii="Calibri" w:hAnsi="Calibri"/>
                <w:color w:val="000000"/>
                <w:sz w:val="20"/>
                <w:szCs w:val="20"/>
              </w:rPr>
            </w:pPr>
            <w:r w:rsidRPr="00040AA2">
              <w:rPr>
                <w:rFonts w:ascii="Calibri" w:hAnsi="Calibri"/>
                <w:b/>
                <w:bCs/>
                <w:color w:val="000000"/>
                <w:sz w:val="20"/>
                <w:szCs w:val="20"/>
              </w:rPr>
              <w:t>ACT Government Budget</w:t>
            </w:r>
          </w:p>
        </w:tc>
        <w:tc>
          <w:tcPr>
            <w:tcW w:w="7716"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 amendments will not have immediate financial impacts for the ACT Government Budget. It is anticipated that they will result in more referrals being made to the Restorative Justice Unit, creating potential resourcing implications for the Justice and Community Safety Directorate. </w:t>
            </w:r>
          </w:p>
        </w:tc>
      </w:tr>
      <w:tr w:rsidR="009B3707" w:rsidRPr="00040AA2" w:rsidTr="00944488">
        <w:trPr>
          <w:jc w:val="center"/>
        </w:trPr>
        <w:tc>
          <w:tcPr>
            <w:tcW w:w="1526" w:type="dxa"/>
            <w:shd w:val="clear" w:color="auto" w:fill="92D050"/>
          </w:tcPr>
          <w:p w:rsidR="009B3707" w:rsidRPr="00040AA2" w:rsidRDefault="009B3707" w:rsidP="00944488">
            <w:pPr>
              <w:shd w:val="clear" w:color="auto" w:fill="92D050"/>
              <w:jc w:val="both"/>
              <w:rPr>
                <w:rFonts w:ascii="Calibri" w:hAnsi="Calibri"/>
                <w:color w:val="000000"/>
                <w:sz w:val="20"/>
                <w:szCs w:val="20"/>
              </w:rPr>
            </w:pPr>
            <w:r w:rsidRPr="00040AA2">
              <w:rPr>
                <w:rFonts w:ascii="Calibri" w:hAnsi="Calibri"/>
                <w:b/>
                <w:bCs/>
                <w:color w:val="000000"/>
                <w:sz w:val="20"/>
                <w:szCs w:val="20"/>
              </w:rPr>
              <w:t>Productivity</w:t>
            </w:r>
          </w:p>
        </w:tc>
        <w:tc>
          <w:tcPr>
            <w:tcW w:w="7716" w:type="dxa"/>
          </w:tcPr>
          <w:p w:rsidR="009B3707" w:rsidRPr="00040AA2" w:rsidRDefault="009B3707"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These amendments reduce red tape by removing administrative duplication from the Act. This will support the productivity of referring entities by reducing the administrative burden placed on agencies in the criminal justice system. </w:t>
            </w:r>
          </w:p>
        </w:tc>
      </w:tr>
    </w:tbl>
    <w:p w:rsidR="009B3707" w:rsidRPr="00040AA2" w:rsidRDefault="009B3707" w:rsidP="009B3707">
      <w:pPr>
        <w:spacing w:before="120" w:after="0"/>
        <w:jc w:val="both"/>
        <w:rPr>
          <w:rFonts w:ascii="Calibri" w:hAnsi="Calibri"/>
          <w:b/>
          <w:bCs/>
          <w:color w:val="000000"/>
          <w:sz w:val="20"/>
          <w:szCs w:val="20"/>
        </w:rPr>
      </w:pPr>
      <w:r w:rsidRPr="00040AA2">
        <w:rPr>
          <w:rFonts w:ascii="Calibri" w:hAnsi="Calibri"/>
          <w:b/>
          <w:bCs/>
          <w:color w:val="000000"/>
          <w:sz w:val="20"/>
          <w:szCs w:val="20"/>
        </w:rPr>
        <w:t>Environmental</w:t>
      </w:r>
    </w:p>
    <w:p w:rsidR="009B3707" w:rsidRPr="00040AA2" w:rsidRDefault="009B3707" w:rsidP="009B3707">
      <w:pPr>
        <w:rPr>
          <w:rFonts w:ascii="Calibri" w:hAnsi="Calibri"/>
          <w:color w:val="000000"/>
          <w:sz w:val="20"/>
          <w:szCs w:val="20"/>
        </w:rPr>
      </w:pPr>
      <w:r w:rsidRPr="00040AA2">
        <w:rPr>
          <w:rFonts w:ascii="Calibri" w:hAnsi="Calibri"/>
          <w:color w:val="000000"/>
          <w:sz w:val="20"/>
          <w:szCs w:val="20"/>
        </w:rPr>
        <w:t>Nil impact</w:t>
      </w:r>
    </w:p>
    <w:p w:rsidR="00EF244B" w:rsidRDefault="00EF244B"/>
    <w:sectPr w:rsidR="00EF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4FF2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B2"/>
    <w:rsid w:val="00836D93"/>
    <w:rsid w:val="008E5EB2"/>
    <w:rsid w:val="009B3707"/>
    <w:rsid w:val="00EF2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2967-FFFE-472E-9BD7-77D270E1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707"/>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3598F-9EDD-42AF-B006-E357C2B5555E}">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0C1FF5-8D09-4B65-85FF-249A4E263D61}">
  <ds:schemaRefs>
    <ds:schemaRef ds:uri="http://schemas.microsoft.com/sharepoint/v3/contenttype/forms"/>
  </ds:schemaRefs>
</ds:datastoreItem>
</file>

<file path=customXml/itemProps3.xml><?xml version="1.0" encoding="utf-8"?>
<ds:datastoreItem xmlns:ds="http://schemas.openxmlformats.org/officeDocument/2006/customXml" ds:itemID="{6F332097-36FD-407D-8C40-792B898C5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18/339 Crimes (Restorative Justice) Amendment Bill 2018 – policy approval</dc:title>
  <dc:subject>18/339 Crimes (Restorative Justice) Amendment Bill 2018 – policy approval</dc:subject>
  <dc:creator>ACT Government</dc:creator>
  <cp:keywords/>
  <dc:description/>
  <cp:lastModifiedBy>Maniacherry, Ponnu</cp:lastModifiedBy>
  <cp:revision>3</cp:revision>
  <dcterms:created xsi:type="dcterms:W3CDTF">2018-09-24T04:34:00Z</dcterms:created>
  <dcterms:modified xsi:type="dcterms:W3CDTF">2018-09-28T01:38:00Z</dcterms:modified>
</cp:coreProperties>
</file>