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081" w:rsidRPr="00184260" w:rsidRDefault="005D7081" w:rsidP="005D7081">
      <w:pPr>
        <w:spacing w:after="120"/>
        <w:jc w:val="both"/>
        <w:rPr>
          <w:rFonts w:ascii="Calibri" w:hAnsi="Calibri"/>
          <w:b/>
          <w:bCs/>
        </w:rPr>
      </w:pPr>
      <w:r w:rsidRPr="00184260">
        <w:rPr>
          <w:rFonts w:ascii="Calibri" w:hAnsi="Calibri"/>
          <w:b/>
          <w:bCs/>
        </w:rPr>
        <w:t>18/505: Government Response to the Independent Expert Review into Dog Management in the 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7081" w:rsidRPr="00184260" w:rsidTr="00647CB8">
        <w:trPr>
          <w:jc w:val="center"/>
        </w:trPr>
        <w:tc>
          <w:tcPr>
            <w:tcW w:w="9016" w:type="dxa"/>
          </w:tcPr>
          <w:p w:rsidR="005D7081" w:rsidRPr="00184260" w:rsidRDefault="005D7081" w:rsidP="00647CB8">
            <w:pPr>
              <w:spacing w:before="60" w:after="0"/>
              <w:jc w:val="both"/>
              <w:rPr>
                <w:rFonts w:ascii="Calibri" w:hAnsi="Calibri"/>
                <w:b/>
                <w:bCs/>
              </w:rPr>
            </w:pPr>
            <w:r w:rsidRPr="00184260">
              <w:rPr>
                <w:rFonts w:ascii="Calibri" w:hAnsi="Calibri"/>
                <w:b/>
                <w:bCs/>
              </w:rPr>
              <w:t>Summary of Impacts</w:t>
            </w:r>
          </w:p>
        </w:tc>
      </w:tr>
      <w:tr w:rsidR="005D7081" w:rsidRPr="00184260" w:rsidTr="00647CB8">
        <w:trPr>
          <w:jc w:val="center"/>
        </w:trPr>
        <w:tc>
          <w:tcPr>
            <w:tcW w:w="9016" w:type="dxa"/>
          </w:tcPr>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Improved transparency around Domestic Animal Services processes.</w:t>
            </w:r>
          </w:p>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Increased community confidence in managing pets, as well as animal welfare.</w:t>
            </w:r>
          </w:p>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Improved community safety and animal welfare outcomes.</w:t>
            </w:r>
          </w:p>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 xml:space="preserve">Bring the ACT in line with best practice around the world. </w:t>
            </w:r>
          </w:p>
        </w:tc>
      </w:tr>
    </w:tbl>
    <w:p w:rsidR="005D7081" w:rsidRPr="00184260" w:rsidRDefault="005D7081" w:rsidP="005D7081">
      <w:pPr>
        <w:spacing w:after="120"/>
        <w:rPr>
          <w:rFonts w:ascii="Calibri" w:hAnsi="Calibri"/>
          <w:i/>
        </w:rPr>
      </w:pPr>
      <w:r w:rsidRPr="00184260">
        <w:rPr>
          <w:rFonts w:ascii="Calibri" w:hAnsi="Calibri"/>
          <w:i/>
        </w:rPr>
        <w:t xml:space="preserve">Key to impacts: Red – negative, </w:t>
      </w:r>
      <w:proofErr w:type="gramStart"/>
      <w:r w:rsidRPr="00184260">
        <w:rPr>
          <w:rFonts w:ascii="Calibri" w:hAnsi="Calibri"/>
          <w:i/>
        </w:rPr>
        <w:t>Blue</w:t>
      </w:r>
      <w:proofErr w:type="gramEnd"/>
      <w:r w:rsidRPr="00184260">
        <w:rPr>
          <w:rFonts w:ascii="Calibri" w:hAnsi="Calibri"/>
          <w:i/>
        </w:rPr>
        <w:t xml:space="preserve"> - neutral and Green - Positive.</w:t>
      </w:r>
    </w:p>
    <w:p w:rsidR="005D7081" w:rsidRPr="00184260" w:rsidRDefault="005D7081" w:rsidP="005D7081">
      <w:pPr>
        <w:spacing w:after="0"/>
        <w:jc w:val="both"/>
        <w:rPr>
          <w:rFonts w:ascii="Calibri" w:hAnsi="Calibri"/>
          <w:b/>
          <w:bCs/>
        </w:rPr>
      </w:pPr>
      <w:r w:rsidRPr="00184260">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495"/>
      </w:tblGrid>
      <w:tr w:rsidR="005D7081" w:rsidRPr="00184260" w:rsidTr="00647CB8">
        <w:trPr>
          <w:jc w:val="center"/>
        </w:trPr>
        <w:tc>
          <w:tcPr>
            <w:tcW w:w="1521" w:type="dxa"/>
            <w:shd w:val="clear" w:color="auto" w:fill="92D050"/>
          </w:tcPr>
          <w:p w:rsidR="005D7081" w:rsidRPr="00184260" w:rsidRDefault="005D7081" w:rsidP="00647CB8">
            <w:pPr>
              <w:rPr>
                <w:rFonts w:ascii="Calibri" w:hAnsi="Calibri"/>
                <w:b/>
                <w:bCs/>
              </w:rPr>
            </w:pPr>
            <w:r w:rsidRPr="00184260">
              <w:rPr>
                <w:rFonts w:ascii="Calibri" w:hAnsi="Calibri"/>
                <w:b/>
                <w:bCs/>
              </w:rPr>
              <w:t>Community and individual health/safety</w:t>
            </w:r>
          </w:p>
        </w:tc>
        <w:tc>
          <w:tcPr>
            <w:tcW w:w="7495" w:type="dxa"/>
          </w:tcPr>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Improved community safety and animal welfare outcomes by acting on and responding to the recommendations in the review.</w:t>
            </w:r>
          </w:p>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 xml:space="preserve">Increased community confidence in managing dogs. </w:t>
            </w:r>
          </w:p>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Increased transparency around Domestic Animal Services process.</w:t>
            </w:r>
          </w:p>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Release of the dog control survey will mean the community get a chance to have their say about a range of matters, including safety.</w:t>
            </w:r>
          </w:p>
        </w:tc>
      </w:tr>
      <w:tr w:rsidR="005D7081" w:rsidRPr="00184260" w:rsidTr="00647CB8">
        <w:trPr>
          <w:jc w:val="center"/>
        </w:trPr>
        <w:tc>
          <w:tcPr>
            <w:tcW w:w="1521" w:type="dxa"/>
            <w:shd w:val="clear" w:color="auto" w:fill="0070C0"/>
          </w:tcPr>
          <w:p w:rsidR="005D7081" w:rsidRPr="00184260" w:rsidRDefault="005D7081" w:rsidP="00647CB8">
            <w:pPr>
              <w:rPr>
                <w:rFonts w:ascii="Calibri" w:hAnsi="Calibri"/>
                <w:b/>
                <w:bCs/>
              </w:rPr>
            </w:pPr>
            <w:r w:rsidRPr="00184260">
              <w:rPr>
                <w:rFonts w:ascii="Calibri" w:hAnsi="Calibri"/>
                <w:b/>
                <w:bCs/>
              </w:rPr>
              <w:t>Income levels and distribution</w:t>
            </w:r>
          </w:p>
        </w:tc>
        <w:tc>
          <w:tcPr>
            <w:tcW w:w="7495" w:type="dxa"/>
          </w:tcPr>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Nil impact from releasing the Review and Government Response.</w:t>
            </w:r>
          </w:p>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The publication of the Accountability Commitment will assist all members of the community to understand what they can expect from engaging with Domestic Animal Services.</w:t>
            </w:r>
          </w:p>
        </w:tc>
      </w:tr>
      <w:tr w:rsidR="005D7081" w:rsidRPr="00184260" w:rsidTr="00647CB8">
        <w:trPr>
          <w:jc w:val="center"/>
        </w:trPr>
        <w:tc>
          <w:tcPr>
            <w:tcW w:w="1521" w:type="dxa"/>
            <w:shd w:val="clear" w:color="auto" w:fill="0070C0"/>
          </w:tcPr>
          <w:p w:rsidR="005D7081" w:rsidRPr="00184260" w:rsidRDefault="005D7081" w:rsidP="00647CB8">
            <w:pPr>
              <w:jc w:val="both"/>
              <w:rPr>
                <w:rFonts w:ascii="Calibri" w:hAnsi="Calibri"/>
                <w:b/>
                <w:bCs/>
              </w:rPr>
            </w:pPr>
            <w:r w:rsidRPr="00184260">
              <w:rPr>
                <w:rFonts w:ascii="Calibri" w:hAnsi="Calibri"/>
                <w:b/>
                <w:bCs/>
              </w:rPr>
              <w:t>Human rights</w:t>
            </w:r>
          </w:p>
        </w:tc>
        <w:tc>
          <w:tcPr>
            <w:tcW w:w="7495" w:type="dxa"/>
          </w:tcPr>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The publication of the Accountability Commitment will assist all members of the community to understand what they can expect from engaging with Domestic Animal Services, and their rights in this regard.</w:t>
            </w:r>
          </w:p>
        </w:tc>
      </w:tr>
      <w:tr w:rsidR="005D7081" w:rsidRPr="00184260" w:rsidTr="00647CB8">
        <w:trPr>
          <w:jc w:val="center"/>
        </w:trPr>
        <w:tc>
          <w:tcPr>
            <w:tcW w:w="1521" w:type="dxa"/>
            <w:shd w:val="clear" w:color="auto" w:fill="92D050"/>
          </w:tcPr>
          <w:p w:rsidR="005D7081" w:rsidRPr="00184260" w:rsidRDefault="005D7081" w:rsidP="00647CB8">
            <w:pPr>
              <w:jc w:val="both"/>
              <w:rPr>
                <w:rFonts w:ascii="Calibri" w:hAnsi="Calibri"/>
              </w:rPr>
            </w:pPr>
            <w:r w:rsidRPr="00184260">
              <w:rPr>
                <w:rFonts w:ascii="Calibri" w:hAnsi="Calibri"/>
                <w:b/>
                <w:bCs/>
              </w:rPr>
              <w:t>Justice and rights</w:t>
            </w:r>
          </w:p>
        </w:tc>
        <w:tc>
          <w:tcPr>
            <w:tcW w:w="7495" w:type="dxa"/>
          </w:tcPr>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The publication of the Accountability Commitment will assist all members of the community to understand what they can expect from engaging with Domestic Animal Services, and their rights in this regard.</w:t>
            </w:r>
          </w:p>
        </w:tc>
      </w:tr>
    </w:tbl>
    <w:p w:rsidR="005D7081" w:rsidRPr="00184260" w:rsidRDefault="005D7081" w:rsidP="005D7081">
      <w:pPr>
        <w:spacing w:before="120" w:after="0"/>
        <w:jc w:val="both"/>
        <w:rPr>
          <w:rFonts w:ascii="Calibri" w:hAnsi="Calibri"/>
          <w:b/>
          <w:bCs/>
        </w:rPr>
      </w:pPr>
      <w:r w:rsidRPr="00184260">
        <w:rPr>
          <w:rFonts w:ascii="Calibri" w:hAnsi="Calibr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498"/>
      </w:tblGrid>
      <w:tr w:rsidR="005D7081" w:rsidRPr="00184260" w:rsidTr="00647CB8">
        <w:trPr>
          <w:trHeight w:val="831"/>
          <w:jc w:val="center"/>
        </w:trPr>
        <w:tc>
          <w:tcPr>
            <w:tcW w:w="1518" w:type="dxa"/>
            <w:shd w:val="clear" w:color="auto" w:fill="0070C0"/>
          </w:tcPr>
          <w:p w:rsidR="005D7081" w:rsidRPr="00184260" w:rsidRDefault="005D7081" w:rsidP="00647CB8">
            <w:pPr>
              <w:jc w:val="both"/>
              <w:rPr>
                <w:rFonts w:ascii="Calibri" w:hAnsi="Calibri"/>
              </w:rPr>
            </w:pPr>
            <w:r w:rsidRPr="00184260">
              <w:rPr>
                <w:rFonts w:ascii="Calibri" w:hAnsi="Calibri"/>
                <w:b/>
                <w:bCs/>
              </w:rPr>
              <w:t>ACT Government Budget</w:t>
            </w:r>
          </w:p>
        </w:tc>
        <w:tc>
          <w:tcPr>
            <w:tcW w:w="7498" w:type="dxa"/>
          </w:tcPr>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The publication of the Review and Government Response will have nil impact.</w:t>
            </w:r>
          </w:p>
          <w:p w:rsidR="005D7081" w:rsidRPr="00184260" w:rsidRDefault="005D7081" w:rsidP="00647CB8">
            <w:pPr>
              <w:numPr>
                <w:ilvl w:val="0"/>
                <w:numId w:val="1"/>
              </w:numPr>
              <w:spacing w:after="0" w:line="240" w:lineRule="auto"/>
              <w:ind w:left="360"/>
              <w:rPr>
                <w:rFonts w:ascii="Calibri" w:hAnsi="Calibri"/>
              </w:rPr>
            </w:pPr>
            <w:r w:rsidRPr="00184260">
              <w:rPr>
                <w:rFonts w:ascii="Calibri" w:hAnsi="Calibri"/>
              </w:rPr>
              <w:t>In considering whether to action some for the recommendations, future funding may be sought through the budget process.</w:t>
            </w:r>
          </w:p>
        </w:tc>
      </w:tr>
    </w:tbl>
    <w:p w:rsidR="005D7081" w:rsidRPr="00184260" w:rsidRDefault="005D7081" w:rsidP="005D7081">
      <w:pPr>
        <w:spacing w:before="120" w:after="0"/>
        <w:jc w:val="both"/>
        <w:rPr>
          <w:rFonts w:ascii="Calibri" w:hAnsi="Calibri"/>
          <w:b/>
          <w:bCs/>
        </w:rPr>
      </w:pPr>
      <w:r w:rsidRPr="00184260">
        <w:rPr>
          <w:rFonts w:ascii="Calibri" w:hAnsi="Calibri"/>
          <w:b/>
          <w:bCs/>
        </w:rPr>
        <w:t>Environmental</w:t>
      </w:r>
    </w:p>
    <w:p w:rsidR="005D7081" w:rsidRPr="00184260" w:rsidRDefault="005D7081" w:rsidP="005D7081">
      <w:pPr>
        <w:spacing w:before="120" w:after="0"/>
        <w:jc w:val="both"/>
        <w:rPr>
          <w:rFonts w:ascii="Calibri" w:hAnsi="Calibri"/>
          <w:bCs/>
        </w:rPr>
      </w:pPr>
      <w:r w:rsidRPr="00184260">
        <w:rPr>
          <w:rFonts w:ascii="Calibri" w:hAnsi="Calibri"/>
          <w:bCs/>
        </w:rPr>
        <w:t>Nil Impact</w:t>
      </w:r>
    </w:p>
    <w:p w:rsidR="00187A74" w:rsidRDefault="00187A74" w:rsidP="005D7081">
      <w:bookmarkStart w:id="0" w:name="_GoBack"/>
      <w:bookmarkEnd w:id="0"/>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3E"/>
    <w:rsid w:val="000B443E"/>
    <w:rsid w:val="00187A74"/>
    <w:rsid w:val="005D70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3488C-4238-4312-858F-4BC928A7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081"/>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FFEB4-5932-4428-9BAB-F48D914F1B63}"/>
</file>

<file path=customXml/itemProps2.xml><?xml version="1.0" encoding="utf-8"?>
<ds:datastoreItem xmlns:ds="http://schemas.openxmlformats.org/officeDocument/2006/customXml" ds:itemID="{50AA41BC-47B9-40D3-B60A-4EAB0ACB735B}"/>
</file>

<file path=customXml/itemProps3.xml><?xml version="1.0" encoding="utf-8"?>
<ds:datastoreItem xmlns:ds="http://schemas.openxmlformats.org/officeDocument/2006/customXml" ds:itemID="{99D3E69F-28A4-40BB-B58F-53ECF9DC2ED8}"/>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Company>ACT Government</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2018-11-02T03:40:00Z</dcterms:created>
  <dcterms:modified xsi:type="dcterms:W3CDTF">2018-11-02T03:40:00Z</dcterms:modified>
</cp:coreProperties>
</file>