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E87" w:rsidRPr="008A05CF" w:rsidRDefault="00AF1E87" w:rsidP="00AF1E87">
      <w:pPr>
        <w:pStyle w:val="Heading3"/>
        <w:spacing w:before="0" w:after="120"/>
        <w:jc w:val="both"/>
        <w:rPr>
          <w:rFonts w:ascii="Calibri" w:hAnsi="Calibri"/>
          <w:sz w:val="21"/>
          <w:szCs w:val="21"/>
        </w:rPr>
      </w:pPr>
      <w:r w:rsidRPr="008A05CF">
        <w:rPr>
          <w:rFonts w:ascii="Calibri" w:hAnsi="Calibri"/>
          <w:bCs w:val="0"/>
          <w:sz w:val="21"/>
          <w:szCs w:val="21"/>
        </w:rPr>
        <w:t>18/623:  ACT Housing Strategy – Final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AF1E87" w:rsidRPr="00C82609" w:rsidTr="002D526D">
        <w:trPr>
          <w:jc w:val="center"/>
        </w:trPr>
        <w:tc>
          <w:tcPr>
            <w:tcW w:w="9105" w:type="dxa"/>
          </w:tcPr>
          <w:p w:rsidR="00AF1E87" w:rsidRPr="008A05CF" w:rsidRDefault="00AF1E87" w:rsidP="002D526D">
            <w:pPr>
              <w:spacing w:after="0"/>
              <w:jc w:val="both"/>
              <w:rPr>
                <w:rFonts w:ascii="Calibri" w:hAnsi="Calibri"/>
                <w:b/>
                <w:bCs/>
              </w:rPr>
            </w:pPr>
            <w:r w:rsidRPr="008A05CF">
              <w:rPr>
                <w:rFonts w:ascii="Calibri" w:hAnsi="Calibri"/>
                <w:b/>
                <w:bCs/>
              </w:rPr>
              <w:t>Summary of Impacts</w:t>
            </w:r>
          </w:p>
        </w:tc>
      </w:tr>
      <w:tr w:rsidR="00AF1E87" w:rsidRPr="00C82609" w:rsidTr="002D526D">
        <w:trPr>
          <w:jc w:val="center"/>
        </w:trPr>
        <w:tc>
          <w:tcPr>
            <w:tcW w:w="9105" w:type="dxa"/>
          </w:tcPr>
          <w:p w:rsidR="00AF1E87" w:rsidRPr="00C82609" w:rsidRDefault="00AF1E87" w:rsidP="002D526D">
            <w:pPr>
              <w:numPr>
                <w:ilvl w:val="0"/>
                <w:numId w:val="1"/>
              </w:numPr>
              <w:spacing w:before="40" w:after="40" w:line="240" w:lineRule="auto"/>
              <w:ind w:left="360"/>
              <w:rPr>
                <w:rFonts w:ascii="Calibri" w:hAnsi="Calibri"/>
              </w:rPr>
            </w:pPr>
            <w:r w:rsidRPr="00C82609">
              <w:rPr>
                <w:rFonts w:ascii="Calibri" w:hAnsi="Calibri"/>
              </w:rPr>
              <w:t>The proposal seeks to present the new ACT housing strategy, delivering on a commitment in the Parliamentary Agreement, as well as the commitment made to the ACT community during extensive consultations in the second half of 2017.</w:t>
            </w:r>
          </w:p>
          <w:p w:rsidR="00AF1E87" w:rsidRPr="00C82609" w:rsidRDefault="00AF1E87" w:rsidP="002D526D">
            <w:pPr>
              <w:numPr>
                <w:ilvl w:val="0"/>
                <w:numId w:val="1"/>
              </w:numPr>
              <w:spacing w:before="40" w:after="40" w:line="240" w:lineRule="auto"/>
              <w:ind w:left="360"/>
              <w:rPr>
                <w:rFonts w:ascii="Calibri" w:hAnsi="Calibri"/>
              </w:rPr>
            </w:pPr>
            <w:r w:rsidRPr="00C82609">
              <w:rPr>
                <w:rFonts w:ascii="Calibri" w:hAnsi="Calibri"/>
              </w:rPr>
              <w:t xml:space="preserve">The submission includes the new strategy founded on five key goals and an implementation plan that includes a suite of measures emerging from the extensive community engagement, including the inaugural Housing and Homelessness Summit, in 2017. </w:t>
            </w:r>
          </w:p>
          <w:p w:rsidR="00AF1E87" w:rsidRPr="00C82609" w:rsidRDefault="00AF1E87" w:rsidP="002D526D">
            <w:pPr>
              <w:numPr>
                <w:ilvl w:val="0"/>
                <w:numId w:val="1"/>
              </w:numPr>
              <w:spacing w:before="40" w:after="40" w:line="240" w:lineRule="auto"/>
              <w:ind w:left="360"/>
              <w:rPr>
                <w:rFonts w:ascii="Calibri" w:hAnsi="Calibri"/>
              </w:rPr>
            </w:pPr>
            <w:r w:rsidRPr="00C82609">
              <w:rPr>
                <w:rFonts w:ascii="Calibri" w:hAnsi="Calibri"/>
              </w:rPr>
              <w:t xml:space="preserve">The measures included in the implementation plan have been assessed against criteria for relevance, feasibility, ability to target those in most need, cost effectiveness and ability to make a meaningful, long-term contribution. </w:t>
            </w:r>
          </w:p>
          <w:p w:rsidR="00AF1E87" w:rsidRPr="00C82609" w:rsidRDefault="00AF1E87" w:rsidP="002D526D">
            <w:pPr>
              <w:numPr>
                <w:ilvl w:val="0"/>
                <w:numId w:val="1"/>
              </w:numPr>
              <w:spacing w:before="40" w:after="40" w:line="240" w:lineRule="auto"/>
              <w:ind w:left="360"/>
              <w:rPr>
                <w:rFonts w:ascii="Calibri" w:hAnsi="Calibri"/>
              </w:rPr>
            </w:pPr>
            <w:r w:rsidRPr="00C82609">
              <w:rPr>
                <w:rFonts w:ascii="Calibri" w:hAnsi="Calibri"/>
              </w:rPr>
              <w:t>The submission brings together existing Government effort across portfolios through the establishment of a new customer-focused website, offers some measures for immediate implementation and a second set for further investigation and/or progressive implementation, and outlines an ACT Government response to Commonwealth housing affordability measures.</w:t>
            </w:r>
          </w:p>
          <w:p w:rsidR="00AF1E87" w:rsidRPr="00C82609" w:rsidRDefault="00AF1E87" w:rsidP="002D526D">
            <w:pPr>
              <w:numPr>
                <w:ilvl w:val="0"/>
                <w:numId w:val="1"/>
              </w:numPr>
              <w:spacing w:before="40" w:after="40" w:line="240" w:lineRule="auto"/>
              <w:ind w:left="360"/>
              <w:rPr>
                <w:rFonts w:ascii="Calibri" w:hAnsi="Calibri"/>
              </w:rPr>
            </w:pPr>
            <w:r w:rsidRPr="00C82609">
              <w:rPr>
                <w:rFonts w:ascii="Calibri" w:hAnsi="Calibri"/>
              </w:rPr>
              <w:t>The proposal will largely result in positive social, economic and environmental outcomes.</w:t>
            </w:r>
          </w:p>
          <w:p w:rsidR="00AF1E87" w:rsidRPr="00C82609" w:rsidRDefault="00AF1E87" w:rsidP="002D526D">
            <w:pPr>
              <w:numPr>
                <w:ilvl w:val="0"/>
                <w:numId w:val="1"/>
              </w:numPr>
              <w:spacing w:before="40" w:after="40" w:line="240" w:lineRule="auto"/>
              <w:ind w:left="360"/>
              <w:rPr>
                <w:rFonts w:ascii="Calibri" w:hAnsi="Calibri"/>
              </w:rPr>
            </w:pPr>
            <w:r w:rsidRPr="00C82609">
              <w:rPr>
                <w:rFonts w:ascii="Calibri" w:hAnsi="Calibri"/>
              </w:rPr>
              <w:t>Implementation risks associated with this submission are limited to community concerns around the release of a new ACT Housing Strategy. Implementation risks associated with individual initiatives proposed to sit under the Strategy will be managed through effective program and risk management strategies within government.</w:t>
            </w:r>
          </w:p>
        </w:tc>
      </w:tr>
    </w:tbl>
    <w:p w:rsidR="00AF1E87" w:rsidRPr="00C82609" w:rsidRDefault="00AF1E87" w:rsidP="00AF1E87">
      <w:pPr>
        <w:spacing w:after="0"/>
        <w:rPr>
          <w:rFonts w:ascii="Calibri" w:hAnsi="Calibri"/>
          <w:i/>
        </w:rPr>
      </w:pPr>
      <w:r w:rsidRPr="00C82609">
        <w:rPr>
          <w:rFonts w:ascii="Calibri" w:hAnsi="Calibri"/>
          <w:i/>
        </w:rPr>
        <w:t xml:space="preserve">Key to impacts: Red – negative, </w:t>
      </w:r>
      <w:proofErr w:type="gramStart"/>
      <w:r w:rsidRPr="00C82609">
        <w:rPr>
          <w:rFonts w:ascii="Calibri" w:hAnsi="Calibri"/>
          <w:i/>
        </w:rPr>
        <w:t>Blue</w:t>
      </w:r>
      <w:proofErr w:type="gramEnd"/>
      <w:r w:rsidRPr="00C82609">
        <w:rPr>
          <w:rFonts w:ascii="Calibri" w:hAnsi="Calibri"/>
          <w:i/>
        </w:rPr>
        <w:t xml:space="preserve"> - neutral and Green - positive.</w:t>
      </w:r>
    </w:p>
    <w:p w:rsidR="00AF1E87" w:rsidRPr="00C82609" w:rsidRDefault="00AF1E87" w:rsidP="00AF1E87">
      <w:pPr>
        <w:spacing w:before="120" w:after="0"/>
        <w:jc w:val="both"/>
        <w:rPr>
          <w:rFonts w:ascii="Calibri" w:hAnsi="Calibri"/>
          <w:b/>
          <w:bCs/>
        </w:rPr>
      </w:pPr>
      <w:r w:rsidRPr="00C82609">
        <w:rPr>
          <w:rFonts w:ascii="Calibri" w:hAnsi="Calibri"/>
          <w:b/>
          <w:bCs/>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1"/>
        <w:gridCol w:w="7591"/>
      </w:tblGrid>
      <w:tr w:rsidR="00AF1E87" w:rsidRPr="00C82609" w:rsidTr="002D526D">
        <w:trPr>
          <w:jc w:val="center"/>
        </w:trPr>
        <w:tc>
          <w:tcPr>
            <w:tcW w:w="1401" w:type="dxa"/>
            <w:shd w:val="clear" w:color="auto" w:fill="92D050"/>
          </w:tcPr>
          <w:p w:rsidR="00AF1E87" w:rsidRPr="00C82609" w:rsidRDefault="00AF1E87" w:rsidP="002D526D">
            <w:pPr>
              <w:spacing w:after="0"/>
              <w:rPr>
                <w:rFonts w:ascii="Calibri" w:hAnsi="Calibri" w:cs="Calibri"/>
                <w:b/>
              </w:rPr>
            </w:pPr>
            <w:r w:rsidRPr="00C82609">
              <w:rPr>
                <w:rFonts w:ascii="Calibri" w:hAnsi="Calibri"/>
                <w:b/>
                <w:bCs/>
              </w:rPr>
              <w:t>Access to social networks &amp; community activities</w:t>
            </w:r>
            <w:r w:rsidRPr="00C82609">
              <w:rPr>
                <w:rFonts w:ascii="Calibri" w:hAnsi="Calibri" w:cs="Calibri"/>
                <w:b/>
                <w:lang w:val="en-NZ"/>
              </w:rPr>
              <w:t xml:space="preserve"> </w:t>
            </w:r>
          </w:p>
        </w:tc>
        <w:tc>
          <w:tcPr>
            <w:tcW w:w="7591" w:type="dxa"/>
          </w:tcPr>
          <w:p w:rsidR="00AF1E87" w:rsidRPr="00C82609" w:rsidRDefault="00AF1E87" w:rsidP="002D526D">
            <w:pPr>
              <w:numPr>
                <w:ilvl w:val="0"/>
                <w:numId w:val="1"/>
              </w:numPr>
              <w:spacing w:after="40" w:line="240" w:lineRule="auto"/>
              <w:ind w:left="360"/>
              <w:rPr>
                <w:rFonts w:ascii="Calibri" w:hAnsi="Calibri"/>
              </w:rPr>
            </w:pPr>
            <w:r w:rsidRPr="00C82609">
              <w:rPr>
                <w:rFonts w:ascii="Calibri" w:hAnsi="Calibri"/>
              </w:rPr>
              <w:t xml:space="preserve">The submission supports social inclusion and access to safe accommodation for all </w:t>
            </w:r>
            <w:proofErr w:type="spellStart"/>
            <w:r w:rsidRPr="00C82609">
              <w:rPr>
                <w:rFonts w:ascii="Calibri" w:hAnsi="Calibri"/>
              </w:rPr>
              <w:t>Canberrans</w:t>
            </w:r>
            <w:proofErr w:type="spellEnd"/>
            <w:r w:rsidRPr="00C82609">
              <w:rPr>
                <w:rFonts w:ascii="Calibri" w:hAnsi="Calibri"/>
              </w:rPr>
              <w:t>, which in turn assists in wrap around services being most effectively utilised by the community</w:t>
            </w:r>
            <w:r>
              <w:rPr>
                <w:rFonts w:ascii="Calibri" w:hAnsi="Calibri"/>
              </w:rPr>
              <w:t>.</w:t>
            </w:r>
          </w:p>
        </w:tc>
      </w:tr>
      <w:tr w:rsidR="00AF1E87" w:rsidRPr="00C82609" w:rsidTr="002D526D">
        <w:trPr>
          <w:jc w:val="center"/>
        </w:trPr>
        <w:tc>
          <w:tcPr>
            <w:tcW w:w="1401" w:type="dxa"/>
            <w:shd w:val="clear" w:color="auto" w:fill="92D050"/>
          </w:tcPr>
          <w:p w:rsidR="00AF1E87" w:rsidRPr="00C82609" w:rsidRDefault="00AF1E87" w:rsidP="002D526D">
            <w:pPr>
              <w:spacing w:after="0"/>
              <w:jc w:val="both"/>
              <w:rPr>
                <w:rFonts w:ascii="Calibri" w:hAnsi="Calibri"/>
              </w:rPr>
            </w:pPr>
            <w:r w:rsidRPr="00C82609">
              <w:rPr>
                <w:rFonts w:ascii="Calibri" w:hAnsi="Calibri"/>
                <w:b/>
                <w:bCs/>
              </w:rPr>
              <w:t>Human rights</w:t>
            </w:r>
          </w:p>
        </w:tc>
        <w:tc>
          <w:tcPr>
            <w:tcW w:w="7591" w:type="dxa"/>
          </w:tcPr>
          <w:p w:rsidR="00AF1E87" w:rsidRPr="004A6D82" w:rsidRDefault="00AF1E87" w:rsidP="002D526D">
            <w:pPr>
              <w:numPr>
                <w:ilvl w:val="0"/>
                <w:numId w:val="1"/>
              </w:numPr>
              <w:spacing w:after="40" w:line="240" w:lineRule="auto"/>
              <w:ind w:left="360"/>
              <w:rPr>
                <w:rFonts w:ascii="Calibri" w:hAnsi="Calibri"/>
              </w:rPr>
            </w:pPr>
            <w:r w:rsidRPr="004A6D82">
              <w:rPr>
                <w:rFonts w:ascii="Calibri" w:hAnsi="Calibri"/>
              </w:rPr>
              <w:t>This submission supports human rights. Access to safe shelter provides respect for the inherent dignity of the human person.</w:t>
            </w:r>
          </w:p>
        </w:tc>
      </w:tr>
      <w:tr w:rsidR="00AF1E87" w:rsidRPr="00C82609" w:rsidTr="002D526D">
        <w:trPr>
          <w:jc w:val="center"/>
        </w:trPr>
        <w:tc>
          <w:tcPr>
            <w:tcW w:w="1401" w:type="dxa"/>
            <w:shd w:val="clear" w:color="auto" w:fill="92D050"/>
          </w:tcPr>
          <w:p w:rsidR="00AF1E87" w:rsidRPr="00C82609" w:rsidRDefault="00AF1E87" w:rsidP="002D526D">
            <w:pPr>
              <w:spacing w:after="0"/>
              <w:rPr>
                <w:rFonts w:ascii="Calibri" w:hAnsi="Calibri"/>
              </w:rPr>
            </w:pPr>
            <w:r w:rsidRPr="00C82609">
              <w:rPr>
                <w:rFonts w:ascii="Calibri" w:hAnsi="Calibri"/>
                <w:b/>
                <w:bCs/>
              </w:rPr>
              <w:t>Indigenous and Multicultural</w:t>
            </w:r>
          </w:p>
        </w:tc>
        <w:tc>
          <w:tcPr>
            <w:tcW w:w="7591" w:type="dxa"/>
          </w:tcPr>
          <w:p w:rsidR="00AF1E87" w:rsidRPr="00C82609" w:rsidRDefault="00AF1E87" w:rsidP="002D526D">
            <w:pPr>
              <w:numPr>
                <w:ilvl w:val="0"/>
                <w:numId w:val="1"/>
              </w:numPr>
              <w:spacing w:after="40" w:line="240" w:lineRule="auto"/>
              <w:ind w:left="360"/>
              <w:rPr>
                <w:rFonts w:ascii="Calibri" w:hAnsi="Calibri"/>
              </w:rPr>
            </w:pPr>
            <w:r w:rsidRPr="00C82609">
              <w:rPr>
                <w:rFonts w:ascii="Calibri" w:hAnsi="Calibri"/>
              </w:rPr>
              <w:t xml:space="preserve">The Aboriginal and Torres Strait Islander community, refugees and migrants are given priority in the consideration of actions being explored in this strategy. Several of the initiatives will have direct positive impacts on Indigenous and multicultural </w:t>
            </w:r>
            <w:proofErr w:type="spellStart"/>
            <w:r w:rsidRPr="00C82609">
              <w:rPr>
                <w:rFonts w:ascii="Calibri" w:hAnsi="Calibri"/>
              </w:rPr>
              <w:t>Canberrans</w:t>
            </w:r>
            <w:proofErr w:type="spellEnd"/>
            <w:r w:rsidRPr="00C82609">
              <w:rPr>
                <w:rFonts w:ascii="Calibri" w:hAnsi="Calibri"/>
              </w:rPr>
              <w:t>.</w:t>
            </w:r>
          </w:p>
        </w:tc>
      </w:tr>
    </w:tbl>
    <w:p w:rsidR="00AF1E87" w:rsidRPr="00C82609" w:rsidRDefault="00AF1E87" w:rsidP="00AF1E87">
      <w:pPr>
        <w:spacing w:before="120" w:after="0"/>
        <w:jc w:val="both"/>
        <w:rPr>
          <w:rFonts w:ascii="Calibri" w:hAnsi="Calibri"/>
          <w:b/>
          <w:bCs/>
        </w:rPr>
      </w:pPr>
      <w:r w:rsidRPr="00C82609">
        <w:rPr>
          <w:rFonts w:ascii="Calibri" w:hAnsi="Calibri"/>
          <w:b/>
          <w:bCs/>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43"/>
        <w:gridCol w:w="7549"/>
      </w:tblGrid>
      <w:tr w:rsidR="00AF1E87" w:rsidRPr="00C82609" w:rsidTr="002D526D">
        <w:trPr>
          <w:jc w:val="center"/>
        </w:trPr>
        <w:tc>
          <w:tcPr>
            <w:tcW w:w="1443" w:type="dxa"/>
            <w:shd w:val="clear" w:color="auto" w:fill="00B0F0"/>
          </w:tcPr>
          <w:p w:rsidR="00AF1E87" w:rsidRPr="00C82609" w:rsidRDefault="00AF1E87" w:rsidP="002D526D">
            <w:pPr>
              <w:spacing w:after="0"/>
              <w:rPr>
                <w:rFonts w:ascii="Calibri" w:hAnsi="Calibri"/>
              </w:rPr>
            </w:pPr>
            <w:r w:rsidRPr="00C82609">
              <w:rPr>
                <w:rFonts w:ascii="Calibri" w:hAnsi="Calibri"/>
                <w:b/>
                <w:bCs/>
              </w:rPr>
              <w:t>ACT Government Budget</w:t>
            </w:r>
          </w:p>
        </w:tc>
        <w:tc>
          <w:tcPr>
            <w:tcW w:w="7549" w:type="dxa"/>
          </w:tcPr>
          <w:p w:rsidR="00AF1E87" w:rsidRPr="004A6D82" w:rsidRDefault="00AF1E87" w:rsidP="002D526D">
            <w:pPr>
              <w:numPr>
                <w:ilvl w:val="0"/>
                <w:numId w:val="1"/>
              </w:numPr>
              <w:spacing w:after="40" w:line="240" w:lineRule="auto"/>
              <w:ind w:left="360"/>
              <w:rPr>
                <w:rFonts w:ascii="Calibri" w:hAnsi="Calibri"/>
              </w:rPr>
            </w:pPr>
            <w:r w:rsidRPr="004A6D82">
              <w:rPr>
                <w:rFonts w:ascii="Calibri" w:hAnsi="Calibri"/>
              </w:rPr>
              <w:t>The Strategy includes a number of measures which have been funded through the 2018-19 Budget. The policy principle to set aside 15 per cent of future land release programs for affordable, community and public housing targets, and the proposal to commit to further growth and renewal of the public housing sector wi</w:t>
            </w:r>
            <w:r>
              <w:rPr>
                <w:rFonts w:ascii="Calibri" w:hAnsi="Calibri"/>
              </w:rPr>
              <w:t>ll have financial implications.</w:t>
            </w:r>
          </w:p>
          <w:p w:rsidR="00AF1E87" w:rsidRPr="004A6D82" w:rsidRDefault="00AF1E87" w:rsidP="002D526D">
            <w:pPr>
              <w:numPr>
                <w:ilvl w:val="0"/>
                <w:numId w:val="1"/>
              </w:numPr>
              <w:spacing w:after="40" w:line="240" w:lineRule="auto"/>
              <w:ind w:left="360"/>
              <w:rPr>
                <w:rFonts w:ascii="Calibri" w:hAnsi="Calibri"/>
              </w:rPr>
            </w:pPr>
            <w:r w:rsidRPr="004A6D82">
              <w:rPr>
                <w:rFonts w:ascii="Calibri" w:hAnsi="Calibri"/>
              </w:rPr>
              <w:t>If any additional initiatives (including those currently marked for ‘further investigation’) are later considered important to progress further, there may be financial implications. It should be noted that any proposals marked for further investigation may not require any funding to proceed, or may be deemed unsuitable to progress further.</w:t>
            </w:r>
          </w:p>
          <w:p w:rsidR="00AF1E87" w:rsidRPr="008A05CF" w:rsidRDefault="00AF1E87" w:rsidP="002D526D">
            <w:pPr>
              <w:numPr>
                <w:ilvl w:val="0"/>
                <w:numId w:val="1"/>
              </w:numPr>
              <w:spacing w:after="40" w:line="240" w:lineRule="auto"/>
              <w:ind w:left="360"/>
              <w:rPr>
                <w:rFonts w:ascii="Calibri" w:hAnsi="Calibri"/>
                <w:bCs/>
              </w:rPr>
            </w:pPr>
            <w:r w:rsidRPr="004A6D82">
              <w:rPr>
                <w:rFonts w:ascii="Calibri" w:hAnsi="Calibri"/>
              </w:rPr>
              <w:t>It is also important to note that Government funding spent on housing support has</w:t>
            </w:r>
            <w:r w:rsidRPr="00C82609">
              <w:rPr>
                <w:rFonts w:ascii="Calibri" w:hAnsi="Calibri"/>
                <w:bCs/>
              </w:rPr>
              <w:t xml:space="preserve"> been shown to reduce other costs to the </w:t>
            </w:r>
            <w:r w:rsidRPr="008A05CF">
              <w:rPr>
                <w:rFonts w:ascii="Calibri" w:hAnsi="Calibri"/>
                <w:bCs/>
              </w:rPr>
              <w:t xml:space="preserve">budget. For example, research </w:t>
            </w:r>
            <w:r w:rsidRPr="008A05CF">
              <w:rPr>
                <w:rFonts w:ascii="Calibri" w:hAnsi="Calibri"/>
                <w:bCs/>
              </w:rPr>
              <w:lastRenderedPageBreak/>
              <w:t>conducted by SGS Economics and Planning in Victoria in 2017</w:t>
            </w:r>
            <w:r w:rsidRPr="008A05CF">
              <w:rPr>
                <w:rStyle w:val="FootnoteReference"/>
                <w:rFonts w:ascii="Calibri" w:hAnsi="Calibri"/>
                <w:bCs/>
              </w:rPr>
              <w:footnoteReference w:id="1"/>
            </w:r>
            <w:r w:rsidRPr="008A05CF">
              <w:rPr>
                <w:rFonts w:ascii="Calibri" w:hAnsi="Calibri"/>
                <w:bCs/>
              </w:rPr>
              <w:t xml:space="preserve"> quantified the economic benefits of preventing homelessness per person as follows:</w:t>
            </w:r>
          </w:p>
          <w:tbl>
            <w:tblPr>
              <w:tblW w:w="0" w:type="auto"/>
              <w:tblInd w:w="417" w:type="dxa"/>
              <w:tblCellMar>
                <w:top w:w="15" w:type="dxa"/>
                <w:left w:w="15" w:type="dxa"/>
                <w:bottom w:w="15" w:type="dxa"/>
                <w:right w:w="15" w:type="dxa"/>
              </w:tblCellMar>
              <w:tblLook w:val="04A0" w:firstRow="1" w:lastRow="0" w:firstColumn="1" w:lastColumn="0" w:noHBand="0" w:noVBand="1"/>
            </w:tblPr>
            <w:tblGrid>
              <w:gridCol w:w="2685"/>
              <w:gridCol w:w="2658"/>
            </w:tblGrid>
            <w:tr w:rsidR="00AF1E87" w:rsidRPr="00C82609" w:rsidTr="002D526D">
              <w:trPr>
                <w:tblHeader/>
              </w:trPr>
              <w:tc>
                <w:tcPr>
                  <w:tcW w:w="2685" w:type="dxa"/>
                  <w:tcMar>
                    <w:top w:w="0" w:type="dxa"/>
                    <w:left w:w="0" w:type="dxa"/>
                    <w:bottom w:w="120" w:type="dxa"/>
                    <w:right w:w="192" w:type="dxa"/>
                  </w:tcMar>
                  <w:vAlign w:val="center"/>
                  <w:hideMark/>
                </w:tcPr>
                <w:p w:rsidR="00AF1E87" w:rsidRPr="00C82609" w:rsidRDefault="00AF1E87" w:rsidP="002D526D">
                  <w:pPr>
                    <w:spacing w:after="0" w:line="240" w:lineRule="auto"/>
                    <w:rPr>
                      <w:rFonts w:ascii="Calibri" w:hAnsi="Calibri" w:cs="Times New Roman"/>
                      <w:b/>
                      <w:bCs/>
                    </w:rPr>
                  </w:pPr>
                  <w:r w:rsidRPr="00C82609">
                    <w:rPr>
                      <w:rFonts w:ascii="Calibri" w:hAnsi="Calibri" w:cs="Times New Roman"/>
                      <w:b/>
                      <w:bCs/>
                    </w:rPr>
                    <w:t>Type of cost</w:t>
                  </w:r>
                </w:p>
              </w:tc>
              <w:tc>
                <w:tcPr>
                  <w:tcW w:w="0" w:type="auto"/>
                  <w:tcMar>
                    <w:top w:w="0" w:type="dxa"/>
                    <w:left w:w="0" w:type="dxa"/>
                    <w:bottom w:w="120" w:type="dxa"/>
                    <w:right w:w="192" w:type="dxa"/>
                  </w:tcMar>
                  <w:vAlign w:val="center"/>
                  <w:hideMark/>
                </w:tcPr>
                <w:p w:rsidR="00AF1E87" w:rsidRPr="00C82609" w:rsidRDefault="00AF1E87" w:rsidP="002D526D">
                  <w:pPr>
                    <w:spacing w:after="0" w:line="240" w:lineRule="auto"/>
                    <w:rPr>
                      <w:rFonts w:ascii="Calibri" w:hAnsi="Calibri" w:cs="Times New Roman"/>
                      <w:b/>
                      <w:bCs/>
                    </w:rPr>
                  </w:pPr>
                  <w:r w:rsidRPr="00C82609">
                    <w:rPr>
                      <w:rFonts w:ascii="Calibri" w:hAnsi="Calibri" w:cs="Times New Roman"/>
                      <w:b/>
                      <w:bCs/>
                    </w:rPr>
                    <w:t xml:space="preserve">Savings per year, per person </w:t>
                  </w:r>
                </w:p>
              </w:tc>
            </w:tr>
            <w:tr w:rsidR="00AF1E87" w:rsidRPr="00C82609" w:rsidTr="002D526D">
              <w:tc>
                <w:tcPr>
                  <w:tcW w:w="2685" w:type="dxa"/>
                  <w:tcMar>
                    <w:top w:w="0" w:type="dxa"/>
                    <w:left w:w="0" w:type="dxa"/>
                    <w:bottom w:w="120" w:type="dxa"/>
                    <w:right w:w="192" w:type="dxa"/>
                  </w:tcMar>
                  <w:vAlign w:val="center"/>
                  <w:hideMark/>
                </w:tcPr>
                <w:p w:rsidR="00AF1E87" w:rsidRPr="00C82609" w:rsidRDefault="00AF1E87" w:rsidP="002D526D">
                  <w:pPr>
                    <w:spacing w:after="0" w:line="240" w:lineRule="auto"/>
                    <w:rPr>
                      <w:rFonts w:ascii="Calibri" w:hAnsi="Calibri" w:cs="Times New Roman"/>
                    </w:rPr>
                  </w:pPr>
                  <w:r w:rsidRPr="00C82609">
                    <w:rPr>
                      <w:rFonts w:ascii="Calibri" w:hAnsi="Calibri" w:cs="Times New Roman"/>
                    </w:rPr>
                    <w:t>Health cost</w:t>
                  </w:r>
                </w:p>
              </w:tc>
              <w:tc>
                <w:tcPr>
                  <w:tcW w:w="0" w:type="auto"/>
                  <w:tcMar>
                    <w:top w:w="0" w:type="dxa"/>
                    <w:left w:w="0" w:type="dxa"/>
                    <w:bottom w:w="120" w:type="dxa"/>
                    <w:right w:w="192" w:type="dxa"/>
                  </w:tcMar>
                  <w:vAlign w:val="center"/>
                  <w:hideMark/>
                </w:tcPr>
                <w:p w:rsidR="00AF1E87" w:rsidRPr="00C82609" w:rsidRDefault="00AF1E87" w:rsidP="002D526D">
                  <w:pPr>
                    <w:spacing w:after="0" w:line="240" w:lineRule="auto"/>
                    <w:ind w:right="757"/>
                    <w:jc w:val="right"/>
                    <w:rPr>
                      <w:rFonts w:ascii="Calibri" w:hAnsi="Calibri" w:cs="Times New Roman"/>
                    </w:rPr>
                  </w:pPr>
                  <w:r w:rsidRPr="00C82609">
                    <w:rPr>
                      <w:rFonts w:ascii="Calibri" w:hAnsi="Calibri" w:cs="Times New Roman"/>
                    </w:rPr>
                    <w:t>$8,429</w:t>
                  </w:r>
                </w:p>
              </w:tc>
            </w:tr>
            <w:tr w:rsidR="00AF1E87" w:rsidRPr="00C82609" w:rsidTr="002D526D">
              <w:tc>
                <w:tcPr>
                  <w:tcW w:w="2685" w:type="dxa"/>
                  <w:tcMar>
                    <w:top w:w="0" w:type="dxa"/>
                    <w:left w:w="0" w:type="dxa"/>
                    <w:bottom w:w="120" w:type="dxa"/>
                    <w:right w:w="192" w:type="dxa"/>
                  </w:tcMar>
                  <w:vAlign w:val="center"/>
                  <w:hideMark/>
                </w:tcPr>
                <w:p w:rsidR="00AF1E87" w:rsidRPr="00C82609" w:rsidRDefault="00AF1E87" w:rsidP="002D526D">
                  <w:pPr>
                    <w:spacing w:after="0" w:line="240" w:lineRule="auto"/>
                    <w:rPr>
                      <w:rFonts w:ascii="Calibri" w:hAnsi="Calibri" w:cs="Times New Roman"/>
                    </w:rPr>
                  </w:pPr>
                  <w:r w:rsidRPr="00C82609">
                    <w:rPr>
                      <w:rFonts w:ascii="Calibri" w:hAnsi="Calibri" w:cs="Times New Roman"/>
                    </w:rPr>
                    <w:t xml:space="preserve">Reduced crime </w:t>
                  </w:r>
                </w:p>
              </w:tc>
              <w:tc>
                <w:tcPr>
                  <w:tcW w:w="0" w:type="auto"/>
                  <w:tcMar>
                    <w:top w:w="0" w:type="dxa"/>
                    <w:left w:w="0" w:type="dxa"/>
                    <w:bottom w:w="120" w:type="dxa"/>
                    <w:right w:w="192" w:type="dxa"/>
                  </w:tcMar>
                  <w:vAlign w:val="center"/>
                  <w:hideMark/>
                </w:tcPr>
                <w:p w:rsidR="00AF1E87" w:rsidRPr="00C82609" w:rsidRDefault="00AF1E87" w:rsidP="002D526D">
                  <w:pPr>
                    <w:spacing w:after="0" w:line="240" w:lineRule="auto"/>
                    <w:ind w:right="757"/>
                    <w:jc w:val="right"/>
                    <w:rPr>
                      <w:rFonts w:ascii="Calibri" w:hAnsi="Calibri" w:cs="Times New Roman"/>
                    </w:rPr>
                  </w:pPr>
                  <w:r w:rsidRPr="00C82609">
                    <w:rPr>
                      <w:rFonts w:ascii="Calibri" w:hAnsi="Calibri" w:cs="Times New Roman"/>
                    </w:rPr>
                    <w:t>$6,182</w:t>
                  </w:r>
                </w:p>
              </w:tc>
            </w:tr>
            <w:tr w:rsidR="00AF1E87" w:rsidRPr="00C82609" w:rsidTr="002D526D">
              <w:tc>
                <w:tcPr>
                  <w:tcW w:w="2685" w:type="dxa"/>
                  <w:tcMar>
                    <w:top w:w="0" w:type="dxa"/>
                    <w:left w:w="0" w:type="dxa"/>
                    <w:bottom w:w="120" w:type="dxa"/>
                    <w:right w:w="192" w:type="dxa"/>
                  </w:tcMar>
                  <w:vAlign w:val="center"/>
                  <w:hideMark/>
                </w:tcPr>
                <w:p w:rsidR="00AF1E87" w:rsidRPr="00C82609" w:rsidRDefault="00AF1E87" w:rsidP="002D526D">
                  <w:pPr>
                    <w:spacing w:after="0" w:line="240" w:lineRule="auto"/>
                    <w:rPr>
                      <w:rFonts w:ascii="Calibri" w:hAnsi="Calibri" w:cs="Times New Roman"/>
                    </w:rPr>
                  </w:pPr>
                  <w:r w:rsidRPr="00C82609">
                    <w:rPr>
                      <w:rFonts w:ascii="Calibri" w:hAnsi="Calibri" w:cs="Times New Roman"/>
                    </w:rPr>
                    <w:t>Individual costs</w:t>
                  </w:r>
                </w:p>
              </w:tc>
              <w:tc>
                <w:tcPr>
                  <w:tcW w:w="0" w:type="auto"/>
                  <w:tcMar>
                    <w:top w:w="0" w:type="dxa"/>
                    <w:left w:w="0" w:type="dxa"/>
                    <w:bottom w:w="120" w:type="dxa"/>
                    <w:right w:w="192" w:type="dxa"/>
                  </w:tcMar>
                  <w:vAlign w:val="center"/>
                  <w:hideMark/>
                </w:tcPr>
                <w:p w:rsidR="00AF1E87" w:rsidRPr="00C82609" w:rsidRDefault="00AF1E87" w:rsidP="002D526D">
                  <w:pPr>
                    <w:spacing w:after="0" w:line="240" w:lineRule="auto"/>
                    <w:ind w:right="757"/>
                    <w:jc w:val="right"/>
                    <w:rPr>
                      <w:rFonts w:ascii="Calibri" w:hAnsi="Calibri" w:cs="Times New Roman"/>
                    </w:rPr>
                  </w:pPr>
                  <w:r w:rsidRPr="00C82609">
                    <w:rPr>
                      <w:rFonts w:ascii="Calibri" w:hAnsi="Calibri" w:cs="Times New Roman"/>
                    </w:rPr>
                    <w:t>$6,500</w:t>
                  </w:r>
                </w:p>
              </w:tc>
            </w:tr>
            <w:tr w:rsidR="00AF1E87" w:rsidRPr="00C82609" w:rsidTr="002D526D">
              <w:tc>
                <w:tcPr>
                  <w:tcW w:w="2685" w:type="dxa"/>
                  <w:tcMar>
                    <w:top w:w="0" w:type="dxa"/>
                    <w:left w:w="0" w:type="dxa"/>
                    <w:bottom w:w="120" w:type="dxa"/>
                    <w:right w:w="192" w:type="dxa"/>
                  </w:tcMar>
                  <w:vAlign w:val="center"/>
                  <w:hideMark/>
                </w:tcPr>
                <w:p w:rsidR="00AF1E87" w:rsidRPr="00C82609" w:rsidRDefault="00AF1E87" w:rsidP="002D526D">
                  <w:pPr>
                    <w:spacing w:after="0" w:line="240" w:lineRule="auto"/>
                    <w:rPr>
                      <w:rFonts w:ascii="Calibri" w:hAnsi="Calibri" w:cs="Times New Roman"/>
                    </w:rPr>
                  </w:pPr>
                  <w:r w:rsidRPr="00C82609">
                    <w:rPr>
                      <w:rFonts w:ascii="Calibri" w:hAnsi="Calibri" w:cs="Times New Roman"/>
                    </w:rPr>
                    <w:t>Improved human capital</w:t>
                  </w:r>
                </w:p>
              </w:tc>
              <w:tc>
                <w:tcPr>
                  <w:tcW w:w="0" w:type="auto"/>
                  <w:tcMar>
                    <w:top w:w="0" w:type="dxa"/>
                    <w:left w:w="0" w:type="dxa"/>
                    <w:bottom w:w="120" w:type="dxa"/>
                    <w:right w:w="192" w:type="dxa"/>
                  </w:tcMar>
                  <w:vAlign w:val="center"/>
                  <w:hideMark/>
                </w:tcPr>
                <w:p w:rsidR="00AF1E87" w:rsidRPr="00C82609" w:rsidRDefault="00AF1E87" w:rsidP="002D526D">
                  <w:pPr>
                    <w:spacing w:after="0" w:line="240" w:lineRule="auto"/>
                    <w:ind w:right="757"/>
                    <w:jc w:val="right"/>
                    <w:rPr>
                      <w:rFonts w:ascii="Calibri" w:hAnsi="Calibri" w:cs="Times New Roman"/>
                    </w:rPr>
                  </w:pPr>
                  <w:r w:rsidRPr="00C82609">
                    <w:rPr>
                      <w:rFonts w:ascii="Calibri" w:hAnsi="Calibri" w:cs="Times New Roman"/>
                    </w:rPr>
                    <w:t>$4,236</w:t>
                  </w:r>
                </w:p>
              </w:tc>
            </w:tr>
            <w:tr w:rsidR="00AF1E87" w:rsidRPr="00C82609" w:rsidTr="002D526D">
              <w:trPr>
                <w:trHeight w:val="245"/>
              </w:trPr>
              <w:tc>
                <w:tcPr>
                  <w:tcW w:w="2685" w:type="dxa"/>
                  <w:tcMar>
                    <w:top w:w="0" w:type="dxa"/>
                    <w:left w:w="0" w:type="dxa"/>
                    <w:bottom w:w="120" w:type="dxa"/>
                    <w:right w:w="192" w:type="dxa"/>
                  </w:tcMar>
                  <w:vAlign w:val="center"/>
                  <w:hideMark/>
                </w:tcPr>
                <w:p w:rsidR="00AF1E87" w:rsidRPr="00C82609" w:rsidRDefault="00AF1E87" w:rsidP="002D526D">
                  <w:pPr>
                    <w:spacing w:after="0" w:line="240" w:lineRule="auto"/>
                    <w:rPr>
                      <w:rFonts w:ascii="Calibri" w:hAnsi="Calibri" w:cs="Times New Roman"/>
                    </w:rPr>
                  </w:pPr>
                  <w:r w:rsidRPr="00C82609">
                    <w:rPr>
                      <w:rFonts w:ascii="Calibri" w:hAnsi="Calibri" w:cs="Times New Roman"/>
                    </w:rPr>
                    <w:t>Other</w:t>
                  </w:r>
                </w:p>
              </w:tc>
              <w:tc>
                <w:tcPr>
                  <w:tcW w:w="0" w:type="auto"/>
                  <w:tcMar>
                    <w:top w:w="0" w:type="dxa"/>
                    <w:left w:w="0" w:type="dxa"/>
                    <w:bottom w:w="120" w:type="dxa"/>
                    <w:right w:w="192" w:type="dxa"/>
                  </w:tcMar>
                  <w:vAlign w:val="center"/>
                  <w:hideMark/>
                </w:tcPr>
                <w:p w:rsidR="00AF1E87" w:rsidRPr="00C82609" w:rsidRDefault="00AF1E87" w:rsidP="002D526D">
                  <w:pPr>
                    <w:spacing w:after="0" w:line="240" w:lineRule="auto"/>
                    <w:ind w:right="757"/>
                    <w:jc w:val="right"/>
                    <w:rPr>
                      <w:rFonts w:ascii="Calibri" w:hAnsi="Calibri" w:cs="Times New Roman"/>
                    </w:rPr>
                  </w:pPr>
                  <w:r w:rsidRPr="00C82609">
                    <w:rPr>
                      <w:rFonts w:ascii="Calibri" w:hAnsi="Calibri" w:cs="Times New Roman"/>
                    </w:rPr>
                    <w:t>$268</w:t>
                  </w:r>
                </w:p>
              </w:tc>
            </w:tr>
            <w:tr w:rsidR="00AF1E87" w:rsidRPr="00C82609" w:rsidTr="002D526D">
              <w:tc>
                <w:tcPr>
                  <w:tcW w:w="2685" w:type="dxa"/>
                  <w:tcMar>
                    <w:top w:w="0" w:type="dxa"/>
                    <w:left w:w="0" w:type="dxa"/>
                    <w:bottom w:w="120" w:type="dxa"/>
                    <w:right w:w="192" w:type="dxa"/>
                  </w:tcMar>
                  <w:vAlign w:val="center"/>
                  <w:hideMark/>
                </w:tcPr>
                <w:p w:rsidR="00AF1E87" w:rsidRPr="00C82609" w:rsidRDefault="00AF1E87" w:rsidP="002D526D">
                  <w:pPr>
                    <w:spacing w:after="0" w:line="240" w:lineRule="auto"/>
                    <w:rPr>
                      <w:rFonts w:ascii="Calibri" w:hAnsi="Calibri" w:cs="Times New Roman"/>
                    </w:rPr>
                  </w:pPr>
                  <w:r w:rsidRPr="00C82609">
                    <w:rPr>
                      <w:rFonts w:ascii="Calibri" w:hAnsi="Calibri" w:cs="Times New Roman"/>
                      <w:b/>
                      <w:bCs/>
                    </w:rPr>
                    <w:t>Total</w:t>
                  </w:r>
                </w:p>
              </w:tc>
              <w:tc>
                <w:tcPr>
                  <w:tcW w:w="0" w:type="auto"/>
                  <w:tcMar>
                    <w:top w:w="0" w:type="dxa"/>
                    <w:left w:w="0" w:type="dxa"/>
                    <w:bottom w:w="120" w:type="dxa"/>
                    <w:right w:w="192" w:type="dxa"/>
                  </w:tcMar>
                  <w:vAlign w:val="center"/>
                  <w:hideMark/>
                </w:tcPr>
                <w:p w:rsidR="00AF1E87" w:rsidRPr="00CA4F92" w:rsidRDefault="00AF1E87" w:rsidP="002D526D">
                  <w:pPr>
                    <w:spacing w:after="0" w:line="240" w:lineRule="auto"/>
                    <w:ind w:right="757"/>
                    <w:jc w:val="right"/>
                    <w:rPr>
                      <w:rFonts w:ascii="Calibri" w:hAnsi="Calibri" w:cs="Times New Roman"/>
                      <w:b/>
                    </w:rPr>
                  </w:pPr>
                  <w:r w:rsidRPr="00CA4F92">
                    <w:rPr>
                      <w:rFonts w:ascii="Calibri" w:hAnsi="Calibri" w:cs="Times New Roman"/>
                      <w:b/>
                    </w:rPr>
                    <w:t>$25,615</w:t>
                  </w:r>
                </w:p>
              </w:tc>
            </w:tr>
          </w:tbl>
          <w:p w:rsidR="00AF1E87" w:rsidRPr="00C82609" w:rsidRDefault="00AF1E87" w:rsidP="002D526D">
            <w:pPr>
              <w:spacing w:before="120" w:after="0" w:line="240" w:lineRule="auto"/>
              <w:rPr>
                <w:rFonts w:ascii="Calibri" w:hAnsi="Calibri"/>
                <w:b/>
                <w:bCs/>
              </w:rPr>
            </w:pPr>
          </w:p>
        </w:tc>
      </w:tr>
      <w:tr w:rsidR="00AF1E87" w:rsidRPr="00C82609" w:rsidTr="002D526D">
        <w:trPr>
          <w:jc w:val="center"/>
        </w:trPr>
        <w:tc>
          <w:tcPr>
            <w:tcW w:w="1443" w:type="dxa"/>
            <w:shd w:val="clear" w:color="auto" w:fill="92D050"/>
          </w:tcPr>
          <w:p w:rsidR="00AF1E87" w:rsidRPr="00C82609" w:rsidRDefault="00AF1E87" w:rsidP="002D526D">
            <w:pPr>
              <w:spacing w:after="0"/>
              <w:rPr>
                <w:rFonts w:ascii="Calibri" w:hAnsi="Calibri"/>
              </w:rPr>
            </w:pPr>
            <w:r w:rsidRPr="00C82609">
              <w:rPr>
                <w:rFonts w:ascii="Calibri" w:hAnsi="Calibri"/>
                <w:b/>
                <w:bCs/>
              </w:rPr>
              <w:lastRenderedPageBreak/>
              <w:t>Productivity and innovation</w:t>
            </w:r>
          </w:p>
        </w:tc>
        <w:tc>
          <w:tcPr>
            <w:tcW w:w="7549" w:type="dxa"/>
          </w:tcPr>
          <w:p w:rsidR="00AF1E87" w:rsidRPr="004A6D82" w:rsidRDefault="00AF1E87" w:rsidP="002D526D">
            <w:pPr>
              <w:numPr>
                <w:ilvl w:val="0"/>
                <w:numId w:val="1"/>
              </w:numPr>
              <w:spacing w:after="40" w:line="240" w:lineRule="auto"/>
              <w:ind w:left="360"/>
              <w:rPr>
                <w:rFonts w:ascii="Calibri" w:hAnsi="Calibri"/>
              </w:rPr>
            </w:pPr>
            <w:r w:rsidRPr="004A6D82">
              <w:rPr>
                <w:rFonts w:ascii="Calibri" w:hAnsi="Calibri"/>
              </w:rPr>
              <w:t>The provision of housing will assist in individual capacity to achieve gainful employment and participate in the community.</w:t>
            </w:r>
          </w:p>
          <w:p w:rsidR="00AF1E87" w:rsidRPr="00C82609" w:rsidRDefault="00AF1E87" w:rsidP="002D526D">
            <w:pPr>
              <w:numPr>
                <w:ilvl w:val="0"/>
                <w:numId w:val="1"/>
              </w:numPr>
              <w:spacing w:after="40" w:line="240" w:lineRule="auto"/>
              <w:ind w:left="360"/>
              <w:rPr>
                <w:rFonts w:ascii="Calibri" w:hAnsi="Calibri"/>
              </w:rPr>
            </w:pPr>
            <w:r w:rsidRPr="004A6D82">
              <w:rPr>
                <w:rFonts w:ascii="Calibri" w:hAnsi="Calibri"/>
              </w:rPr>
              <w:t>Innovation is being encouraged and supported through the Innovation Fund to ensure new ideas can be explored and tested to promote affordable housing solutions.</w:t>
            </w:r>
          </w:p>
        </w:tc>
      </w:tr>
      <w:tr w:rsidR="00AF1E87" w:rsidRPr="00C82609" w:rsidTr="002D526D">
        <w:trPr>
          <w:jc w:val="center"/>
        </w:trPr>
        <w:tc>
          <w:tcPr>
            <w:tcW w:w="1443" w:type="dxa"/>
            <w:shd w:val="clear" w:color="auto" w:fill="92D050"/>
          </w:tcPr>
          <w:p w:rsidR="00AF1E87" w:rsidRPr="00C82609" w:rsidRDefault="00AF1E87" w:rsidP="002D526D">
            <w:pPr>
              <w:spacing w:after="0"/>
              <w:rPr>
                <w:rFonts w:ascii="Calibri" w:hAnsi="Calibri"/>
              </w:rPr>
            </w:pPr>
            <w:r w:rsidRPr="00C82609">
              <w:rPr>
                <w:rFonts w:ascii="Calibri" w:hAnsi="Calibri"/>
                <w:b/>
                <w:bCs/>
              </w:rPr>
              <w:t>Investment and Economic Impacts</w:t>
            </w:r>
          </w:p>
        </w:tc>
        <w:tc>
          <w:tcPr>
            <w:tcW w:w="7549" w:type="dxa"/>
          </w:tcPr>
          <w:p w:rsidR="00AF1E87" w:rsidRPr="00C82609" w:rsidRDefault="00AF1E87" w:rsidP="002D526D">
            <w:pPr>
              <w:numPr>
                <w:ilvl w:val="0"/>
                <w:numId w:val="1"/>
              </w:numPr>
              <w:spacing w:after="40" w:line="240" w:lineRule="auto"/>
              <w:ind w:left="360"/>
              <w:rPr>
                <w:rFonts w:ascii="Calibri" w:hAnsi="Calibri"/>
              </w:rPr>
            </w:pPr>
            <w:r w:rsidRPr="004A6D82">
              <w:rPr>
                <w:rFonts w:ascii="Calibri" w:hAnsi="Calibri"/>
              </w:rPr>
              <w:t>Affordable housing and an adequate overall supply of housing will help to attract and retain people in the ACT.</w:t>
            </w:r>
            <w:r w:rsidRPr="00C82609">
              <w:rPr>
                <w:rFonts w:ascii="Calibri" w:hAnsi="Calibri"/>
                <w:bCs/>
              </w:rPr>
              <w:t xml:space="preserve"> </w:t>
            </w:r>
          </w:p>
        </w:tc>
      </w:tr>
    </w:tbl>
    <w:p w:rsidR="00AF1E87" w:rsidRPr="00C82609" w:rsidRDefault="00AF1E87" w:rsidP="00AF1E87">
      <w:pPr>
        <w:spacing w:before="120" w:after="0"/>
        <w:jc w:val="both"/>
        <w:rPr>
          <w:rFonts w:ascii="Calibri" w:hAnsi="Calibri"/>
          <w:b/>
          <w:bCs/>
        </w:rPr>
      </w:pPr>
      <w:r w:rsidRPr="00C82609">
        <w:rPr>
          <w:rFonts w:ascii="Calibri" w:hAnsi="Calibri"/>
          <w:b/>
          <w:bCs/>
        </w:rPr>
        <w:t>Environmental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0"/>
        <w:gridCol w:w="7516"/>
      </w:tblGrid>
      <w:tr w:rsidR="00AF1E87" w:rsidRPr="00C82609" w:rsidTr="002D526D">
        <w:trPr>
          <w:jc w:val="center"/>
        </w:trPr>
        <w:tc>
          <w:tcPr>
            <w:tcW w:w="1117" w:type="dxa"/>
            <w:shd w:val="clear" w:color="auto" w:fill="00B0F0"/>
          </w:tcPr>
          <w:p w:rsidR="00AF1E87" w:rsidRPr="00C82609" w:rsidRDefault="00AF1E87" w:rsidP="002D526D">
            <w:pPr>
              <w:spacing w:after="0"/>
              <w:jc w:val="both"/>
              <w:rPr>
                <w:rFonts w:ascii="Calibri" w:hAnsi="Calibri"/>
              </w:rPr>
            </w:pPr>
            <w:r w:rsidRPr="00C82609">
              <w:rPr>
                <w:rFonts w:ascii="Calibri" w:hAnsi="Calibri"/>
                <w:b/>
                <w:bCs/>
              </w:rPr>
              <w:t>Biodiversity</w:t>
            </w:r>
          </w:p>
        </w:tc>
        <w:tc>
          <w:tcPr>
            <w:tcW w:w="7875" w:type="dxa"/>
          </w:tcPr>
          <w:p w:rsidR="00AF1E87" w:rsidRPr="00C82609" w:rsidRDefault="00AF1E87" w:rsidP="002D526D">
            <w:pPr>
              <w:spacing w:beforeLines="40" w:before="96" w:after="0" w:line="240" w:lineRule="auto"/>
              <w:rPr>
                <w:rFonts w:ascii="Calibri" w:hAnsi="Calibri"/>
              </w:rPr>
            </w:pPr>
            <w:r w:rsidRPr="00C82609">
              <w:rPr>
                <w:rFonts w:ascii="Calibri" w:hAnsi="Calibri"/>
              </w:rPr>
              <w:t>Nil</w:t>
            </w:r>
          </w:p>
        </w:tc>
      </w:tr>
      <w:tr w:rsidR="00AF1E87" w:rsidRPr="00C82609" w:rsidTr="002D526D">
        <w:trPr>
          <w:jc w:val="center"/>
        </w:trPr>
        <w:tc>
          <w:tcPr>
            <w:tcW w:w="1117" w:type="dxa"/>
            <w:shd w:val="clear" w:color="auto" w:fill="00B0F0"/>
          </w:tcPr>
          <w:p w:rsidR="00AF1E87" w:rsidRPr="00C82609" w:rsidRDefault="00AF1E87" w:rsidP="002D526D">
            <w:pPr>
              <w:spacing w:after="0"/>
              <w:jc w:val="both"/>
              <w:rPr>
                <w:rFonts w:ascii="Calibri" w:hAnsi="Calibri"/>
              </w:rPr>
            </w:pPr>
            <w:r w:rsidRPr="00C82609">
              <w:rPr>
                <w:rFonts w:ascii="Calibri" w:hAnsi="Calibri"/>
                <w:b/>
                <w:bCs/>
              </w:rPr>
              <w:t>Heritage</w:t>
            </w:r>
          </w:p>
        </w:tc>
        <w:tc>
          <w:tcPr>
            <w:tcW w:w="7875" w:type="dxa"/>
          </w:tcPr>
          <w:p w:rsidR="00AF1E87" w:rsidRPr="00C82609" w:rsidRDefault="00AF1E87" w:rsidP="002D526D">
            <w:pPr>
              <w:spacing w:before="120" w:after="0" w:line="240" w:lineRule="auto"/>
              <w:rPr>
                <w:rFonts w:ascii="Calibri" w:hAnsi="Calibri"/>
              </w:rPr>
            </w:pPr>
            <w:r w:rsidRPr="00C82609">
              <w:rPr>
                <w:rFonts w:ascii="Calibri" w:hAnsi="Calibri"/>
              </w:rPr>
              <w:t>Nil</w:t>
            </w:r>
          </w:p>
        </w:tc>
      </w:tr>
      <w:tr w:rsidR="00AF1E87" w:rsidRPr="00C82609" w:rsidTr="002D526D">
        <w:trPr>
          <w:jc w:val="center"/>
        </w:trPr>
        <w:tc>
          <w:tcPr>
            <w:tcW w:w="1117" w:type="dxa"/>
            <w:shd w:val="clear" w:color="auto" w:fill="92D050"/>
          </w:tcPr>
          <w:p w:rsidR="00AF1E87" w:rsidRPr="00C82609" w:rsidRDefault="00AF1E87" w:rsidP="002D526D">
            <w:pPr>
              <w:spacing w:after="0"/>
              <w:jc w:val="both"/>
              <w:rPr>
                <w:rFonts w:ascii="Calibri" w:hAnsi="Calibri"/>
              </w:rPr>
            </w:pPr>
            <w:r w:rsidRPr="00C82609">
              <w:rPr>
                <w:rFonts w:ascii="Calibri" w:hAnsi="Calibri"/>
                <w:b/>
                <w:bCs/>
              </w:rPr>
              <w:t>Environmental quality</w:t>
            </w:r>
          </w:p>
        </w:tc>
        <w:tc>
          <w:tcPr>
            <w:tcW w:w="7875" w:type="dxa"/>
          </w:tcPr>
          <w:p w:rsidR="00AF1E87" w:rsidRPr="00C82609" w:rsidRDefault="00AF1E87" w:rsidP="002D526D">
            <w:pPr>
              <w:numPr>
                <w:ilvl w:val="0"/>
                <w:numId w:val="1"/>
              </w:numPr>
              <w:spacing w:after="40" w:line="240" w:lineRule="auto"/>
              <w:ind w:left="360"/>
              <w:rPr>
                <w:rFonts w:ascii="Calibri" w:hAnsi="Calibri"/>
              </w:rPr>
            </w:pPr>
            <w:r w:rsidRPr="00C82609">
              <w:rPr>
                <w:rFonts w:ascii="Calibri" w:hAnsi="Calibri"/>
              </w:rPr>
              <w:t>Improvements to energy efficiency in homes are being explored as part of the strategy through multiple ACT and national projects underway to review energy efficiency standards and buildings appropriate for the ACT’s current and projected climate, including the Climate Change Adaptation Strategy, the review of Climate Change Action Plan 2, the National Energy Productivity Plan, and the review of the ACT mandatory disclosure system and investigation of options to improve the efficiency of rental housing.</w:t>
            </w:r>
          </w:p>
          <w:p w:rsidR="00AF1E87" w:rsidRPr="00C82609" w:rsidRDefault="00AF1E87" w:rsidP="002D526D">
            <w:pPr>
              <w:numPr>
                <w:ilvl w:val="0"/>
                <w:numId w:val="1"/>
              </w:numPr>
              <w:spacing w:after="40" w:line="240" w:lineRule="auto"/>
              <w:ind w:left="360"/>
              <w:rPr>
                <w:rFonts w:ascii="Calibri" w:hAnsi="Calibri"/>
              </w:rPr>
            </w:pPr>
            <w:r w:rsidRPr="00C82609">
              <w:rPr>
                <w:rFonts w:ascii="Calibri" w:hAnsi="Calibri"/>
              </w:rPr>
              <w:t>The Strategy will also deliver programs to improve the energy efficiency of public housing so tenants reap the benefits of greater comfort and reduced living costs, while contributing to lower emissions and greater environmental sustainability for the public housing portfolio.</w:t>
            </w:r>
          </w:p>
        </w:tc>
      </w:tr>
    </w:tbl>
    <w:p w:rsidR="00AF1E87" w:rsidRPr="00C82609" w:rsidRDefault="00AF1E87" w:rsidP="00AF1E87">
      <w:pPr>
        <w:spacing w:after="0"/>
        <w:rPr>
          <w:rFonts w:ascii="Calibri" w:hAnsi="Calibri"/>
        </w:rPr>
      </w:pPr>
    </w:p>
    <w:p w:rsidR="00AA1E89" w:rsidRDefault="00AA1E89">
      <w:bookmarkStart w:id="0" w:name="_GoBack"/>
      <w:bookmarkEnd w:id="0"/>
    </w:p>
    <w:sectPr w:rsidR="00AA1E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E87" w:rsidRDefault="00AF1E87" w:rsidP="00AF1E87">
      <w:pPr>
        <w:spacing w:after="0" w:line="240" w:lineRule="auto"/>
      </w:pPr>
      <w:r>
        <w:separator/>
      </w:r>
    </w:p>
  </w:endnote>
  <w:endnote w:type="continuationSeparator" w:id="0">
    <w:p w:rsidR="00AF1E87" w:rsidRDefault="00AF1E87" w:rsidP="00AF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E87" w:rsidRDefault="00AF1E87" w:rsidP="00AF1E87">
      <w:pPr>
        <w:spacing w:after="0" w:line="240" w:lineRule="auto"/>
      </w:pPr>
      <w:r>
        <w:separator/>
      </w:r>
    </w:p>
  </w:footnote>
  <w:footnote w:type="continuationSeparator" w:id="0">
    <w:p w:rsidR="00AF1E87" w:rsidRDefault="00AF1E87" w:rsidP="00AF1E87">
      <w:pPr>
        <w:spacing w:after="0" w:line="240" w:lineRule="auto"/>
      </w:pPr>
      <w:r>
        <w:continuationSeparator/>
      </w:r>
    </w:p>
  </w:footnote>
  <w:footnote w:id="1">
    <w:p w:rsidR="00AF1E87" w:rsidRPr="00540F0F" w:rsidRDefault="00AF1E87" w:rsidP="00AF1E87">
      <w:pPr>
        <w:pStyle w:val="FootnoteText"/>
        <w:spacing w:line="240" w:lineRule="auto"/>
        <w:rPr>
          <w:rFonts w:ascii="Calibri" w:hAnsi="Calibri"/>
        </w:rPr>
      </w:pPr>
      <w:r>
        <w:rPr>
          <w:rStyle w:val="FootnoteReference"/>
        </w:rPr>
        <w:footnoteRef/>
      </w:r>
      <w:r>
        <w:t xml:space="preserve"> </w:t>
      </w:r>
      <w:r w:rsidRPr="00540F0F">
        <w:rPr>
          <w:rStyle w:val="A3"/>
          <w:rFonts w:ascii="Calibri" w:hAnsi="Calibri"/>
        </w:rPr>
        <w:t>Witte, E. 2017 ‘The case for investing in last resort housing’, MSSI Issues Paper No. 10, Melbourne Sustainable Society Institute, The University of Melbourne.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E87"/>
    <w:rsid w:val="00AA1E89"/>
    <w:rsid w:val="00AF1E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BF138-227A-4631-B853-CC2A6931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E87"/>
    <w:pPr>
      <w:spacing w:after="200" w:line="276" w:lineRule="auto"/>
    </w:pPr>
    <w:rPr>
      <w:rFonts w:ascii="Arial" w:eastAsia="Times New Roman" w:hAnsi="Arial" w:cs="Arial"/>
      <w:sz w:val="21"/>
      <w:szCs w:val="21"/>
      <w:lang w:eastAsia="en-AU"/>
    </w:rPr>
  </w:style>
  <w:style w:type="paragraph" w:styleId="Heading3">
    <w:name w:val="heading 3"/>
    <w:basedOn w:val="Normal"/>
    <w:next w:val="Normal"/>
    <w:link w:val="Heading3Char"/>
    <w:uiPriority w:val="9"/>
    <w:unhideWhenUsed/>
    <w:qFormat/>
    <w:rsid w:val="00AF1E87"/>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1E87"/>
    <w:rPr>
      <w:rFonts w:ascii="Calibri Light" w:eastAsia="Times New Roman" w:hAnsi="Calibri Light" w:cs="Times New Roman"/>
      <w:b/>
      <w:bCs/>
      <w:sz w:val="26"/>
      <w:szCs w:val="26"/>
      <w:lang w:eastAsia="en-AU"/>
    </w:rPr>
  </w:style>
  <w:style w:type="paragraph" w:styleId="FootnoteText">
    <w:name w:val="footnote text"/>
    <w:basedOn w:val="Normal"/>
    <w:link w:val="FootnoteTextChar"/>
    <w:semiHidden/>
    <w:unhideWhenUsed/>
    <w:rsid w:val="00AF1E87"/>
    <w:rPr>
      <w:sz w:val="20"/>
      <w:szCs w:val="20"/>
    </w:rPr>
  </w:style>
  <w:style w:type="character" w:customStyle="1" w:styleId="FootnoteTextChar">
    <w:name w:val="Footnote Text Char"/>
    <w:basedOn w:val="DefaultParagraphFont"/>
    <w:link w:val="FootnoteText"/>
    <w:semiHidden/>
    <w:rsid w:val="00AF1E87"/>
    <w:rPr>
      <w:rFonts w:ascii="Arial" w:eastAsia="Times New Roman" w:hAnsi="Arial" w:cs="Arial"/>
      <w:sz w:val="20"/>
      <w:szCs w:val="20"/>
      <w:lang w:eastAsia="en-AU"/>
    </w:rPr>
  </w:style>
  <w:style w:type="character" w:styleId="FootnoteReference">
    <w:name w:val="footnote reference"/>
    <w:semiHidden/>
    <w:unhideWhenUsed/>
    <w:rsid w:val="00AF1E87"/>
    <w:rPr>
      <w:vertAlign w:val="superscript"/>
    </w:rPr>
  </w:style>
  <w:style w:type="character" w:customStyle="1" w:styleId="A3">
    <w:name w:val="A3"/>
    <w:uiPriority w:val="99"/>
    <w:rsid w:val="00AF1E87"/>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C7593-EAF1-4A48-9167-CAA424F0274C}"/>
</file>

<file path=customXml/itemProps2.xml><?xml version="1.0" encoding="utf-8"?>
<ds:datastoreItem xmlns:ds="http://schemas.openxmlformats.org/officeDocument/2006/customXml" ds:itemID="{4B3E0234-3A5E-44F4-A687-113CEE89701A}"/>
</file>

<file path=customXml/itemProps3.xml><?xml version="1.0" encoding="utf-8"?>
<ds:datastoreItem xmlns:ds="http://schemas.openxmlformats.org/officeDocument/2006/customXml" ds:itemID="{9D050F1B-2EF6-47AF-B2FE-F5067FA631B4}"/>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Morris, Dorena</cp:lastModifiedBy>
  <cp:revision>1</cp:revision>
  <dcterms:created xsi:type="dcterms:W3CDTF">2018-11-21T23:11:00Z</dcterms:created>
  <dcterms:modified xsi:type="dcterms:W3CDTF">2018-11-21T23:12:00Z</dcterms:modified>
</cp:coreProperties>
</file>