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5A887" w14:textId="6613195E" w:rsidR="00EC795B" w:rsidRPr="00E40FE1" w:rsidRDefault="00C970E7" w:rsidP="00AE110A">
      <w:pPr>
        <w:pStyle w:val="Heading1"/>
      </w:pPr>
      <w:r w:rsidRPr="00264FB0">
        <w:t>Staff</w:t>
      </w:r>
      <w:r w:rsidR="00CF4BFD" w:rsidRPr="00E40FE1">
        <w:t xml:space="preserve"> Mobility</w:t>
      </w:r>
      <w:r w:rsidR="00707370">
        <w:t xml:space="preserve"> </w:t>
      </w:r>
      <w:r w:rsidR="00CF4BFD" w:rsidRPr="00E40FE1">
        <w:t>Guideline</w:t>
      </w:r>
      <w:r w:rsidR="00B14E15" w:rsidRPr="00E40FE1">
        <w:t xml:space="preserve"> </w:t>
      </w:r>
    </w:p>
    <w:p w14:paraId="53C16DA9" w14:textId="34899EA4" w:rsidR="004324E3" w:rsidRDefault="004324E3" w:rsidP="001D731D">
      <w:pPr>
        <w:pStyle w:val="Heading2"/>
      </w:pPr>
      <w:bookmarkStart w:id="0" w:name="_Hlk210211409"/>
      <w:r>
        <w:t>Introduction / Purpose</w:t>
      </w:r>
    </w:p>
    <w:p w14:paraId="043FEF47" w14:textId="4A86C842" w:rsidR="004324E3" w:rsidRDefault="004324E3" w:rsidP="004324E3">
      <w:pPr>
        <w:pStyle w:val="IntroParagraph"/>
        <w:numPr>
          <w:ilvl w:val="0"/>
          <w:numId w:val="11"/>
        </w:numPr>
        <w:spacing w:before="200" w:after="60" w:line="240" w:lineRule="auto"/>
        <w:rPr>
          <w:color w:val="auto"/>
          <w:sz w:val="22"/>
          <w:szCs w:val="22"/>
        </w:rPr>
      </w:pPr>
      <w:r w:rsidRPr="008D0C65">
        <w:rPr>
          <w:color w:val="auto"/>
          <w:sz w:val="22"/>
          <w:szCs w:val="22"/>
        </w:rPr>
        <w:t xml:space="preserve">Mobility refers to moving an existing employee </w:t>
      </w:r>
      <w:r w:rsidR="00D96AFF">
        <w:rPr>
          <w:color w:val="auto"/>
          <w:sz w:val="22"/>
          <w:szCs w:val="22"/>
        </w:rPr>
        <w:t xml:space="preserve">to a vacant office </w:t>
      </w:r>
      <w:r w:rsidR="00C2607D">
        <w:rPr>
          <w:color w:val="auto"/>
          <w:sz w:val="22"/>
          <w:szCs w:val="22"/>
        </w:rPr>
        <w:t xml:space="preserve">at level </w:t>
      </w:r>
      <w:r w:rsidRPr="008D0C65">
        <w:rPr>
          <w:color w:val="auto"/>
          <w:sz w:val="22"/>
          <w:szCs w:val="22"/>
        </w:rPr>
        <w:t xml:space="preserve">within or between directorates or public sector entities </w:t>
      </w:r>
      <w:r>
        <w:rPr>
          <w:color w:val="auto"/>
          <w:sz w:val="22"/>
          <w:szCs w:val="22"/>
        </w:rPr>
        <w:t>without a prescribed selection process</w:t>
      </w:r>
      <w:r w:rsidRPr="008D0C65">
        <w:rPr>
          <w:color w:val="auto"/>
          <w:sz w:val="22"/>
          <w:szCs w:val="22"/>
        </w:rPr>
        <w:t xml:space="preserve">. </w:t>
      </w:r>
    </w:p>
    <w:p w14:paraId="1C435D0B" w14:textId="37BE5192" w:rsidR="00CB6EC6" w:rsidRPr="00B10FD2" w:rsidRDefault="00CB6EC6" w:rsidP="004324E3">
      <w:pPr>
        <w:pStyle w:val="IntroParagraph"/>
        <w:numPr>
          <w:ilvl w:val="0"/>
          <w:numId w:val="11"/>
        </w:numPr>
        <w:spacing w:before="200" w:after="60" w:line="240" w:lineRule="auto"/>
        <w:rPr>
          <w:color w:val="auto"/>
          <w:sz w:val="22"/>
          <w:szCs w:val="22"/>
        </w:rPr>
      </w:pPr>
      <w:r w:rsidRPr="00B10FD2">
        <w:rPr>
          <w:color w:val="auto"/>
          <w:sz w:val="22"/>
          <w:szCs w:val="22"/>
        </w:rPr>
        <w:t xml:space="preserve">Mobility is an existing feature of the ACTPS employment framework. This guideline provides </w:t>
      </w:r>
      <w:r w:rsidR="00B52702">
        <w:rPr>
          <w:color w:val="auto"/>
          <w:sz w:val="22"/>
          <w:szCs w:val="22"/>
        </w:rPr>
        <w:t>advice</w:t>
      </w:r>
      <w:r w:rsidRPr="00B10FD2">
        <w:rPr>
          <w:color w:val="auto"/>
          <w:sz w:val="22"/>
          <w:szCs w:val="22"/>
        </w:rPr>
        <w:t xml:space="preserve"> on </w:t>
      </w:r>
      <w:r w:rsidR="00B52702">
        <w:rPr>
          <w:color w:val="auto"/>
          <w:sz w:val="22"/>
          <w:szCs w:val="22"/>
        </w:rPr>
        <w:t>how to achieve mobility in a manner which complies with the existing legislation and ACTPS employment policies.</w:t>
      </w:r>
      <w:r w:rsidRPr="00B10FD2">
        <w:rPr>
          <w:color w:val="auto"/>
          <w:sz w:val="22"/>
          <w:szCs w:val="22"/>
        </w:rPr>
        <w:t xml:space="preserve"> </w:t>
      </w:r>
    </w:p>
    <w:p w14:paraId="460FD47F" w14:textId="49A1650C" w:rsidR="004324E3" w:rsidRPr="0013759C" w:rsidRDefault="00783D13" w:rsidP="0013759C">
      <w:pPr>
        <w:pStyle w:val="IntroParagraph"/>
        <w:numPr>
          <w:ilvl w:val="0"/>
          <w:numId w:val="11"/>
        </w:numPr>
        <w:spacing w:before="200" w:after="60" w:line="24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Mobility </w:t>
      </w:r>
      <w:r w:rsidR="004324E3" w:rsidRPr="0013759C">
        <w:rPr>
          <w:color w:val="auto"/>
          <w:sz w:val="22"/>
          <w:szCs w:val="22"/>
        </w:rPr>
        <w:t xml:space="preserve">must not be used as a substitute for effective performance management. </w:t>
      </w:r>
      <w:r w:rsidR="00E51CCA">
        <w:rPr>
          <w:color w:val="auto"/>
          <w:sz w:val="22"/>
          <w:szCs w:val="22"/>
        </w:rPr>
        <w:t xml:space="preserve">Refer to the </w:t>
      </w:r>
      <w:hyperlink r:id="rId11" w:history="1">
        <w:r w:rsidR="00D87F3B" w:rsidRPr="00E51CCA">
          <w:rPr>
            <w:rStyle w:val="Hyperlink"/>
            <w:sz w:val="22"/>
            <w:szCs w:val="22"/>
          </w:rPr>
          <w:t>Underperformance Policy and Procedure</w:t>
        </w:r>
      </w:hyperlink>
      <w:r w:rsidR="00D87F3B">
        <w:rPr>
          <w:color w:val="auto"/>
          <w:sz w:val="22"/>
          <w:szCs w:val="22"/>
        </w:rPr>
        <w:t xml:space="preserve"> </w:t>
      </w:r>
      <w:r w:rsidR="00E51CCA">
        <w:rPr>
          <w:color w:val="auto"/>
          <w:sz w:val="22"/>
          <w:szCs w:val="22"/>
        </w:rPr>
        <w:t xml:space="preserve">in </w:t>
      </w:r>
      <w:r w:rsidR="00CB6EC6">
        <w:rPr>
          <w:color w:val="auto"/>
          <w:sz w:val="22"/>
          <w:szCs w:val="22"/>
        </w:rPr>
        <w:t>such</w:t>
      </w:r>
      <w:r w:rsidR="00E51CCA">
        <w:rPr>
          <w:color w:val="auto"/>
          <w:sz w:val="22"/>
          <w:szCs w:val="22"/>
        </w:rPr>
        <w:t xml:space="preserve"> instances.</w:t>
      </w:r>
    </w:p>
    <w:bookmarkEnd w:id="0"/>
    <w:p w14:paraId="3FD615B8" w14:textId="5876A1B8" w:rsidR="004324E3" w:rsidRDefault="004324E3" w:rsidP="00E40FE1">
      <w:pPr>
        <w:pStyle w:val="Heading2"/>
      </w:pPr>
      <w:r>
        <w:t>Application</w:t>
      </w:r>
    </w:p>
    <w:p w14:paraId="36FEADF2" w14:textId="0AC07D08" w:rsidR="004017FB" w:rsidRDefault="004017FB" w:rsidP="00423D00">
      <w:pPr>
        <w:pStyle w:val="IntroParagraph"/>
        <w:numPr>
          <w:ilvl w:val="0"/>
          <w:numId w:val="11"/>
        </w:numPr>
        <w:spacing w:before="200" w:after="60" w:line="240" w:lineRule="auto"/>
        <w:rPr>
          <w:color w:val="auto"/>
          <w:sz w:val="22"/>
          <w:szCs w:val="22"/>
        </w:rPr>
      </w:pPr>
      <w:r w:rsidRPr="004017FB">
        <w:rPr>
          <w:color w:val="auto"/>
          <w:sz w:val="22"/>
          <w:szCs w:val="22"/>
        </w:rPr>
        <w:t xml:space="preserve">This guideline applies to directorates, public sector entities and statutory office-holders who </w:t>
      </w:r>
      <w:r w:rsidR="0034645A">
        <w:rPr>
          <w:color w:val="auto"/>
          <w:sz w:val="22"/>
          <w:szCs w:val="22"/>
        </w:rPr>
        <w:t>employ individuals</w:t>
      </w:r>
      <w:r w:rsidRPr="004017FB">
        <w:rPr>
          <w:color w:val="auto"/>
          <w:sz w:val="22"/>
          <w:szCs w:val="22"/>
        </w:rPr>
        <w:t xml:space="preserve"> under the </w:t>
      </w:r>
      <w:hyperlink r:id="rId12" w:history="1">
        <w:r w:rsidRPr="00A7790E">
          <w:rPr>
            <w:rStyle w:val="Hyperlink"/>
            <w:i/>
            <w:iCs/>
            <w:sz w:val="22"/>
            <w:szCs w:val="22"/>
          </w:rPr>
          <w:t>Public Sector Management Act 1994</w:t>
        </w:r>
      </w:hyperlink>
      <w:r w:rsidRPr="002102BC">
        <w:rPr>
          <w:color w:val="auto"/>
          <w:sz w:val="22"/>
          <w:szCs w:val="22"/>
        </w:rPr>
        <w:t xml:space="preserve"> (PSM Act)</w:t>
      </w:r>
      <w:r w:rsidRPr="004017FB">
        <w:rPr>
          <w:color w:val="auto"/>
          <w:sz w:val="22"/>
          <w:szCs w:val="22"/>
        </w:rPr>
        <w:t>.</w:t>
      </w:r>
    </w:p>
    <w:p w14:paraId="265A62B9" w14:textId="120D4345" w:rsidR="008F0088" w:rsidRDefault="00E215C6" w:rsidP="00626A1B">
      <w:pPr>
        <w:pStyle w:val="IntroParagraph"/>
        <w:numPr>
          <w:ilvl w:val="0"/>
          <w:numId w:val="11"/>
        </w:numPr>
        <w:spacing w:before="200" w:after="60" w:line="240" w:lineRule="auto"/>
        <w:rPr>
          <w:color w:val="auto"/>
          <w:sz w:val="22"/>
          <w:szCs w:val="22"/>
        </w:rPr>
      </w:pPr>
      <w:r w:rsidRPr="002102BC">
        <w:rPr>
          <w:color w:val="auto"/>
          <w:sz w:val="22"/>
          <w:szCs w:val="22"/>
        </w:rPr>
        <w:t>For the purposes of this guid</w:t>
      </w:r>
      <w:r>
        <w:rPr>
          <w:color w:val="auto"/>
          <w:sz w:val="22"/>
          <w:szCs w:val="22"/>
        </w:rPr>
        <w:t>eline</w:t>
      </w:r>
      <w:r w:rsidR="00626A1B">
        <w:rPr>
          <w:color w:val="auto"/>
          <w:sz w:val="22"/>
          <w:szCs w:val="22"/>
        </w:rPr>
        <w:t xml:space="preserve">, </w:t>
      </w:r>
      <w:r w:rsidRPr="00626A1B">
        <w:rPr>
          <w:color w:val="auto"/>
          <w:sz w:val="22"/>
          <w:szCs w:val="22"/>
        </w:rPr>
        <w:t>employees are defined as including permanent officers, temporary employees, casual employees, and a public sector employer’s staff member who is employed on a permanent or temporary basis, whether full-time or part-time</w:t>
      </w:r>
      <w:r w:rsidR="00626A1B">
        <w:rPr>
          <w:color w:val="auto"/>
          <w:sz w:val="22"/>
          <w:szCs w:val="22"/>
        </w:rPr>
        <w:t>.</w:t>
      </w:r>
    </w:p>
    <w:p w14:paraId="51E8E2D6" w14:textId="77777777" w:rsidR="00A1260D" w:rsidRPr="001D731D" w:rsidRDefault="00A1260D" w:rsidP="001D731D">
      <w:pPr>
        <w:pStyle w:val="Heading2"/>
      </w:pPr>
      <w:bookmarkStart w:id="1" w:name="_Toc211868259"/>
      <w:bookmarkStart w:id="2" w:name="_Toc214454355"/>
      <w:r w:rsidRPr="001D731D">
        <w:t>Key Legislative Provisions</w:t>
      </w:r>
      <w:bookmarkEnd w:id="1"/>
      <w:bookmarkEnd w:id="2"/>
    </w:p>
    <w:p w14:paraId="4141DA58" w14:textId="36A2FB60" w:rsidR="0051020C" w:rsidRPr="00462ACA" w:rsidRDefault="00A1260D" w:rsidP="00462ACA">
      <w:pPr>
        <w:pStyle w:val="IntroParagraph"/>
        <w:numPr>
          <w:ilvl w:val="0"/>
          <w:numId w:val="11"/>
        </w:numPr>
        <w:spacing w:before="200" w:after="60" w:line="240" w:lineRule="auto"/>
        <w:rPr>
          <w:color w:val="auto"/>
          <w:sz w:val="22"/>
          <w:szCs w:val="22"/>
        </w:rPr>
      </w:pPr>
      <w:r w:rsidRPr="002F1784">
        <w:rPr>
          <w:color w:val="auto"/>
          <w:sz w:val="22"/>
          <w:szCs w:val="22"/>
        </w:rPr>
        <w:t xml:space="preserve">The PSM Act provides </w:t>
      </w:r>
      <w:r w:rsidR="00101CF5">
        <w:rPr>
          <w:color w:val="auto"/>
          <w:sz w:val="22"/>
          <w:szCs w:val="22"/>
        </w:rPr>
        <w:t>th</w:t>
      </w:r>
      <w:r w:rsidR="00CA6324">
        <w:rPr>
          <w:color w:val="auto"/>
          <w:sz w:val="22"/>
          <w:szCs w:val="22"/>
        </w:rPr>
        <w:t xml:space="preserve">e Head of Service the power to move </w:t>
      </w:r>
      <w:r w:rsidRPr="002F1784">
        <w:rPr>
          <w:color w:val="auto"/>
          <w:sz w:val="22"/>
          <w:szCs w:val="22"/>
        </w:rPr>
        <w:t xml:space="preserve">an employee </w:t>
      </w:r>
      <w:r w:rsidR="00FB2772">
        <w:rPr>
          <w:color w:val="auto"/>
          <w:sz w:val="22"/>
          <w:szCs w:val="22"/>
        </w:rPr>
        <w:t xml:space="preserve">to a vacant office </w:t>
      </w:r>
      <w:r w:rsidRPr="002F1784">
        <w:rPr>
          <w:color w:val="auto"/>
          <w:sz w:val="22"/>
          <w:szCs w:val="22"/>
        </w:rPr>
        <w:t>within or between</w:t>
      </w:r>
      <w:r>
        <w:rPr>
          <w:rStyle w:val="FootnoteReference"/>
          <w:color w:val="auto"/>
          <w:sz w:val="22"/>
          <w:szCs w:val="22"/>
        </w:rPr>
        <w:footnoteReference w:id="2"/>
      </w:r>
      <w:r w:rsidRPr="002F1784">
        <w:rPr>
          <w:color w:val="auto"/>
          <w:sz w:val="22"/>
          <w:szCs w:val="22"/>
        </w:rPr>
        <w:t xml:space="preserve"> </w:t>
      </w:r>
      <w:r w:rsidR="00BC6D38" w:rsidRPr="002F1784">
        <w:rPr>
          <w:color w:val="auto"/>
          <w:sz w:val="22"/>
          <w:szCs w:val="22"/>
        </w:rPr>
        <w:t>administrative units</w:t>
      </w:r>
      <w:r w:rsidR="00462ACA">
        <w:rPr>
          <w:color w:val="auto"/>
          <w:sz w:val="22"/>
          <w:szCs w:val="22"/>
        </w:rPr>
        <w:t xml:space="preserve">, </w:t>
      </w:r>
      <w:r w:rsidR="00462ACA" w:rsidRPr="00256B89">
        <w:rPr>
          <w:color w:val="auto"/>
          <w:sz w:val="22"/>
          <w:szCs w:val="22"/>
        </w:rPr>
        <w:t>and to move a member of the Senior Executive Service</w:t>
      </w:r>
      <w:r w:rsidR="009A764C" w:rsidRPr="00256B89">
        <w:rPr>
          <w:color w:val="auto"/>
          <w:sz w:val="22"/>
          <w:szCs w:val="22"/>
        </w:rPr>
        <w:t xml:space="preserve"> (SES)</w:t>
      </w:r>
      <w:r w:rsidR="00462ACA" w:rsidRPr="00256B89">
        <w:rPr>
          <w:color w:val="auto"/>
          <w:sz w:val="22"/>
          <w:szCs w:val="22"/>
        </w:rPr>
        <w:t xml:space="preserve"> </w:t>
      </w:r>
      <w:r w:rsidR="0027117D" w:rsidRPr="00256B89">
        <w:rPr>
          <w:color w:val="auto"/>
          <w:sz w:val="22"/>
          <w:szCs w:val="22"/>
        </w:rPr>
        <w:t>by amending their statutory employment terms (SETs).</w:t>
      </w:r>
      <w:r w:rsidR="00462ACA" w:rsidRPr="00256B89">
        <w:rPr>
          <w:rStyle w:val="FootnoteReference"/>
          <w:color w:val="auto"/>
          <w:sz w:val="22"/>
          <w:szCs w:val="22"/>
        </w:rPr>
        <w:footnoteReference w:id="3"/>
      </w:r>
      <w:r w:rsidRPr="002F1784">
        <w:rPr>
          <w:color w:val="auto"/>
          <w:sz w:val="22"/>
          <w:szCs w:val="22"/>
        </w:rPr>
        <w:t xml:space="preserve"> </w:t>
      </w:r>
    </w:p>
    <w:p w14:paraId="00A0E7CD" w14:textId="3ACD3619" w:rsidR="00A1260D" w:rsidRPr="002F1784" w:rsidRDefault="00A1260D" w:rsidP="00632917">
      <w:pPr>
        <w:pStyle w:val="IntroParagraph"/>
        <w:numPr>
          <w:ilvl w:val="0"/>
          <w:numId w:val="11"/>
        </w:numPr>
        <w:spacing w:before="200" w:after="60" w:line="240" w:lineRule="auto"/>
        <w:rPr>
          <w:color w:val="auto"/>
          <w:sz w:val="22"/>
          <w:szCs w:val="22"/>
        </w:rPr>
      </w:pPr>
      <w:r w:rsidRPr="002F1784">
        <w:rPr>
          <w:color w:val="auto"/>
          <w:sz w:val="22"/>
          <w:szCs w:val="22"/>
        </w:rPr>
        <w:t xml:space="preserve">The </w:t>
      </w:r>
      <w:hyperlink r:id="rId13" w:history="1">
        <w:r w:rsidRPr="002F1784">
          <w:rPr>
            <w:rStyle w:val="Hyperlink"/>
            <w:i/>
            <w:iCs/>
            <w:sz w:val="22"/>
            <w:szCs w:val="22"/>
          </w:rPr>
          <w:t>Fair Work Act 2009</w:t>
        </w:r>
      </w:hyperlink>
      <w:r w:rsidRPr="002F1784">
        <w:rPr>
          <w:i/>
          <w:iCs/>
          <w:color w:val="auto"/>
          <w:sz w:val="22"/>
          <w:szCs w:val="22"/>
        </w:rPr>
        <w:t xml:space="preserve"> </w:t>
      </w:r>
      <w:r w:rsidRPr="002F1784">
        <w:rPr>
          <w:color w:val="auto"/>
          <w:sz w:val="22"/>
          <w:szCs w:val="22"/>
        </w:rPr>
        <w:t>(FW Act)</w:t>
      </w:r>
      <w:r>
        <w:rPr>
          <w:rStyle w:val="FootnoteReference"/>
          <w:color w:val="auto"/>
          <w:sz w:val="22"/>
          <w:szCs w:val="22"/>
        </w:rPr>
        <w:footnoteReference w:id="4"/>
      </w:r>
      <w:r w:rsidRPr="002F1784">
        <w:rPr>
          <w:color w:val="auto"/>
          <w:sz w:val="22"/>
          <w:szCs w:val="22"/>
        </w:rPr>
        <w:t xml:space="preserve"> and </w:t>
      </w:r>
      <w:hyperlink r:id="rId14" w:history="1">
        <w:r w:rsidRPr="002F1784">
          <w:rPr>
            <w:rStyle w:val="Hyperlink"/>
            <w:sz w:val="22"/>
            <w:szCs w:val="22"/>
          </w:rPr>
          <w:t>ACTPS enterprise agreements</w:t>
        </w:r>
      </w:hyperlink>
      <w:r>
        <w:rPr>
          <w:rStyle w:val="FootnoteReference"/>
          <w:color w:val="auto"/>
          <w:sz w:val="22"/>
          <w:szCs w:val="22"/>
        </w:rPr>
        <w:footnoteReference w:id="5"/>
      </w:r>
      <w:r w:rsidRPr="002F1784">
        <w:rPr>
          <w:color w:val="auto"/>
          <w:sz w:val="22"/>
          <w:szCs w:val="22"/>
        </w:rPr>
        <w:t xml:space="preserve"> require </w:t>
      </w:r>
      <w:r w:rsidR="002D35B2">
        <w:rPr>
          <w:color w:val="auto"/>
          <w:sz w:val="22"/>
          <w:szCs w:val="22"/>
        </w:rPr>
        <w:t>agencies</w:t>
      </w:r>
      <w:r w:rsidRPr="002F1784">
        <w:rPr>
          <w:color w:val="auto"/>
          <w:sz w:val="22"/>
          <w:szCs w:val="22"/>
        </w:rPr>
        <w:t xml:space="preserve"> to consult with employees and unions affected by significant workplace change. </w:t>
      </w:r>
    </w:p>
    <w:p w14:paraId="2C8A54ED" w14:textId="51409D97" w:rsidR="00A1260D" w:rsidRPr="0027117D" w:rsidRDefault="00632941" w:rsidP="006D6C63">
      <w:pPr>
        <w:pStyle w:val="IntroParagraph"/>
        <w:numPr>
          <w:ilvl w:val="0"/>
          <w:numId w:val="11"/>
        </w:numPr>
        <w:spacing w:before="200" w:after="60" w:line="240" w:lineRule="auto"/>
        <w:rPr>
          <w:sz w:val="22"/>
          <w:szCs w:val="22"/>
        </w:rPr>
      </w:pPr>
      <w:bookmarkStart w:id="3" w:name="_Hlk212106322"/>
      <w:r w:rsidRPr="00632941">
        <w:rPr>
          <w:color w:val="auto"/>
          <w:sz w:val="22"/>
          <w:szCs w:val="22"/>
        </w:rPr>
        <w:t xml:space="preserve">The </w:t>
      </w:r>
      <w:r w:rsidR="00ED4ED3" w:rsidRPr="009B44C8">
        <w:rPr>
          <w:color w:val="auto"/>
          <w:sz w:val="22"/>
          <w:szCs w:val="22"/>
        </w:rPr>
        <w:t xml:space="preserve">Head of Service </w:t>
      </w:r>
      <w:r w:rsidR="004F08D6">
        <w:rPr>
          <w:color w:val="auto"/>
          <w:sz w:val="22"/>
          <w:szCs w:val="22"/>
        </w:rPr>
        <w:t>has delegated</w:t>
      </w:r>
      <w:r w:rsidR="00A1260D" w:rsidRPr="009F463C">
        <w:rPr>
          <w:color w:val="auto"/>
          <w:sz w:val="22"/>
          <w:szCs w:val="22"/>
        </w:rPr>
        <w:t xml:space="preserve"> power</w:t>
      </w:r>
      <w:r w:rsidR="009E0185">
        <w:rPr>
          <w:color w:val="auto"/>
          <w:sz w:val="22"/>
          <w:szCs w:val="22"/>
        </w:rPr>
        <w:t>s</w:t>
      </w:r>
      <w:r w:rsidR="006D6C63">
        <w:rPr>
          <w:color w:val="auto"/>
          <w:sz w:val="22"/>
          <w:szCs w:val="22"/>
        </w:rPr>
        <w:t xml:space="preserve"> to </w:t>
      </w:r>
      <w:r w:rsidR="00D7259A">
        <w:rPr>
          <w:color w:val="auto"/>
          <w:sz w:val="22"/>
          <w:szCs w:val="22"/>
        </w:rPr>
        <w:t>D</w:t>
      </w:r>
      <w:r w:rsidR="005B5F26" w:rsidRPr="006D6C63">
        <w:rPr>
          <w:color w:val="auto"/>
          <w:sz w:val="22"/>
          <w:szCs w:val="22"/>
        </w:rPr>
        <w:t>irectors-</w:t>
      </w:r>
      <w:r w:rsidR="00D7259A">
        <w:rPr>
          <w:color w:val="auto"/>
          <w:sz w:val="22"/>
          <w:szCs w:val="22"/>
        </w:rPr>
        <w:t>G</w:t>
      </w:r>
      <w:r w:rsidR="005B5F26" w:rsidRPr="006D6C63">
        <w:rPr>
          <w:color w:val="auto"/>
          <w:sz w:val="22"/>
          <w:szCs w:val="22"/>
        </w:rPr>
        <w:t xml:space="preserve">eneral to </w:t>
      </w:r>
      <w:r w:rsidR="00A1260D" w:rsidRPr="006D6C63">
        <w:rPr>
          <w:color w:val="auto"/>
          <w:sz w:val="22"/>
          <w:szCs w:val="22"/>
        </w:rPr>
        <w:t>mo</w:t>
      </w:r>
      <w:r w:rsidR="00582FA8" w:rsidRPr="006D6C63">
        <w:rPr>
          <w:color w:val="auto"/>
          <w:sz w:val="22"/>
          <w:szCs w:val="22"/>
        </w:rPr>
        <w:t>ve</w:t>
      </w:r>
      <w:r w:rsidR="00A1260D" w:rsidRPr="006D6C63">
        <w:rPr>
          <w:color w:val="auto"/>
          <w:sz w:val="22"/>
          <w:szCs w:val="22"/>
        </w:rPr>
        <w:t xml:space="preserve"> employees </w:t>
      </w:r>
      <w:r w:rsidR="00582FA8" w:rsidRPr="006D6C63">
        <w:rPr>
          <w:color w:val="auto"/>
          <w:sz w:val="22"/>
          <w:szCs w:val="22"/>
        </w:rPr>
        <w:t xml:space="preserve">within an administrative unit </w:t>
      </w:r>
      <w:r w:rsidR="008D5C0C">
        <w:rPr>
          <w:color w:val="auto"/>
          <w:sz w:val="22"/>
          <w:szCs w:val="22"/>
        </w:rPr>
        <w:t>a</w:t>
      </w:r>
      <w:r w:rsidR="006D6C63">
        <w:rPr>
          <w:color w:val="auto"/>
          <w:sz w:val="22"/>
          <w:szCs w:val="22"/>
        </w:rPr>
        <w:t xml:space="preserve">nd to </w:t>
      </w:r>
      <w:r w:rsidR="00325F1E" w:rsidRPr="006D6C63">
        <w:rPr>
          <w:color w:val="auto"/>
          <w:sz w:val="22"/>
          <w:szCs w:val="22"/>
        </w:rPr>
        <w:t xml:space="preserve">the </w:t>
      </w:r>
      <w:bookmarkEnd w:id="3"/>
      <w:r w:rsidR="00A1260D" w:rsidRPr="006D6C63">
        <w:rPr>
          <w:color w:val="auto"/>
          <w:sz w:val="22"/>
        </w:rPr>
        <w:t>Deputy Director-General</w:t>
      </w:r>
      <w:r w:rsidR="00975A61">
        <w:rPr>
          <w:color w:val="auto"/>
          <w:sz w:val="22"/>
        </w:rPr>
        <w:t>, OIRWS (DDG</w:t>
      </w:r>
      <w:r w:rsidR="00A1260D" w:rsidRPr="006D6C63">
        <w:rPr>
          <w:color w:val="auto"/>
          <w:sz w:val="22"/>
        </w:rPr>
        <w:t xml:space="preserve"> </w:t>
      </w:r>
      <w:r w:rsidR="00D7259A">
        <w:rPr>
          <w:color w:val="auto"/>
          <w:sz w:val="22"/>
        </w:rPr>
        <w:t>OIRWS</w:t>
      </w:r>
      <w:r w:rsidR="00975A61">
        <w:rPr>
          <w:color w:val="auto"/>
          <w:sz w:val="22"/>
        </w:rPr>
        <w:t>)</w:t>
      </w:r>
      <w:r w:rsidR="00325F1E" w:rsidRPr="006D6C63">
        <w:rPr>
          <w:color w:val="auto"/>
          <w:sz w:val="22"/>
        </w:rPr>
        <w:t>, to move employees between administrative units.</w:t>
      </w:r>
    </w:p>
    <w:p w14:paraId="4BA46988" w14:textId="5C61DD05" w:rsidR="0027117D" w:rsidRPr="0085459C" w:rsidRDefault="0027117D" w:rsidP="006D6C63">
      <w:pPr>
        <w:pStyle w:val="IntroParagraph"/>
        <w:numPr>
          <w:ilvl w:val="0"/>
          <w:numId w:val="11"/>
        </w:numPr>
        <w:spacing w:before="200" w:after="60" w:line="240" w:lineRule="auto"/>
        <w:rPr>
          <w:sz w:val="22"/>
          <w:szCs w:val="22"/>
        </w:rPr>
      </w:pPr>
      <w:r w:rsidRPr="0085459C">
        <w:rPr>
          <w:color w:val="auto"/>
          <w:sz w:val="22"/>
        </w:rPr>
        <w:t xml:space="preserve">The Head of Service </w:t>
      </w:r>
      <w:r w:rsidR="00060081" w:rsidRPr="0085459C">
        <w:rPr>
          <w:color w:val="auto"/>
          <w:sz w:val="22"/>
        </w:rPr>
        <w:t>has delegated the</w:t>
      </w:r>
      <w:r w:rsidRPr="0085459C">
        <w:rPr>
          <w:color w:val="auto"/>
          <w:sz w:val="22"/>
        </w:rPr>
        <w:t xml:space="preserve"> powers to </w:t>
      </w:r>
      <w:r w:rsidR="00060081" w:rsidRPr="0085459C">
        <w:rPr>
          <w:color w:val="auto"/>
          <w:sz w:val="22"/>
        </w:rPr>
        <w:t xml:space="preserve">change an SES member’s SETs to </w:t>
      </w:r>
      <w:r w:rsidRPr="0085459C">
        <w:rPr>
          <w:color w:val="auto"/>
          <w:sz w:val="22"/>
        </w:rPr>
        <w:t>the DDG OIRWS.</w:t>
      </w:r>
      <w:r w:rsidR="00060081" w:rsidRPr="0085459C">
        <w:rPr>
          <w:color w:val="auto"/>
          <w:sz w:val="22"/>
        </w:rPr>
        <w:t xml:space="preserve"> This power has not been delegated in relation to change of SETs for Directors-General. </w:t>
      </w:r>
      <w:r w:rsidRPr="0085459C">
        <w:rPr>
          <w:color w:val="auto"/>
          <w:sz w:val="22"/>
        </w:rPr>
        <w:t xml:space="preserve"> </w:t>
      </w:r>
    </w:p>
    <w:p w14:paraId="7AFE16E5" w14:textId="4210CBB6" w:rsidR="00FC66E0" w:rsidRDefault="00A1260D" w:rsidP="00267CA8">
      <w:pPr>
        <w:pStyle w:val="Heading2"/>
        <w:rPr>
          <w:rFonts w:ascii="Arial Bold" w:hAnsi="Arial Bold" w:cs="Times New Roman"/>
          <w:sz w:val="24"/>
          <w:szCs w:val="26"/>
        </w:rPr>
      </w:pPr>
      <w:bookmarkStart w:id="4" w:name="_Toc200524233"/>
      <w:r>
        <w:lastRenderedPageBreak/>
        <w:t>M</w:t>
      </w:r>
      <w:r w:rsidR="00FC66E0">
        <w:t xml:space="preserve">obilising </w:t>
      </w:r>
      <w:r w:rsidR="0034645A">
        <w:t>e</w:t>
      </w:r>
      <w:r w:rsidR="00FC66E0">
        <w:t>mployees</w:t>
      </w:r>
      <w:bookmarkEnd w:id="4"/>
      <w:r w:rsidR="007F013C">
        <w:t xml:space="preserve"> at level</w:t>
      </w:r>
    </w:p>
    <w:p w14:paraId="4CB1984C" w14:textId="6DD6E8AA" w:rsidR="00FC66E0" w:rsidRDefault="00CF3ADE" w:rsidP="00267CA8">
      <w:pPr>
        <w:pStyle w:val="Heading3"/>
        <w:rPr>
          <w:color w:val="000000" w:themeColor="text1"/>
          <w:sz w:val="24"/>
          <w:szCs w:val="20"/>
        </w:rPr>
      </w:pPr>
      <w:bookmarkStart w:id="5" w:name="_Hlk199330786"/>
      <w:r>
        <w:t>Movement of employees</w:t>
      </w:r>
    </w:p>
    <w:p w14:paraId="5F99F06E" w14:textId="05C10D4A" w:rsidR="00250C4F" w:rsidRDefault="008C7CD6" w:rsidP="00FE71FF">
      <w:pPr>
        <w:pStyle w:val="IntroParagraph"/>
        <w:numPr>
          <w:ilvl w:val="0"/>
          <w:numId w:val="11"/>
        </w:numPr>
        <w:spacing w:before="200" w:after="60" w:line="24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An employee </w:t>
      </w:r>
      <w:r w:rsidR="008B756D">
        <w:rPr>
          <w:color w:val="auto"/>
          <w:sz w:val="22"/>
          <w:szCs w:val="22"/>
        </w:rPr>
        <w:t xml:space="preserve">may be moved </w:t>
      </w:r>
      <w:r w:rsidR="004E27B8">
        <w:rPr>
          <w:color w:val="auto"/>
          <w:sz w:val="22"/>
          <w:szCs w:val="22"/>
        </w:rPr>
        <w:t xml:space="preserve">to a vacant office </w:t>
      </w:r>
      <w:r w:rsidR="00E11D63">
        <w:rPr>
          <w:color w:val="auto"/>
          <w:sz w:val="22"/>
          <w:szCs w:val="22"/>
        </w:rPr>
        <w:t xml:space="preserve">at level </w:t>
      </w:r>
      <w:r w:rsidR="008B756D">
        <w:rPr>
          <w:color w:val="auto"/>
          <w:sz w:val="22"/>
          <w:szCs w:val="22"/>
        </w:rPr>
        <w:t xml:space="preserve">within </w:t>
      </w:r>
      <w:r w:rsidR="004E27B8">
        <w:rPr>
          <w:color w:val="auto"/>
          <w:sz w:val="22"/>
          <w:szCs w:val="22"/>
        </w:rPr>
        <w:t xml:space="preserve">or between </w:t>
      </w:r>
      <w:r w:rsidR="00256B89">
        <w:rPr>
          <w:color w:val="auto"/>
          <w:sz w:val="22"/>
          <w:szCs w:val="22"/>
        </w:rPr>
        <w:t>d</w:t>
      </w:r>
      <w:r w:rsidR="00A659A3">
        <w:rPr>
          <w:color w:val="auto"/>
          <w:sz w:val="22"/>
          <w:szCs w:val="22"/>
        </w:rPr>
        <w:t>irectorate</w:t>
      </w:r>
      <w:r w:rsidR="00761110">
        <w:rPr>
          <w:color w:val="auto"/>
          <w:sz w:val="22"/>
          <w:szCs w:val="22"/>
        </w:rPr>
        <w:t>s</w:t>
      </w:r>
      <w:r w:rsidR="00A659A3">
        <w:rPr>
          <w:color w:val="auto"/>
          <w:sz w:val="22"/>
          <w:szCs w:val="22"/>
        </w:rPr>
        <w:t xml:space="preserve"> or public sector entities</w:t>
      </w:r>
      <w:r w:rsidR="00C2607D">
        <w:rPr>
          <w:color w:val="auto"/>
          <w:sz w:val="22"/>
          <w:szCs w:val="22"/>
        </w:rPr>
        <w:t xml:space="preserve"> </w:t>
      </w:r>
      <w:r w:rsidR="004E27B8">
        <w:rPr>
          <w:color w:val="auto"/>
          <w:sz w:val="22"/>
          <w:szCs w:val="22"/>
        </w:rPr>
        <w:t>if</w:t>
      </w:r>
      <w:r w:rsidR="00EE455F">
        <w:rPr>
          <w:color w:val="auto"/>
          <w:sz w:val="22"/>
          <w:szCs w:val="22"/>
        </w:rPr>
        <w:t xml:space="preserve"> the </w:t>
      </w:r>
      <w:r w:rsidR="00453879">
        <w:rPr>
          <w:color w:val="auto"/>
          <w:sz w:val="22"/>
          <w:szCs w:val="22"/>
        </w:rPr>
        <w:t>decision-maker</w:t>
      </w:r>
      <w:r w:rsidR="00EE455F">
        <w:rPr>
          <w:color w:val="auto"/>
          <w:sz w:val="22"/>
          <w:szCs w:val="22"/>
        </w:rPr>
        <w:t xml:space="preserve"> is satisfied</w:t>
      </w:r>
      <w:r w:rsidR="004E27B8">
        <w:rPr>
          <w:color w:val="auto"/>
          <w:sz w:val="22"/>
          <w:szCs w:val="22"/>
        </w:rPr>
        <w:t xml:space="preserve"> on reasonable grounds</w:t>
      </w:r>
      <w:r w:rsidR="00EE455F">
        <w:rPr>
          <w:color w:val="auto"/>
          <w:sz w:val="22"/>
          <w:szCs w:val="22"/>
        </w:rPr>
        <w:t xml:space="preserve"> </w:t>
      </w:r>
      <w:r w:rsidR="004E27B8">
        <w:rPr>
          <w:color w:val="auto"/>
          <w:sz w:val="22"/>
          <w:szCs w:val="22"/>
        </w:rPr>
        <w:t>the move is</w:t>
      </w:r>
      <w:r w:rsidR="00A41E06">
        <w:rPr>
          <w:color w:val="auto"/>
          <w:sz w:val="22"/>
          <w:szCs w:val="22"/>
        </w:rPr>
        <w:t xml:space="preserve"> </w:t>
      </w:r>
      <w:r w:rsidR="004E27B8">
        <w:rPr>
          <w:color w:val="auto"/>
          <w:sz w:val="22"/>
          <w:szCs w:val="22"/>
        </w:rPr>
        <w:t xml:space="preserve">in the interest of the efficient administration of the </w:t>
      </w:r>
      <w:r w:rsidR="00250C4F">
        <w:rPr>
          <w:color w:val="auto"/>
          <w:sz w:val="22"/>
          <w:szCs w:val="22"/>
        </w:rPr>
        <w:t>agency or the service. Reasonable grounds may include</w:t>
      </w:r>
      <w:r w:rsidR="00850FF1">
        <w:rPr>
          <w:color w:val="auto"/>
          <w:sz w:val="22"/>
          <w:szCs w:val="22"/>
        </w:rPr>
        <w:t>, but are not limited to</w:t>
      </w:r>
      <w:r w:rsidR="001D5D1E">
        <w:rPr>
          <w:color w:val="auto"/>
          <w:sz w:val="22"/>
          <w:szCs w:val="22"/>
        </w:rPr>
        <w:t xml:space="preserve"> </w:t>
      </w:r>
      <w:r w:rsidR="00E11D63">
        <w:rPr>
          <w:color w:val="auto"/>
          <w:sz w:val="22"/>
          <w:szCs w:val="22"/>
        </w:rPr>
        <w:t xml:space="preserve">instances </w:t>
      </w:r>
      <w:r w:rsidR="001D5D1E">
        <w:rPr>
          <w:color w:val="auto"/>
          <w:sz w:val="22"/>
          <w:szCs w:val="22"/>
        </w:rPr>
        <w:t>where</w:t>
      </w:r>
      <w:r w:rsidR="00250C4F">
        <w:rPr>
          <w:color w:val="auto"/>
          <w:sz w:val="22"/>
          <w:szCs w:val="22"/>
        </w:rPr>
        <w:t>:</w:t>
      </w:r>
    </w:p>
    <w:p w14:paraId="1D5E01B2" w14:textId="55649BE6" w:rsidR="00F061BC" w:rsidRDefault="00404309" w:rsidP="00250C4F">
      <w:pPr>
        <w:pStyle w:val="IntroParagraph"/>
        <w:numPr>
          <w:ilvl w:val="1"/>
          <w:numId w:val="11"/>
        </w:numPr>
        <w:spacing w:before="200" w:after="60" w:line="24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</w:t>
      </w:r>
      <w:r w:rsidR="0015680B">
        <w:rPr>
          <w:color w:val="auto"/>
          <w:sz w:val="22"/>
          <w:szCs w:val="22"/>
        </w:rPr>
        <w:t xml:space="preserve">n assessment </w:t>
      </w:r>
      <w:r>
        <w:rPr>
          <w:color w:val="auto"/>
          <w:sz w:val="22"/>
          <w:szCs w:val="22"/>
        </w:rPr>
        <w:t>determin</w:t>
      </w:r>
      <w:r w:rsidR="001D30E2">
        <w:rPr>
          <w:color w:val="auto"/>
          <w:sz w:val="22"/>
          <w:szCs w:val="22"/>
        </w:rPr>
        <w:t>es</w:t>
      </w:r>
      <w:r>
        <w:rPr>
          <w:color w:val="auto"/>
          <w:sz w:val="22"/>
          <w:szCs w:val="22"/>
        </w:rPr>
        <w:t xml:space="preserve"> </w:t>
      </w:r>
      <w:r w:rsidR="00CB698F">
        <w:rPr>
          <w:color w:val="auto"/>
          <w:sz w:val="22"/>
          <w:szCs w:val="22"/>
        </w:rPr>
        <w:t xml:space="preserve">the </w:t>
      </w:r>
      <w:r w:rsidR="004557E7">
        <w:rPr>
          <w:color w:val="auto"/>
          <w:sz w:val="22"/>
          <w:szCs w:val="22"/>
        </w:rPr>
        <w:t xml:space="preserve">employee’s work program </w:t>
      </w:r>
      <w:r w:rsidR="00CB698F">
        <w:rPr>
          <w:color w:val="auto"/>
          <w:sz w:val="22"/>
          <w:szCs w:val="22"/>
        </w:rPr>
        <w:t>does not</w:t>
      </w:r>
      <w:r w:rsidR="00B67BC8">
        <w:rPr>
          <w:color w:val="auto"/>
          <w:sz w:val="22"/>
          <w:szCs w:val="22"/>
        </w:rPr>
        <w:t xml:space="preserve"> align with critical business or Government priorities</w:t>
      </w:r>
      <w:r w:rsidR="00994B85">
        <w:rPr>
          <w:color w:val="auto"/>
          <w:sz w:val="22"/>
          <w:szCs w:val="22"/>
        </w:rPr>
        <w:t>, th</w:t>
      </w:r>
      <w:r w:rsidR="00485D33">
        <w:rPr>
          <w:color w:val="auto"/>
          <w:sz w:val="22"/>
          <w:szCs w:val="22"/>
        </w:rPr>
        <w:t>e</w:t>
      </w:r>
      <w:r w:rsidR="00DB002C">
        <w:rPr>
          <w:color w:val="auto"/>
          <w:sz w:val="22"/>
          <w:szCs w:val="22"/>
        </w:rPr>
        <w:t xml:space="preserve"> work can be </w:t>
      </w:r>
      <w:r w:rsidR="00975A61">
        <w:rPr>
          <w:color w:val="auto"/>
          <w:sz w:val="22"/>
          <w:szCs w:val="22"/>
        </w:rPr>
        <w:t>stopped,</w:t>
      </w:r>
      <w:r w:rsidR="00DB002C">
        <w:rPr>
          <w:color w:val="auto"/>
          <w:sz w:val="22"/>
          <w:szCs w:val="22"/>
        </w:rPr>
        <w:t xml:space="preserve"> and the employee can be moved to </w:t>
      </w:r>
      <w:r w:rsidR="00044BDB">
        <w:rPr>
          <w:color w:val="auto"/>
          <w:sz w:val="22"/>
          <w:szCs w:val="22"/>
        </w:rPr>
        <w:t>fulfil</w:t>
      </w:r>
      <w:r w:rsidR="00B76D73">
        <w:rPr>
          <w:color w:val="auto"/>
          <w:sz w:val="22"/>
          <w:szCs w:val="22"/>
        </w:rPr>
        <w:t>l</w:t>
      </w:r>
      <w:r w:rsidR="00044BDB">
        <w:rPr>
          <w:color w:val="auto"/>
          <w:sz w:val="22"/>
          <w:szCs w:val="22"/>
        </w:rPr>
        <w:t xml:space="preserve"> </w:t>
      </w:r>
      <w:r w:rsidR="008C0BF2">
        <w:rPr>
          <w:color w:val="auto"/>
          <w:sz w:val="22"/>
          <w:szCs w:val="22"/>
        </w:rPr>
        <w:t>similar</w:t>
      </w:r>
      <w:r w:rsidR="00044BDB">
        <w:rPr>
          <w:color w:val="auto"/>
          <w:sz w:val="22"/>
          <w:szCs w:val="22"/>
        </w:rPr>
        <w:t xml:space="preserve"> roles in other </w:t>
      </w:r>
      <w:r w:rsidR="004557E7">
        <w:rPr>
          <w:color w:val="auto"/>
          <w:sz w:val="22"/>
          <w:szCs w:val="22"/>
        </w:rPr>
        <w:t>parts</w:t>
      </w:r>
      <w:r w:rsidR="001E1D66">
        <w:rPr>
          <w:color w:val="auto"/>
          <w:sz w:val="22"/>
          <w:szCs w:val="22"/>
        </w:rPr>
        <w:t xml:space="preserve"> of the agency</w:t>
      </w:r>
      <w:r>
        <w:rPr>
          <w:color w:val="auto"/>
          <w:sz w:val="22"/>
          <w:szCs w:val="22"/>
        </w:rPr>
        <w:t xml:space="preserve"> or the service</w:t>
      </w:r>
      <w:r w:rsidR="001E1D66">
        <w:rPr>
          <w:color w:val="auto"/>
          <w:sz w:val="22"/>
          <w:szCs w:val="22"/>
        </w:rPr>
        <w:t>;</w:t>
      </w:r>
      <w:r w:rsidR="00850FF1">
        <w:rPr>
          <w:color w:val="auto"/>
          <w:sz w:val="22"/>
          <w:szCs w:val="22"/>
        </w:rPr>
        <w:t xml:space="preserve"> </w:t>
      </w:r>
    </w:p>
    <w:p w14:paraId="2BBA0BD7" w14:textId="3A73E03F" w:rsidR="00CB698F" w:rsidRDefault="00C56B94" w:rsidP="00250C4F">
      <w:pPr>
        <w:pStyle w:val="IntroParagraph"/>
        <w:numPr>
          <w:ilvl w:val="1"/>
          <w:numId w:val="11"/>
        </w:numPr>
        <w:spacing w:before="200" w:after="60" w:line="24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</w:t>
      </w:r>
      <w:r w:rsidR="00CB698F">
        <w:rPr>
          <w:color w:val="auto"/>
          <w:sz w:val="22"/>
          <w:szCs w:val="22"/>
        </w:rPr>
        <w:t>he</w:t>
      </w:r>
      <w:r>
        <w:rPr>
          <w:color w:val="auto"/>
          <w:sz w:val="22"/>
          <w:szCs w:val="22"/>
        </w:rPr>
        <w:t xml:space="preserve"> employee possesses </w:t>
      </w:r>
      <w:r w:rsidR="001E1D66">
        <w:rPr>
          <w:color w:val="auto"/>
          <w:sz w:val="22"/>
          <w:szCs w:val="22"/>
        </w:rPr>
        <w:t xml:space="preserve">knowledge, skills or experience required to support </w:t>
      </w:r>
      <w:r w:rsidR="00256B89">
        <w:rPr>
          <w:color w:val="auto"/>
          <w:sz w:val="22"/>
          <w:szCs w:val="22"/>
        </w:rPr>
        <w:t>t</w:t>
      </w:r>
      <w:r w:rsidR="00507139">
        <w:rPr>
          <w:color w:val="auto"/>
          <w:sz w:val="22"/>
          <w:szCs w:val="22"/>
        </w:rPr>
        <w:t xml:space="preserve">emporary </w:t>
      </w:r>
      <w:r w:rsidR="00FD4416">
        <w:rPr>
          <w:color w:val="auto"/>
          <w:sz w:val="22"/>
          <w:szCs w:val="22"/>
        </w:rPr>
        <w:t>work</w:t>
      </w:r>
      <w:r w:rsidR="00734542">
        <w:rPr>
          <w:color w:val="auto"/>
          <w:sz w:val="22"/>
          <w:szCs w:val="22"/>
        </w:rPr>
        <w:t xml:space="preserve"> in other parts of the agency or the service</w:t>
      </w:r>
      <w:r w:rsidR="00940529">
        <w:rPr>
          <w:color w:val="auto"/>
          <w:sz w:val="22"/>
          <w:szCs w:val="22"/>
        </w:rPr>
        <w:t xml:space="preserve"> </w:t>
      </w:r>
      <w:r w:rsidR="007E46A6">
        <w:rPr>
          <w:color w:val="auto"/>
          <w:sz w:val="22"/>
          <w:szCs w:val="22"/>
        </w:rPr>
        <w:t>while</w:t>
      </w:r>
      <w:r w:rsidR="00940529">
        <w:rPr>
          <w:color w:val="auto"/>
          <w:sz w:val="22"/>
          <w:szCs w:val="22"/>
        </w:rPr>
        <w:t xml:space="preserve"> their </w:t>
      </w:r>
      <w:r w:rsidR="007E46A6">
        <w:rPr>
          <w:color w:val="auto"/>
          <w:sz w:val="22"/>
          <w:szCs w:val="22"/>
        </w:rPr>
        <w:t xml:space="preserve">current </w:t>
      </w:r>
      <w:r w:rsidR="00940529">
        <w:rPr>
          <w:color w:val="auto"/>
          <w:sz w:val="22"/>
          <w:szCs w:val="22"/>
        </w:rPr>
        <w:t>work program can be paused</w:t>
      </w:r>
      <w:r w:rsidR="00734542">
        <w:rPr>
          <w:color w:val="auto"/>
          <w:sz w:val="22"/>
          <w:szCs w:val="22"/>
        </w:rPr>
        <w:t xml:space="preserve">; </w:t>
      </w:r>
      <w:r w:rsidR="00EF501E">
        <w:rPr>
          <w:color w:val="auto"/>
          <w:sz w:val="22"/>
          <w:szCs w:val="22"/>
        </w:rPr>
        <w:t>or</w:t>
      </w:r>
    </w:p>
    <w:p w14:paraId="72D79129" w14:textId="138F3D40" w:rsidR="00734542" w:rsidRDefault="006D2256" w:rsidP="00250C4F">
      <w:pPr>
        <w:pStyle w:val="IntroParagraph"/>
        <w:numPr>
          <w:ilvl w:val="1"/>
          <w:numId w:val="11"/>
        </w:numPr>
        <w:spacing w:before="200" w:after="60" w:line="24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urgent or unforeseen </w:t>
      </w:r>
      <w:r w:rsidR="00840ACA">
        <w:rPr>
          <w:color w:val="auto"/>
          <w:sz w:val="22"/>
          <w:szCs w:val="22"/>
        </w:rPr>
        <w:t xml:space="preserve">circumstances </w:t>
      </w:r>
      <w:r w:rsidR="006F3F1A">
        <w:rPr>
          <w:color w:val="auto"/>
          <w:sz w:val="22"/>
          <w:szCs w:val="22"/>
        </w:rPr>
        <w:t xml:space="preserve">require the redeployment of </w:t>
      </w:r>
      <w:r w:rsidR="001D30E2">
        <w:rPr>
          <w:color w:val="auto"/>
          <w:sz w:val="22"/>
          <w:szCs w:val="22"/>
        </w:rPr>
        <w:t xml:space="preserve">the </w:t>
      </w:r>
      <w:r w:rsidR="006F3F1A">
        <w:rPr>
          <w:color w:val="auto"/>
          <w:sz w:val="22"/>
          <w:szCs w:val="22"/>
        </w:rPr>
        <w:t xml:space="preserve">employee </w:t>
      </w:r>
      <w:r w:rsidR="00C11538">
        <w:rPr>
          <w:color w:val="auto"/>
          <w:sz w:val="22"/>
          <w:szCs w:val="22"/>
        </w:rPr>
        <w:t xml:space="preserve">for </w:t>
      </w:r>
      <w:r w:rsidR="00840ACA">
        <w:rPr>
          <w:color w:val="auto"/>
          <w:sz w:val="22"/>
          <w:szCs w:val="22"/>
        </w:rPr>
        <w:t xml:space="preserve">operational </w:t>
      </w:r>
      <w:r w:rsidR="00BE772F">
        <w:rPr>
          <w:color w:val="auto"/>
          <w:sz w:val="22"/>
          <w:szCs w:val="22"/>
        </w:rPr>
        <w:t>need</w:t>
      </w:r>
      <w:r w:rsidR="00EF501E">
        <w:rPr>
          <w:color w:val="auto"/>
          <w:sz w:val="22"/>
          <w:szCs w:val="22"/>
        </w:rPr>
        <w:t>(s)</w:t>
      </w:r>
      <w:r w:rsidR="002F10E2">
        <w:rPr>
          <w:color w:val="auto"/>
          <w:sz w:val="22"/>
          <w:szCs w:val="22"/>
        </w:rPr>
        <w:t xml:space="preserve"> on a temporary or ongoing basis</w:t>
      </w:r>
      <w:r w:rsidR="00EF501E">
        <w:rPr>
          <w:color w:val="auto"/>
          <w:sz w:val="22"/>
          <w:szCs w:val="22"/>
        </w:rPr>
        <w:t>.</w:t>
      </w:r>
    </w:p>
    <w:p w14:paraId="379A68B8" w14:textId="3E2D2950" w:rsidR="00A22249" w:rsidRDefault="001E14D7" w:rsidP="002B4512">
      <w:pPr>
        <w:pStyle w:val="IntroParagraph"/>
        <w:numPr>
          <w:ilvl w:val="0"/>
          <w:numId w:val="11"/>
        </w:numPr>
        <w:spacing w:before="200" w:after="60" w:line="24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Movement </w:t>
      </w:r>
      <w:r w:rsidR="00EA65B4">
        <w:rPr>
          <w:color w:val="auto"/>
          <w:sz w:val="22"/>
          <w:szCs w:val="22"/>
        </w:rPr>
        <w:t xml:space="preserve">of employees between agencies </w:t>
      </w:r>
      <w:r w:rsidR="00453879">
        <w:rPr>
          <w:color w:val="auto"/>
          <w:sz w:val="22"/>
          <w:szCs w:val="22"/>
        </w:rPr>
        <w:t>must</w:t>
      </w:r>
      <w:r w:rsidR="00013134">
        <w:rPr>
          <w:color w:val="auto"/>
          <w:sz w:val="22"/>
          <w:szCs w:val="22"/>
        </w:rPr>
        <w:t xml:space="preserve"> be facilitated via the</w:t>
      </w:r>
      <w:r w:rsidR="00EA65B4">
        <w:rPr>
          <w:color w:val="auto"/>
          <w:sz w:val="22"/>
          <w:szCs w:val="22"/>
        </w:rPr>
        <w:t xml:space="preserve"> </w:t>
      </w:r>
      <w:r w:rsidR="00A22249">
        <w:rPr>
          <w:color w:val="auto"/>
          <w:sz w:val="22"/>
          <w:szCs w:val="22"/>
        </w:rPr>
        <w:t>Office of the D</w:t>
      </w:r>
      <w:r w:rsidR="00975A61">
        <w:rPr>
          <w:color w:val="auto"/>
          <w:sz w:val="22"/>
          <w:szCs w:val="22"/>
        </w:rPr>
        <w:t>DG</w:t>
      </w:r>
      <w:r w:rsidR="00A22249">
        <w:rPr>
          <w:color w:val="auto"/>
          <w:sz w:val="22"/>
          <w:szCs w:val="22"/>
        </w:rPr>
        <w:t xml:space="preserve"> </w:t>
      </w:r>
      <w:r w:rsidR="00975A61">
        <w:rPr>
          <w:color w:val="auto"/>
          <w:sz w:val="22"/>
          <w:szCs w:val="22"/>
        </w:rPr>
        <w:t>OIRWS</w:t>
      </w:r>
      <w:r w:rsidR="00614DF1">
        <w:rPr>
          <w:color w:val="auto"/>
          <w:sz w:val="22"/>
          <w:szCs w:val="22"/>
        </w:rPr>
        <w:t xml:space="preserve"> as follows</w:t>
      </w:r>
      <w:r w:rsidR="00A22249">
        <w:rPr>
          <w:color w:val="auto"/>
          <w:sz w:val="22"/>
          <w:szCs w:val="22"/>
        </w:rPr>
        <w:t>:</w:t>
      </w:r>
    </w:p>
    <w:p w14:paraId="0DD9F03D" w14:textId="5389E861" w:rsidR="00CF3A09" w:rsidRDefault="00614DF1" w:rsidP="00A22249">
      <w:pPr>
        <w:pStyle w:val="IntroParagraph"/>
        <w:numPr>
          <w:ilvl w:val="1"/>
          <w:numId w:val="11"/>
        </w:numPr>
        <w:spacing w:before="200" w:after="60" w:line="24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where two or more agencies have determined the</w:t>
      </w:r>
      <w:r w:rsidR="004432CB">
        <w:rPr>
          <w:color w:val="auto"/>
          <w:sz w:val="22"/>
          <w:szCs w:val="22"/>
        </w:rPr>
        <w:t xml:space="preserve"> movement</w:t>
      </w:r>
      <w:r w:rsidR="00005078">
        <w:rPr>
          <w:color w:val="auto"/>
          <w:sz w:val="22"/>
          <w:szCs w:val="22"/>
        </w:rPr>
        <w:t>s of employees</w:t>
      </w:r>
      <w:r w:rsidR="008636A1">
        <w:rPr>
          <w:color w:val="auto"/>
          <w:sz w:val="22"/>
          <w:szCs w:val="22"/>
        </w:rPr>
        <w:t xml:space="preserve"> </w:t>
      </w:r>
      <w:r w:rsidR="00256B89">
        <w:rPr>
          <w:color w:val="auto"/>
          <w:sz w:val="22"/>
          <w:szCs w:val="22"/>
        </w:rPr>
        <w:t>b</w:t>
      </w:r>
      <w:r w:rsidR="008636A1">
        <w:rPr>
          <w:color w:val="auto"/>
          <w:sz w:val="22"/>
          <w:szCs w:val="22"/>
        </w:rPr>
        <w:t>etween them</w:t>
      </w:r>
      <w:r w:rsidR="00005078">
        <w:rPr>
          <w:color w:val="auto"/>
          <w:sz w:val="22"/>
          <w:szCs w:val="22"/>
        </w:rPr>
        <w:t xml:space="preserve"> </w:t>
      </w:r>
      <w:r w:rsidR="008479C0">
        <w:rPr>
          <w:color w:val="auto"/>
          <w:sz w:val="22"/>
          <w:szCs w:val="22"/>
        </w:rPr>
        <w:t>–</w:t>
      </w:r>
      <w:r w:rsidR="00A54CB9">
        <w:rPr>
          <w:color w:val="auto"/>
          <w:sz w:val="22"/>
          <w:szCs w:val="22"/>
        </w:rPr>
        <w:t xml:space="preserve"> </w:t>
      </w:r>
      <w:r w:rsidR="008479C0">
        <w:rPr>
          <w:color w:val="auto"/>
          <w:sz w:val="22"/>
          <w:szCs w:val="22"/>
        </w:rPr>
        <w:t xml:space="preserve">via a brief outlining the proposed movements and confirming that all required actions (e.g., consultation with the employee(s)) </w:t>
      </w:r>
      <w:r w:rsidR="00347B85">
        <w:rPr>
          <w:color w:val="auto"/>
          <w:sz w:val="22"/>
          <w:szCs w:val="22"/>
        </w:rPr>
        <w:t>have occurred; or</w:t>
      </w:r>
    </w:p>
    <w:p w14:paraId="3BDFCE97" w14:textId="2015D602" w:rsidR="004E1643" w:rsidRDefault="00347B85" w:rsidP="00A22249">
      <w:pPr>
        <w:pStyle w:val="IntroParagraph"/>
        <w:numPr>
          <w:ilvl w:val="1"/>
          <w:numId w:val="11"/>
        </w:numPr>
        <w:spacing w:before="200" w:after="60" w:line="24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where </w:t>
      </w:r>
      <w:r w:rsidR="001D4936">
        <w:rPr>
          <w:color w:val="auto"/>
          <w:sz w:val="22"/>
          <w:szCs w:val="22"/>
        </w:rPr>
        <w:t>employees could be moved</w:t>
      </w:r>
      <w:r w:rsidR="0064256C">
        <w:rPr>
          <w:color w:val="auto"/>
          <w:sz w:val="22"/>
          <w:szCs w:val="22"/>
        </w:rPr>
        <w:t xml:space="preserve"> </w:t>
      </w:r>
      <w:r w:rsidR="00430FF2">
        <w:rPr>
          <w:color w:val="auto"/>
          <w:sz w:val="22"/>
          <w:szCs w:val="22"/>
        </w:rPr>
        <w:t xml:space="preserve">but no </w:t>
      </w:r>
      <w:r w:rsidR="00B50917">
        <w:rPr>
          <w:color w:val="auto"/>
          <w:sz w:val="22"/>
          <w:szCs w:val="22"/>
        </w:rPr>
        <w:t xml:space="preserve">alternative </w:t>
      </w:r>
      <w:r w:rsidR="00430FF2">
        <w:rPr>
          <w:color w:val="auto"/>
          <w:sz w:val="22"/>
          <w:szCs w:val="22"/>
        </w:rPr>
        <w:t xml:space="preserve">roles </w:t>
      </w:r>
      <w:r w:rsidR="00124265">
        <w:rPr>
          <w:color w:val="auto"/>
          <w:sz w:val="22"/>
          <w:szCs w:val="22"/>
        </w:rPr>
        <w:t xml:space="preserve">have been identified within or between agencies </w:t>
      </w:r>
      <w:r w:rsidR="00430FF2">
        <w:rPr>
          <w:color w:val="auto"/>
          <w:sz w:val="22"/>
          <w:szCs w:val="22"/>
        </w:rPr>
        <w:t xml:space="preserve">– via the </w:t>
      </w:r>
      <w:r w:rsidR="00EA65B4">
        <w:rPr>
          <w:color w:val="auto"/>
          <w:sz w:val="22"/>
          <w:szCs w:val="22"/>
        </w:rPr>
        <w:t>Human Resources Executive Leadership Committee</w:t>
      </w:r>
      <w:r w:rsidR="00430FF2">
        <w:rPr>
          <w:color w:val="auto"/>
          <w:sz w:val="22"/>
          <w:szCs w:val="22"/>
        </w:rPr>
        <w:t xml:space="preserve"> </w:t>
      </w:r>
      <w:r w:rsidR="00FB66BB">
        <w:rPr>
          <w:color w:val="auto"/>
          <w:sz w:val="22"/>
          <w:szCs w:val="22"/>
        </w:rPr>
        <w:t xml:space="preserve">(email to </w:t>
      </w:r>
      <w:hyperlink r:id="rId15" w:history="1">
        <w:r w:rsidR="00ED4ED3" w:rsidRPr="006860E8">
          <w:rPr>
            <w:rStyle w:val="Hyperlink"/>
            <w:sz w:val="22"/>
            <w:szCs w:val="22"/>
          </w:rPr>
          <w:t>DDGOIRWS@act.gov.au</w:t>
        </w:r>
      </w:hyperlink>
      <w:r w:rsidR="00FB66BB">
        <w:t xml:space="preserve"> </w:t>
      </w:r>
      <w:r w:rsidR="00FB66BB">
        <w:rPr>
          <w:color w:val="auto"/>
          <w:sz w:val="22"/>
          <w:szCs w:val="22"/>
        </w:rPr>
        <w:t>with the subject</w:t>
      </w:r>
      <w:r w:rsidR="00ED4ED3">
        <w:rPr>
          <w:color w:val="auto"/>
          <w:sz w:val="22"/>
          <w:szCs w:val="22"/>
        </w:rPr>
        <w:t xml:space="preserve"> “Mobility”</w:t>
      </w:r>
      <w:r w:rsidR="00FB66BB">
        <w:rPr>
          <w:color w:val="auto"/>
          <w:sz w:val="22"/>
          <w:szCs w:val="22"/>
        </w:rPr>
        <w:t>)</w:t>
      </w:r>
      <w:r w:rsidR="00ED4ED3">
        <w:rPr>
          <w:color w:val="auto"/>
          <w:sz w:val="22"/>
          <w:szCs w:val="22"/>
        </w:rPr>
        <w:t>.</w:t>
      </w:r>
    </w:p>
    <w:p w14:paraId="0923B06E" w14:textId="04103245" w:rsidR="004B75DB" w:rsidRDefault="006D6904" w:rsidP="002B4512">
      <w:pPr>
        <w:pStyle w:val="IntroParagraph"/>
        <w:numPr>
          <w:ilvl w:val="0"/>
          <w:numId w:val="11"/>
        </w:numPr>
        <w:spacing w:before="200" w:after="60" w:line="24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Where an employee may be moved between agencies, t</w:t>
      </w:r>
      <w:r w:rsidR="00CC2D54">
        <w:rPr>
          <w:color w:val="auto"/>
          <w:sz w:val="22"/>
          <w:szCs w:val="22"/>
        </w:rPr>
        <w:t>he</w:t>
      </w:r>
      <w:r w:rsidR="00336E13" w:rsidRPr="002B4512">
        <w:rPr>
          <w:color w:val="auto"/>
          <w:sz w:val="22"/>
          <w:szCs w:val="22"/>
        </w:rPr>
        <w:t xml:space="preserve"> D</w:t>
      </w:r>
      <w:r w:rsidR="00975A61">
        <w:rPr>
          <w:color w:val="auto"/>
          <w:sz w:val="22"/>
          <w:szCs w:val="22"/>
        </w:rPr>
        <w:t>DG</w:t>
      </w:r>
      <w:r w:rsidR="00336E13" w:rsidRPr="002B4512">
        <w:rPr>
          <w:color w:val="auto"/>
          <w:sz w:val="22"/>
          <w:szCs w:val="22"/>
        </w:rPr>
        <w:t xml:space="preserve"> </w:t>
      </w:r>
      <w:r w:rsidR="00975A61">
        <w:rPr>
          <w:color w:val="auto"/>
          <w:sz w:val="22"/>
          <w:szCs w:val="22"/>
        </w:rPr>
        <w:t>OIRWS</w:t>
      </w:r>
      <w:r w:rsidR="00336E13" w:rsidRPr="002B4512">
        <w:rPr>
          <w:color w:val="auto"/>
          <w:sz w:val="22"/>
          <w:szCs w:val="22"/>
        </w:rPr>
        <w:t xml:space="preserve"> must </w:t>
      </w:r>
      <w:r w:rsidR="00256B89">
        <w:rPr>
          <w:color w:val="auto"/>
          <w:sz w:val="22"/>
          <w:szCs w:val="22"/>
        </w:rPr>
        <w:t>c</w:t>
      </w:r>
      <w:r w:rsidR="00336E13" w:rsidRPr="002B4512">
        <w:rPr>
          <w:color w:val="auto"/>
          <w:sz w:val="22"/>
          <w:szCs w:val="22"/>
        </w:rPr>
        <w:t xml:space="preserve">onsider the views of </w:t>
      </w:r>
      <w:r w:rsidR="00640BD3">
        <w:rPr>
          <w:color w:val="auto"/>
          <w:sz w:val="22"/>
          <w:szCs w:val="22"/>
        </w:rPr>
        <w:t xml:space="preserve">both </w:t>
      </w:r>
      <w:r w:rsidR="00336E13" w:rsidRPr="002B4512">
        <w:rPr>
          <w:color w:val="auto"/>
          <w:sz w:val="22"/>
          <w:szCs w:val="22"/>
        </w:rPr>
        <w:t xml:space="preserve">the </w:t>
      </w:r>
      <w:r w:rsidR="00ED2024">
        <w:rPr>
          <w:color w:val="auto"/>
          <w:sz w:val="22"/>
          <w:szCs w:val="22"/>
        </w:rPr>
        <w:t xml:space="preserve">employee and the </w:t>
      </w:r>
      <w:r w:rsidR="00336E13" w:rsidRPr="002B4512">
        <w:rPr>
          <w:color w:val="auto"/>
          <w:sz w:val="22"/>
          <w:szCs w:val="22"/>
        </w:rPr>
        <w:t xml:space="preserve">releasing and gaining </w:t>
      </w:r>
      <w:r w:rsidR="00975A61">
        <w:rPr>
          <w:color w:val="auto"/>
          <w:sz w:val="22"/>
          <w:szCs w:val="22"/>
        </w:rPr>
        <w:t>D</w:t>
      </w:r>
      <w:r w:rsidR="00336E13" w:rsidRPr="002B4512">
        <w:rPr>
          <w:color w:val="auto"/>
          <w:sz w:val="22"/>
          <w:szCs w:val="22"/>
        </w:rPr>
        <w:t>irector</w:t>
      </w:r>
      <w:r w:rsidR="00CC2D54">
        <w:rPr>
          <w:color w:val="auto"/>
          <w:sz w:val="22"/>
          <w:szCs w:val="22"/>
        </w:rPr>
        <w:t>s</w:t>
      </w:r>
      <w:r w:rsidR="00336E13" w:rsidRPr="002B4512">
        <w:rPr>
          <w:color w:val="auto"/>
          <w:sz w:val="22"/>
          <w:szCs w:val="22"/>
        </w:rPr>
        <w:t>-</w:t>
      </w:r>
      <w:r w:rsidR="00975A61">
        <w:rPr>
          <w:color w:val="auto"/>
          <w:sz w:val="22"/>
          <w:szCs w:val="22"/>
        </w:rPr>
        <w:t>G</w:t>
      </w:r>
      <w:r w:rsidR="00336E13" w:rsidRPr="002B4512">
        <w:rPr>
          <w:color w:val="auto"/>
          <w:sz w:val="22"/>
          <w:szCs w:val="22"/>
        </w:rPr>
        <w:t>eneral</w:t>
      </w:r>
      <w:r w:rsidR="00CC2D54">
        <w:rPr>
          <w:color w:val="auto"/>
          <w:sz w:val="22"/>
          <w:szCs w:val="22"/>
        </w:rPr>
        <w:t xml:space="preserve"> </w:t>
      </w:r>
      <w:r w:rsidR="00336E13" w:rsidRPr="002B4512">
        <w:rPr>
          <w:color w:val="auto"/>
          <w:sz w:val="22"/>
          <w:szCs w:val="22"/>
        </w:rPr>
        <w:t xml:space="preserve">prior to making a decision. </w:t>
      </w:r>
    </w:p>
    <w:p w14:paraId="56A58347" w14:textId="18746B91" w:rsidR="00783248" w:rsidRPr="002B4512" w:rsidRDefault="00783248" w:rsidP="002B4512">
      <w:pPr>
        <w:pStyle w:val="IntroParagraph"/>
        <w:numPr>
          <w:ilvl w:val="0"/>
          <w:numId w:val="11"/>
        </w:numPr>
        <w:spacing w:before="200" w:after="60" w:line="24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Refer to the checklist at </w:t>
      </w:r>
      <w:hyperlink w:anchor="_Attachment_A_–" w:history="1">
        <w:r w:rsidRPr="00783248">
          <w:rPr>
            <w:rStyle w:val="Hyperlink"/>
            <w:sz w:val="22"/>
            <w:szCs w:val="22"/>
          </w:rPr>
          <w:t>Attachment A</w:t>
        </w:r>
      </w:hyperlink>
      <w:r>
        <w:rPr>
          <w:color w:val="auto"/>
          <w:sz w:val="22"/>
          <w:szCs w:val="22"/>
        </w:rPr>
        <w:t xml:space="preserve"> for further </w:t>
      </w:r>
      <w:r w:rsidR="00B3565F">
        <w:rPr>
          <w:color w:val="auto"/>
          <w:sz w:val="22"/>
          <w:szCs w:val="22"/>
        </w:rPr>
        <w:t>guidance</w:t>
      </w:r>
      <w:r>
        <w:rPr>
          <w:color w:val="auto"/>
          <w:sz w:val="22"/>
          <w:szCs w:val="22"/>
        </w:rPr>
        <w:t>.</w:t>
      </w:r>
    </w:p>
    <w:p w14:paraId="2B4A2093" w14:textId="3D05E2D0" w:rsidR="00F60722" w:rsidRDefault="00F60722" w:rsidP="00CF3ADE">
      <w:pPr>
        <w:pStyle w:val="Heading3"/>
      </w:pPr>
      <w:bookmarkStart w:id="6" w:name="_Hlk199404040"/>
      <w:r>
        <w:t>Consultation with employees</w:t>
      </w:r>
    </w:p>
    <w:p w14:paraId="36180F42" w14:textId="381093CE" w:rsidR="00A970BF" w:rsidRPr="00703081" w:rsidRDefault="00C90706" w:rsidP="00A970BF">
      <w:pPr>
        <w:pStyle w:val="IntroParagraph"/>
        <w:numPr>
          <w:ilvl w:val="0"/>
          <w:numId w:val="11"/>
        </w:numPr>
        <w:spacing w:before="200" w:after="60" w:line="24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Employees must be consulted on </w:t>
      </w:r>
      <w:r w:rsidR="005C5996">
        <w:rPr>
          <w:color w:val="auto"/>
          <w:sz w:val="22"/>
          <w:szCs w:val="22"/>
        </w:rPr>
        <w:t>the</w:t>
      </w:r>
      <w:r w:rsidR="00B201F0">
        <w:rPr>
          <w:color w:val="auto"/>
          <w:sz w:val="22"/>
          <w:szCs w:val="22"/>
        </w:rPr>
        <w:t xml:space="preserve"> proposed move </w:t>
      </w:r>
      <w:r w:rsidR="003E73F8">
        <w:rPr>
          <w:color w:val="auto"/>
          <w:sz w:val="22"/>
          <w:szCs w:val="22"/>
        </w:rPr>
        <w:t xml:space="preserve">prior to a decision </w:t>
      </w:r>
      <w:r w:rsidR="00B257D6">
        <w:rPr>
          <w:color w:val="auto"/>
          <w:sz w:val="22"/>
          <w:szCs w:val="22"/>
        </w:rPr>
        <w:t xml:space="preserve">being </w:t>
      </w:r>
      <w:r w:rsidR="00256B89">
        <w:rPr>
          <w:color w:val="auto"/>
          <w:sz w:val="22"/>
          <w:szCs w:val="22"/>
        </w:rPr>
        <w:t>m</w:t>
      </w:r>
      <w:r w:rsidR="00B257D6">
        <w:rPr>
          <w:color w:val="auto"/>
          <w:sz w:val="22"/>
          <w:szCs w:val="22"/>
        </w:rPr>
        <w:t xml:space="preserve">ade </w:t>
      </w:r>
      <w:r w:rsidR="00060E5C">
        <w:rPr>
          <w:color w:val="auto"/>
          <w:sz w:val="22"/>
          <w:szCs w:val="22"/>
        </w:rPr>
        <w:t>so</w:t>
      </w:r>
      <w:r w:rsidR="00640BD3">
        <w:rPr>
          <w:color w:val="auto"/>
          <w:sz w:val="22"/>
          <w:szCs w:val="22"/>
        </w:rPr>
        <w:t xml:space="preserve"> that</w:t>
      </w:r>
      <w:r w:rsidR="00060E5C">
        <w:rPr>
          <w:color w:val="auto"/>
          <w:sz w:val="22"/>
          <w:szCs w:val="22"/>
        </w:rPr>
        <w:t xml:space="preserve"> their views may be </w:t>
      </w:r>
      <w:r w:rsidR="00B201F0">
        <w:rPr>
          <w:color w:val="auto"/>
          <w:sz w:val="22"/>
          <w:szCs w:val="22"/>
        </w:rPr>
        <w:t xml:space="preserve">considered as part of the decision-making process. </w:t>
      </w:r>
      <w:r w:rsidR="00487A3D">
        <w:rPr>
          <w:color w:val="auto"/>
          <w:sz w:val="22"/>
          <w:szCs w:val="22"/>
        </w:rPr>
        <w:t xml:space="preserve">Where an employee is being moved </w:t>
      </w:r>
      <w:r w:rsidR="007B5B55">
        <w:rPr>
          <w:color w:val="auto"/>
          <w:sz w:val="22"/>
          <w:szCs w:val="22"/>
        </w:rPr>
        <w:t xml:space="preserve">between agencies, this responsibility falls to the </w:t>
      </w:r>
      <w:r w:rsidR="00D070F0">
        <w:rPr>
          <w:color w:val="auto"/>
          <w:sz w:val="22"/>
          <w:szCs w:val="22"/>
        </w:rPr>
        <w:t xml:space="preserve">releasing </w:t>
      </w:r>
      <w:r w:rsidR="00975A61">
        <w:rPr>
          <w:color w:val="auto"/>
          <w:sz w:val="22"/>
          <w:szCs w:val="22"/>
        </w:rPr>
        <w:t>D</w:t>
      </w:r>
      <w:r w:rsidR="00D070F0">
        <w:rPr>
          <w:color w:val="auto"/>
          <w:sz w:val="22"/>
          <w:szCs w:val="22"/>
        </w:rPr>
        <w:t>irector-</w:t>
      </w:r>
      <w:r w:rsidR="00975A61">
        <w:rPr>
          <w:color w:val="auto"/>
          <w:sz w:val="22"/>
          <w:szCs w:val="22"/>
        </w:rPr>
        <w:t>G</w:t>
      </w:r>
      <w:r w:rsidR="00D070F0">
        <w:rPr>
          <w:color w:val="auto"/>
          <w:sz w:val="22"/>
          <w:szCs w:val="22"/>
        </w:rPr>
        <w:t>eneral.</w:t>
      </w:r>
    </w:p>
    <w:p w14:paraId="69D27230" w14:textId="6478D1D0" w:rsidR="009B71AB" w:rsidRDefault="009B71AB" w:rsidP="00B61B11">
      <w:pPr>
        <w:pStyle w:val="IntroParagraph"/>
        <w:numPr>
          <w:ilvl w:val="0"/>
          <w:numId w:val="11"/>
        </w:numPr>
        <w:spacing w:before="200" w:after="60" w:line="240" w:lineRule="auto"/>
        <w:rPr>
          <w:color w:val="auto"/>
          <w:sz w:val="22"/>
          <w:szCs w:val="22"/>
        </w:rPr>
      </w:pPr>
      <w:r w:rsidRPr="007F799E">
        <w:rPr>
          <w:color w:val="auto"/>
          <w:sz w:val="22"/>
          <w:szCs w:val="22"/>
        </w:rPr>
        <w:t xml:space="preserve">Consultation with employees </w:t>
      </w:r>
      <w:r w:rsidR="00CB262E">
        <w:rPr>
          <w:color w:val="auto"/>
          <w:sz w:val="22"/>
          <w:szCs w:val="22"/>
        </w:rPr>
        <w:t>must</w:t>
      </w:r>
      <w:r w:rsidR="00B61B11">
        <w:rPr>
          <w:color w:val="auto"/>
          <w:sz w:val="22"/>
          <w:szCs w:val="22"/>
        </w:rPr>
        <w:t xml:space="preserve"> </w:t>
      </w:r>
      <w:r w:rsidR="0047079B">
        <w:rPr>
          <w:color w:val="auto"/>
          <w:sz w:val="22"/>
          <w:szCs w:val="22"/>
        </w:rPr>
        <w:t xml:space="preserve">include </w:t>
      </w:r>
      <w:r w:rsidR="0034206D" w:rsidRPr="00B61B11">
        <w:rPr>
          <w:color w:val="auto"/>
          <w:sz w:val="22"/>
          <w:szCs w:val="22"/>
        </w:rPr>
        <w:t>the r</w:t>
      </w:r>
      <w:r w:rsidR="00785EC4" w:rsidRPr="00B61B11">
        <w:rPr>
          <w:color w:val="auto"/>
          <w:sz w:val="22"/>
          <w:szCs w:val="22"/>
        </w:rPr>
        <w:t>easons for the proposed move</w:t>
      </w:r>
      <w:r w:rsidR="00B61B11">
        <w:rPr>
          <w:color w:val="auto"/>
          <w:sz w:val="22"/>
          <w:szCs w:val="22"/>
        </w:rPr>
        <w:t xml:space="preserve">, </w:t>
      </w:r>
      <w:r w:rsidR="00256B89">
        <w:rPr>
          <w:color w:val="auto"/>
          <w:sz w:val="22"/>
          <w:szCs w:val="22"/>
        </w:rPr>
        <w:t>i</w:t>
      </w:r>
      <w:r w:rsidR="0034206D" w:rsidRPr="00B61B11">
        <w:rPr>
          <w:color w:val="auto"/>
          <w:sz w:val="22"/>
          <w:szCs w:val="22"/>
        </w:rPr>
        <w:t xml:space="preserve">nformation about </w:t>
      </w:r>
      <w:r w:rsidR="0047079B">
        <w:rPr>
          <w:color w:val="auto"/>
          <w:sz w:val="22"/>
          <w:szCs w:val="22"/>
        </w:rPr>
        <w:t xml:space="preserve">the </w:t>
      </w:r>
      <w:r w:rsidR="0034206D" w:rsidRPr="00B61B11">
        <w:rPr>
          <w:color w:val="auto"/>
          <w:sz w:val="22"/>
          <w:szCs w:val="22"/>
        </w:rPr>
        <w:t>new role</w:t>
      </w:r>
      <w:r w:rsidR="00B61B11">
        <w:rPr>
          <w:color w:val="auto"/>
          <w:sz w:val="22"/>
          <w:szCs w:val="22"/>
        </w:rPr>
        <w:t xml:space="preserve"> (i.e., </w:t>
      </w:r>
      <w:r w:rsidR="009A5B3D">
        <w:rPr>
          <w:color w:val="auto"/>
          <w:sz w:val="22"/>
          <w:szCs w:val="22"/>
        </w:rPr>
        <w:t xml:space="preserve">the </w:t>
      </w:r>
      <w:r w:rsidR="00AC4479" w:rsidRPr="00B61B11">
        <w:rPr>
          <w:color w:val="auto"/>
          <w:sz w:val="22"/>
          <w:szCs w:val="22"/>
        </w:rPr>
        <w:t>work area</w:t>
      </w:r>
      <w:r w:rsidR="00B61B11">
        <w:rPr>
          <w:color w:val="auto"/>
          <w:sz w:val="22"/>
          <w:szCs w:val="22"/>
        </w:rPr>
        <w:t>/program</w:t>
      </w:r>
      <w:r w:rsidR="00AC4479" w:rsidRPr="00B61B11">
        <w:rPr>
          <w:color w:val="auto"/>
          <w:sz w:val="22"/>
          <w:szCs w:val="22"/>
        </w:rPr>
        <w:t>, supervisor, responsibilities</w:t>
      </w:r>
      <w:r w:rsidR="001C19B5" w:rsidRPr="00B61B11">
        <w:rPr>
          <w:color w:val="auto"/>
          <w:sz w:val="22"/>
          <w:szCs w:val="22"/>
        </w:rPr>
        <w:t xml:space="preserve"> and position description</w:t>
      </w:r>
      <w:r w:rsidR="00B61B11">
        <w:rPr>
          <w:color w:val="auto"/>
          <w:sz w:val="22"/>
          <w:szCs w:val="22"/>
        </w:rPr>
        <w:t xml:space="preserve">), and </w:t>
      </w:r>
      <w:r w:rsidR="00110086" w:rsidRPr="00B61B11">
        <w:rPr>
          <w:color w:val="auto"/>
          <w:sz w:val="22"/>
          <w:szCs w:val="22"/>
        </w:rPr>
        <w:t>allow</w:t>
      </w:r>
      <w:r w:rsidR="0046618E" w:rsidRPr="00B61B11">
        <w:rPr>
          <w:color w:val="auto"/>
          <w:sz w:val="22"/>
          <w:szCs w:val="22"/>
        </w:rPr>
        <w:t xml:space="preserve"> adequate time for the</w:t>
      </w:r>
      <w:r w:rsidR="009A5B3D">
        <w:rPr>
          <w:color w:val="auto"/>
          <w:sz w:val="22"/>
          <w:szCs w:val="22"/>
        </w:rPr>
        <w:t xml:space="preserve"> employee</w:t>
      </w:r>
      <w:r w:rsidR="0046618E" w:rsidRPr="00B61B11">
        <w:rPr>
          <w:color w:val="auto"/>
          <w:sz w:val="22"/>
          <w:szCs w:val="22"/>
        </w:rPr>
        <w:t xml:space="preserve"> to consider the proposed changes</w:t>
      </w:r>
      <w:r w:rsidR="006557C5" w:rsidRPr="00B61B11">
        <w:rPr>
          <w:color w:val="auto"/>
          <w:sz w:val="22"/>
          <w:szCs w:val="22"/>
        </w:rPr>
        <w:t xml:space="preserve"> and seek </w:t>
      </w:r>
      <w:r w:rsidR="00683269" w:rsidRPr="00B61B11">
        <w:rPr>
          <w:color w:val="auto"/>
          <w:sz w:val="22"/>
          <w:szCs w:val="22"/>
        </w:rPr>
        <w:t xml:space="preserve">further information or </w:t>
      </w:r>
      <w:r w:rsidR="00CB1719" w:rsidRPr="00B61B11">
        <w:rPr>
          <w:color w:val="auto"/>
          <w:sz w:val="22"/>
          <w:szCs w:val="22"/>
        </w:rPr>
        <w:t>advice</w:t>
      </w:r>
      <w:r w:rsidR="00B61B11">
        <w:rPr>
          <w:color w:val="auto"/>
          <w:sz w:val="22"/>
          <w:szCs w:val="22"/>
        </w:rPr>
        <w:t>.</w:t>
      </w:r>
    </w:p>
    <w:p w14:paraId="3E8B330B" w14:textId="77777777" w:rsidR="002977F7" w:rsidRDefault="008774E2" w:rsidP="0040377D">
      <w:pPr>
        <w:pStyle w:val="IntroParagraph"/>
        <w:numPr>
          <w:ilvl w:val="0"/>
          <w:numId w:val="11"/>
        </w:numPr>
        <w:spacing w:before="200" w:after="60" w:line="240" w:lineRule="auto"/>
        <w:rPr>
          <w:color w:val="auto"/>
          <w:sz w:val="22"/>
          <w:szCs w:val="22"/>
        </w:rPr>
      </w:pPr>
      <w:r w:rsidRPr="002977F7">
        <w:rPr>
          <w:color w:val="auto"/>
          <w:sz w:val="22"/>
          <w:szCs w:val="22"/>
        </w:rPr>
        <w:t xml:space="preserve">If more than one employee is proposed to be moved, </w:t>
      </w:r>
      <w:r w:rsidR="00975A61" w:rsidRPr="002977F7">
        <w:rPr>
          <w:color w:val="auto"/>
          <w:sz w:val="22"/>
          <w:szCs w:val="22"/>
        </w:rPr>
        <w:t>OIRWS</w:t>
      </w:r>
      <w:r w:rsidRPr="002977F7">
        <w:rPr>
          <w:color w:val="auto"/>
          <w:sz w:val="22"/>
          <w:szCs w:val="22"/>
        </w:rPr>
        <w:t xml:space="preserve"> recommends consulting with the relevant union</w:t>
      </w:r>
      <w:r w:rsidR="00B10FD2" w:rsidRPr="002977F7">
        <w:rPr>
          <w:color w:val="auto"/>
          <w:sz w:val="22"/>
          <w:szCs w:val="22"/>
        </w:rPr>
        <w:t>(s)</w:t>
      </w:r>
      <w:r w:rsidRPr="002977F7">
        <w:rPr>
          <w:color w:val="auto"/>
          <w:sz w:val="22"/>
          <w:szCs w:val="22"/>
        </w:rPr>
        <w:t>.</w:t>
      </w:r>
    </w:p>
    <w:p w14:paraId="54FEE2EF" w14:textId="1538C932" w:rsidR="00884FF8" w:rsidRPr="002977F7" w:rsidRDefault="00B61B11" w:rsidP="0040377D">
      <w:pPr>
        <w:pStyle w:val="IntroParagraph"/>
        <w:numPr>
          <w:ilvl w:val="0"/>
          <w:numId w:val="11"/>
        </w:numPr>
        <w:spacing w:before="200" w:after="60" w:line="240" w:lineRule="auto"/>
        <w:rPr>
          <w:color w:val="auto"/>
          <w:sz w:val="22"/>
          <w:szCs w:val="22"/>
        </w:rPr>
      </w:pPr>
      <w:r w:rsidRPr="002977F7">
        <w:rPr>
          <w:color w:val="auto"/>
          <w:sz w:val="22"/>
          <w:szCs w:val="22"/>
        </w:rPr>
        <w:lastRenderedPageBreak/>
        <w:t xml:space="preserve">Refer to the </w:t>
      </w:r>
      <w:r w:rsidR="00DA55F9" w:rsidRPr="002977F7">
        <w:rPr>
          <w:color w:val="auto"/>
          <w:sz w:val="22"/>
          <w:szCs w:val="22"/>
        </w:rPr>
        <w:t xml:space="preserve">draft </w:t>
      </w:r>
      <w:r w:rsidRPr="002977F7">
        <w:rPr>
          <w:color w:val="auto"/>
          <w:sz w:val="22"/>
          <w:szCs w:val="22"/>
        </w:rPr>
        <w:t xml:space="preserve">Employee and Union Consultation Guide </w:t>
      </w:r>
      <w:r w:rsidR="009A5B3D" w:rsidRPr="002977F7">
        <w:rPr>
          <w:color w:val="auto"/>
          <w:sz w:val="22"/>
          <w:szCs w:val="22"/>
        </w:rPr>
        <w:t xml:space="preserve">for further guidance on effective consultation methods. </w:t>
      </w:r>
      <w:r w:rsidR="00ED4ED3" w:rsidRPr="002977F7">
        <w:rPr>
          <w:color w:val="auto"/>
          <w:sz w:val="22"/>
          <w:szCs w:val="22"/>
        </w:rPr>
        <w:t>A copy can be requested from</w:t>
      </w:r>
      <w:r w:rsidR="003B463B" w:rsidRPr="002977F7">
        <w:rPr>
          <w:color w:val="auto"/>
          <w:sz w:val="22"/>
          <w:szCs w:val="22"/>
        </w:rPr>
        <w:t xml:space="preserve"> </w:t>
      </w:r>
      <w:hyperlink r:id="rId16" w:history="1">
        <w:r w:rsidR="003B463B" w:rsidRPr="002977F7">
          <w:rPr>
            <w:rStyle w:val="Hyperlink"/>
            <w:sz w:val="22"/>
            <w:szCs w:val="22"/>
          </w:rPr>
          <w:t>secure.employment@act.gov.au</w:t>
        </w:r>
      </w:hyperlink>
      <w:r w:rsidR="003B463B" w:rsidRPr="002977F7">
        <w:rPr>
          <w:color w:val="auto"/>
          <w:sz w:val="22"/>
          <w:szCs w:val="22"/>
        </w:rPr>
        <w:t>.</w:t>
      </w:r>
    </w:p>
    <w:p w14:paraId="435AC3F1" w14:textId="4DC575EF" w:rsidR="00FC66E0" w:rsidRPr="00F60722" w:rsidRDefault="00FC66E0" w:rsidP="00CF3ADE">
      <w:pPr>
        <w:pStyle w:val="Heading3"/>
        <w:rPr>
          <w:color w:val="56268C"/>
          <w:sz w:val="32"/>
        </w:rPr>
      </w:pPr>
      <w:r>
        <w:t>Notice of decision</w:t>
      </w:r>
    </w:p>
    <w:p w14:paraId="2C75FC3C" w14:textId="2BF5B0B4" w:rsidR="00843794" w:rsidRPr="008636A1" w:rsidRDefault="008636A1" w:rsidP="008636A1">
      <w:pPr>
        <w:pStyle w:val="IntroParagraph"/>
        <w:numPr>
          <w:ilvl w:val="0"/>
          <w:numId w:val="11"/>
        </w:numPr>
        <w:spacing w:before="200" w:after="60" w:line="24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Employees must be notified in writing of the outcome of the proposed move. If the decision is to move an </w:t>
      </w:r>
      <w:r w:rsidRPr="008636A1">
        <w:rPr>
          <w:color w:val="auto"/>
          <w:sz w:val="22"/>
          <w:szCs w:val="22"/>
        </w:rPr>
        <w:t>employee, the</w:t>
      </w:r>
      <w:r>
        <w:rPr>
          <w:color w:val="auto"/>
          <w:sz w:val="22"/>
          <w:szCs w:val="22"/>
        </w:rPr>
        <w:t xml:space="preserve"> written </w:t>
      </w:r>
      <w:r w:rsidR="00C178C5" w:rsidRPr="008636A1">
        <w:rPr>
          <w:color w:val="auto"/>
          <w:sz w:val="22"/>
          <w:szCs w:val="22"/>
        </w:rPr>
        <w:t>notice</w:t>
      </w:r>
      <w:r>
        <w:rPr>
          <w:color w:val="auto"/>
          <w:sz w:val="22"/>
          <w:szCs w:val="22"/>
        </w:rPr>
        <w:t xml:space="preserve"> must: </w:t>
      </w:r>
      <w:r w:rsidR="007C3D3A" w:rsidRPr="008636A1">
        <w:rPr>
          <w:color w:val="auto"/>
          <w:sz w:val="22"/>
          <w:szCs w:val="22"/>
        </w:rPr>
        <w:t xml:space="preserve"> </w:t>
      </w:r>
      <w:r w:rsidR="00CE459D" w:rsidRPr="008636A1">
        <w:rPr>
          <w:color w:val="auto"/>
          <w:sz w:val="22"/>
          <w:szCs w:val="22"/>
        </w:rPr>
        <w:t xml:space="preserve"> </w:t>
      </w:r>
    </w:p>
    <w:p w14:paraId="22561CA7" w14:textId="0992BD7B" w:rsidR="00843794" w:rsidRPr="002230A2" w:rsidRDefault="0003221F" w:rsidP="002230A2">
      <w:pPr>
        <w:pStyle w:val="IntroParagraph"/>
        <w:numPr>
          <w:ilvl w:val="1"/>
          <w:numId w:val="12"/>
        </w:numPr>
        <w:spacing w:before="200" w:after="60" w:line="24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i</w:t>
      </w:r>
      <w:r w:rsidR="00E41CA8">
        <w:rPr>
          <w:color w:val="auto"/>
          <w:sz w:val="22"/>
          <w:szCs w:val="22"/>
        </w:rPr>
        <w:t xml:space="preserve">ndicate </w:t>
      </w:r>
      <w:r w:rsidR="00EE6A74">
        <w:rPr>
          <w:color w:val="auto"/>
          <w:sz w:val="22"/>
          <w:szCs w:val="22"/>
        </w:rPr>
        <w:t>if</w:t>
      </w:r>
      <w:r w:rsidR="00211281">
        <w:rPr>
          <w:color w:val="auto"/>
          <w:sz w:val="22"/>
          <w:szCs w:val="22"/>
        </w:rPr>
        <w:t xml:space="preserve"> the move</w:t>
      </w:r>
      <w:r w:rsidR="004A5720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will </w:t>
      </w:r>
      <w:r w:rsidR="004A5720">
        <w:rPr>
          <w:color w:val="auto"/>
          <w:sz w:val="22"/>
          <w:szCs w:val="22"/>
        </w:rPr>
        <w:t>be for a fixed period or on a permanent basis</w:t>
      </w:r>
      <w:r w:rsidR="002230A2">
        <w:rPr>
          <w:color w:val="auto"/>
          <w:sz w:val="22"/>
          <w:szCs w:val="22"/>
        </w:rPr>
        <w:t xml:space="preserve"> – if the </w:t>
      </w:r>
      <w:r w:rsidR="003B463B">
        <w:rPr>
          <w:color w:val="auto"/>
          <w:sz w:val="22"/>
          <w:szCs w:val="22"/>
        </w:rPr>
        <w:t>f</w:t>
      </w:r>
      <w:r w:rsidR="002230A2">
        <w:rPr>
          <w:color w:val="auto"/>
          <w:sz w:val="22"/>
          <w:szCs w:val="22"/>
        </w:rPr>
        <w:t>ormer, it must also provide the period of the move</w:t>
      </w:r>
      <w:r w:rsidR="004A5720">
        <w:rPr>
          <w:color w:val="auto"/>
          <w:sz w:val="22"/>
          <w:szCs w:val="22"/>
        </w:rPr>
        <w:t xml:space="preserve">; </w:t>
      </w:r>
    </w:p>
    <w:p w14:paraId="77E338E0" w14:textId="13438265" w:rsidR="004A5720" w:rsidRDefault="00F527A7" w:rsidP="00A970BF">
      <w:pPr>
        <w:pStyle w:val="IntroParagraph"/>
        <w:numPr>
          <w:ilvl w:val="1"/>
          <w:numId w:val="12"/>
        </w:numPr>
        <w:spacing w:before="200" w:after="60" w:line="24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state </w:t>
      </w:r>
      <w:r w:rsidR="00CD4B55">
        <w:rPr>
          <w:color w:val="auto"/>
          <w:sz w:val="22"/>
          <w:szCs w:val="22"/>
        </w:rPr>
        <w:t>the date the move begins</w:t>
      </w:r>
      <w:r w:rsidR="007F1C6C">
        <w:rPr>
          <w:color w:val="auto"/>
          <w:sz w:val="22"/>
          <w:szCs w:val="22"/>
        </w:rPr>
        <w:t xml:space="preserve">; </w:t>
      </w:r>
    </w:p>
    <w:p w14:paraId="13C32907" w14:textId="793EE6C5" w:rsidR="007F1C6C" w:rsidRPr="00F527A7" w:rsidRDefault="005825B6" w:rsidP="00F527A7">
      <w:pPr>
        <w:pStyle w:val="IntroParagraph"/>
        <w:numPr>
          <w:ilvl w:val="1"/>
          <w:numId w:val="12"/>
        </w:numPr>
        <w:spacing w:before="200" w:after="60" w:line="24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confirm </w:t>
      </w:r>
      <w:r w:rsidR="0071013B">
        <w:rPr>
          <w:color w:val="auto"/>
          <w:sz w:val="22"/>
          <w:szCs w:val="22"/>
        </w:rPr>
        <w:t xml:space="preserve">the details of the employee’s </w:t>
      </w:r>
      <w:r w:rsidR="00665C0A">
        <w:rPr>
          <w:color w:val="auto"/>
          <w:sz w:val="22"/>
          <w:szCs w:val="22"/>
        </w:rPr>
        <w:t xml:space="preserve">new </w:t>
      </w:r>
      <w:r w:rsidR="0014318F">
        <w:rPr>
          <w:color w:val="auto"/>
          <w:sz w:val="22"/>
          <w:szCs w:val="22"/>
        </w:rPr>
        <w:t>work arrangements, including the</w:t>
      </w:r>
      <w:r w:rsidR="00AA18A3">
        <w:rPr>
          <w:color w:val="auto"/>
          <w:sz w:val="22"/>
          <w:szCs w:val="22"/>
        </w:rPr>
        <w:t xml:space="preserve"> directorate, </w:t>
      </w:r>
      <w:r w:rsidR="0014318F">
        <w:rPr>
          <w:color w:val="auto"/>
          <w:sz w:val="22"/>
          <w:szCs w:val="22"/>
        </w:rPr>
        <w:t>position, supervisor</w:t>
      </w:r>
      <w:r w:rsidR="00874254">
        <w:rPr>
          <w:color w:val="auto"/>
          <w:sz w:val="22"/>
          <w:szCs w:val="22"/>
        </w:rPr>
        <w:t xml:space="preserve"> and</w:t>
      </w:r>
      <w:r w:rsidR="0014318F">
        <w:rPr>
          <w:color w:val="auto"/>
          <w:sz w:val="22"/>
          <w:szCs w:val="22"/>
        </w:rPr>
        <w:t xml:space="preserve"> position description</w:t>
      </w:r>
      <w:r w:rsidR="00874254">
        <w:rPr>
          <w:color w:val="auto"/>
          <w:sz w:val="22"/>
          <w:szCs w:val="22"/>
        </w:rPr>
        <w:t>;</w:t>
      </w:r>
      <w:r w:rsidR="00F527A7">
        <w:rPr>
          <w:color w:val="auto"/>
          <w:sz w:val="22"/>
          <w:szCs w:val="22"/>
        </w:rPr>
        <w:t xml:space="preserve"> and</w:t>
      </w:r>
    </w:p>
    <w:p w14:paraId="4F55B12B" w14:textId="6C74C14D" w:rsidR="00A27945" w:rsidRDefault="005825B6" w:rsidP="00A970BF">
      <w:pPr>
        <w:pStyle w:val="IntroParagraph"/>
        <w:numPr>
          <w:ilvl w:val="1"/>
          <w:numId w:val="12"/>
        </w:numPr>
        <w:spacing w:before="200" w:after="60" w:line="24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explain that </w:t>
      </w:r>
      <w:r w:rsidR="00A51B86">
        <w:rPr>
          <w:color w:val="auto"/>
          <w:sz w:val="22"/>
          <w:szCs w:val="22"/>
        </w:rPr>
        <w:t>the decision is non-appellable and non-reviewable.</w:t>
      </w:r>
      <w:r w:rsidR="00A51B86">
        <w:rPr>
          <w:rStyle w:val="FootnoteReference"/>
          <w:color w:val="auto"/>
          <w:sz w:val="22"/>
          <w:szCs w:val="22"/>
        </w:rPr>
        <w:footnoteReference w:id="6"/>
      </w:r>
      <w:r w:rsidR="00A51B86">
        <w:rPr>
          <w:color w:val="auto"/>
          <w:sz w:val="22"/>
          <w:szCs w:val="22"/>
        </w:rPr>
        <w:t xml:space="preserve"> </w:t>
      </w:r>
    </w:p>
    <w:p w14:paraId="3EC5432D" w14:textId="24904CC9" w:rsidR="00A47327" w:rsidRDefault="00A47327" w:rsidP="00A47327">
      <w:pPr>
        <w:pStyle w:val="IntroParagraph"/>
        <w:numPr>
          <w:ilvl w:val="0"/>
          <w:numId w:val="11"/>
        </w:numPr>
        <w:spacing w:before="200" w:after="60" w:line="24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Where an employee is being moved between agencies, the </w:t>
      </w:r>
      <w:r w:rsidR="00920236">
        <w:rPr>
          <w:color w:val="auto"/>
          <w:sz w:val="22"/>
          <w:szCs w:val="22"/>
        </w:rPr>
        <w:t xml:space="preserve">notice of decision will be issued by the </w:t>
      </w:r>
      <w:r w:rsidR="008F2DEF">
        <w:rPr>
          <w:color w:val="auto"/>
          <w:sz w:val="22"/>
          <w:szCs w:val="22"/>
        </w:rPr>
        <w:t>releasing agency</w:t>
      </w:r>
      <w:r w:rsidR="00441B8C">
        <w:rPr>
          <w:color w:val="auto"/>
          <w:sz w:val="22"/>
          <w:szCs w:val="22"/>
        </w:rPr>
        <w:t xml:space="preserve">. </w:t>
      </w:r>
    </w:p>
    <w:p w14:paraId="79969FB6" w14:textId="15173828" w:rsidR="005412BA" w:rsidRPr="0085459C" w:rsidRDefault="005412BA" w:rsidP="005412BA">
      <w:pPr>
        <w:pStyle w:val="Heading2"/>
      </w:pPr>
      <w:r w:rsidRPr="0085459C">
        <w:t>Mobilising members of the Senior Executive Service</w:t>
      </w:r>
    </w:p>
    <w:p w14:paraId="14595DAC" w14:textId="63588C63" w:rsidR="00867C6F" w:rsidRPr="0085459C" w:rsidRDefault="009A764C" w:rsidP="00B77026">
      <w:pPr>
        <w:pStyle w:val="IntroParagraph"/>
        <w:numPr>
          <w:ilvl w:val="0"/>
          <w:numId w:val="11"/>
        </w:numPr>
        <w:spacing w:before="200" w:after="60" w:line="240" w:lineRule="auto"/>
        <w:rPr>
          <w:color w:val="auto"/>
          <w:sz w:val="22"/>
          <w:szCs w:val="22"/>
        </w:rPr>
      </w:pPr>
      <w:r w:rsidRPr="0085459C">
        <w:rPr>
          <w:color w:val="auto"/>
          <w:sz w:val="22"/>
          <w:szCs w:val="22"/>
        </w:rPr>
        <w:t xml:space="preserve">A </w:t>
      </w:r>
      <w:r w:rsidR="0051020C" w:rsidRPr="0085459C">
        <w:rPr>
          <w:color w:val="auto"/>
          <w:sz w:val="22"/>
          <w:szCs w:val="22"/>
        </w:rPr>
        <w:t xml:space="preserve">SES </w:t>
      </w:r>
      <w:r w:rsidRPr="0085459C">
        <w:rPr>
          <w:color w:val="auto"/>
          <w:sz w:val="22"/>
          <w:szCs w:val="22"/>
        </w:rPr>
        <w:t xml:space="preserve">member </w:t>
      </w:r>
      <w:r w:rsidR="0051020C" w:rsidRPr="0085459C">
        <w:rPr>
          <w:color w:val="auto"/>
          <w:sz w:val="22"/>
          <w:szCs w:val="22"/>
        </w:rPr>
        <w:t>can be mobilised</w:t>
      </w:r>
      <w:r w:rsidRPr="0085459C">
        <w:rPr>
          <w:color w:val="auto"/>
          <w:sz w:val="22"/>
          <w:szCs w:val="22"/>
        </w:rPr>
        <w:t xml:space="preserve"> at level</w:t>
      </w:r>
      <w:r w:rsidR="00867C6F" w:rsidRPr="0085459C">
        <w:rPr>
          <w:color w:val="auto"/>
          <w:sz w:val="22"/>
          <w:szCs w:val="22"/>
        </w:rPr>
        <w:t xml:space="preserve"> within or between administrative units </w:t>
      </w:r>
      <w:r w:rsidR="008E228D" w:rsidRPr="0085459C">
        <w:rPr>
          <w:color w:val="auto"/>
          <w:sz w:val="22"/>
          <w:szCs w:val="22"/>
        </w:rPr>
        <w:t>t</w:t>
      </w:r>
      <w:r w:rsidR="00867C6F" w:rsidRPr="0085459C">
        <w:rPr>
          <w:color w:val="auto"/>
          <w:sz w:val="22"/>
          <w:szCs w:val="22"/>
        </w:rPr>
        <w:t>hrough a change of their SETs</w:t>
      </w:r>
      <w:r w:rsidRPr="0085459C">
        <w:rPr>
          <w:color w:val="auto"/>
          <w:sz w:val="22"/>
          <w:szCs w:val="22"/>
        </w:rPr>
        <w:t xml:space="preserve"> </w:t>
      </w:r>
      <w:r w:rsidR="007867F2" w:rsidRPr="0085459C">
        <w:rPr>
          <w:color w:val="auto"/>
          <w:sz w:val="22"/>
          <w:szCs w:val="22"/>
        </w:rPr>
        <w:t>if they</w:t>
      </w:r>
      <w:r w:rsidR="00B2180E" w:rsidRPr="0085459C">
        <w:rPr>
          <w:color w:val="auto"/>
          <w:sz w:val="22"/>
          <w:szCs w:val="22"/>
        </w:rPr>
        <w:t xml:space="preserve"> request the move in writing</w:t>
      </w:r>
      <w:r w:rsidR="00B77026" w:rsidRPr="0085459C">
        <w:rPr>
          <w:color w:val="auto"/>
          <w:sz w:val="22"/>
          <w:szCs w:val="22"/>
        </w:rPr>
        <w:t xml:space="preserve">, and/or the engager is satisfied a move is reasonable and required for the efficient and effective management of the service. </w:t>
      </w:r>
      <w:r w:rsidR="00B2180E" w:rsidRPr="0085459C">
        <w:rPr>
          <w:color w:val="auto"/>
          <w:sz w:val="22"/>
          <w:szCs w:val="22"/>
        </w:rPr>
        <w:t xml:space="preserve"> </w:t>
      </w:r>
    </w:p>
    <w:p w14:paraId="67546B70" w14:textId="481D6A4F" w:rsidR="00B77026" w:rsidRPr="0085459C" w:rsidRDefault="00B77026" w:rsidP="00B77026">
      <w:pPr>
        <w:pStyle w:val="IntroParagraph"/>
        <w:numPr>
          <w:ilvl w:val="0"/>
          <w:numId w:val="11"/>
        </w:numPr>
        <w:spacing w:before="200" w:after="60" w:line="240" w:lineRule="auto"/>
        <w:rPr>
          <w:color w:val="auto"/>
          <w:sz w:val="22"/>
          <w:szCs w:val="22"/>
        </w:rPr>
      </w:pPr>
      <w:r w:rsidRPr="0085459C">
        <w:rPr>
          <w:color w:val="auto"/>
          <w:sz w:val="22"/>
          <w:szCs w:val="22"/>
        </w:rPr>
        <w:t xml:space="preserve">Where a move is being initiated by the engager, the SES member </w:t>
      </w:r>
      <w:r w:rsidR="00060081" w:rsidRPr="0085459C">
        <w:rPr>
          <w:color w:val="auto"/>
          <w:sz w:val="22"/>
          <w:szCs w:val="22"/>
        </w:rPr>
        <w:t>may</w:t>
      </w:r>
      <w:r w:rsidRPr="0085459C">
        <w:rPr>
          <w:color w:val="auto"/>
          <w:sz w:val="22"/>
          <w:szCs w:val="22"/>
        </w:rPr>
        <w:t xml:space="preserve"> be consulted </w:t>
      </w:r>
      <w:r w:rsidR="006C3559" w:rsidRPr="0085459C">
        <w:rPr>
          <w:color w:val="auto"/>
          <w:sz w:val="22"/>
          <w:szCs w:val="22"/>
        </w:rPr>
        <w:t xml:space="preserve">as per the steps outlined in paragraphs 13 – 16 above. </w:t>
      </w:r>
      <w:r w:rsidR="00060081" w:rsidRPr="0085459C">
        <w:rPr>
          <w:color w:val="auto"/>
          <w:sz w:val="22"/>
          <w:szCs w:val="22"/>
        </w:rPr>
        <w:t xml:space="preserve">However, consultation is only required if </w:t>
      </w:r>
      <w:r w:rsidR="00A74244" w:rsidRPr="0085459C">
        <w:rPr>
          <w:color w:val="auto"/>
          <w:sz w:val="22"/>
          <w:szCs w:val="22"/>
        </w:rPr>
        <w:t xml:space="preserve">the move will result in </w:t>
      </w:r>
      <w:r w:rsidR="00060081" w:rsidRPr="0085459C">
        <w:rPr>
          <w:color w:val="auto"/>
          <w:sz w:val="22"/>
          <w:szCs w:val="22"/>
        </w:rPr>
        <w:t>a reduction in remuneration or a change in the hours worked or the period</w:t>
      </w:r>
      <w:r w:rsidR="008E228D" w:rsidRPr="0085459C">
        <w:rPr>
          <w:color w:val="auto"/>
          <w:sz w:val="22"/>
          <w:szCs w:val="22"/>
        </w:rPr>
        <w:t xml:space="preserve"> </w:t>
      </w:r>
      <w:r w:rsidR="00060081" w:rsidRPr="0085459C">
        <w:rPr>
          <w:color w:val="auto"/>
          <w:sz w:val="22"/>
          <w:szCs w:val="22"/>
        </w:rPr>
        <w:t>worked</w:t>
      </w:r>
      <w:r w:rsidR="008E228D" w:rsidRPr="0085459C">
        <w:rPr>
          <w:color w:val="auto"/>
          <w:sz w:val="22"/>
          <w:szCs w:val="22"/>
        </w:rPr>
        <w:t>.</w:t>
      </w:r>
      <w:r w:rsidR="008E228D" w:rsidRPr="0085459C">
        <w:rPr>
          <w:rStyle w:val="FootnoteReference"/>
          <w:color w:val="auto"/>
          <w:sz w:val="22"/>
          <w:szCs w:val="22"/>
        </w:rPr>
        <w:footnoteReference w:id="7"/>
      </w:r>
    </w:p>
    <w:p w14:paraId="45358782" w14:textId="2F0549BA" w:rsidR="00783248" w:rsidRPr="0085459C" w:rsidRDefault="00783248" w:rsidP="00B77026">
      <w:pPr>
        <w:pStyle w:val="IntroParagraph"/>
        <w:numPr>
          <w:ilvl w:val="0"/>
          <w:numId w:val="11"/>
        </w:numPr>
        <w:spacing w:before="200" w:after="60" w:line="240" w:lineRule="auto"/>
        <w:rPr>
          <w:color w:val="auto"/>
          <w:sz w:val="22"/>
          <w:szCs w:val="22"/>
        </w:rPr>
      </w:pPr>
      <w:r w:rsidRPr="0085459C">
        <w:rPr>
          <w:color w:val="auto"/>
          <w:sz w:val="22"/>
          <w:szCs w:val="22"/>
        </w:rPr>
        <w:t xml:space="preserve">Refer to the checklist at </w:t>
      </w:r>
      <w:hyperlink w:anchor="_Attachment_B_–" w:history="1">
        <w:r w:rsidRPr="0085459C">
          <w:rPr>
            <w:rStyle w:val="Hyperlink"/>
            <w:sz w:val="22"/>
            <w:szCs w:val="22"/>
          </w:rPr>
          <w:t>Attachment B</w:t>
        </w:r>
      </w:hyperlink>
      <w:r w:rsidRPr="0085459C">
        <w:rPr>
          <w:color w:val="auto"/>
          <w:sz w:val="22"/>
          <w:szCs w:val="22"/>
        </w:rPr>
        <w:t xml:space="preserve"> for further </w:t>
      </w:r>
      <w:r w:rsidR="00B3565F" w:rsidRPr="0085459C">
        <w:rPr>
          <w:color w:val="auto"/>
          <w:sz w:val="22"/>
          <w:szCs w:val="22"/>
        </w:rPr>
        <w:t>guidance</w:t>
      </w:r>
      <w:r w:rsidRPr="0085459C">
        <w:rPr>
          <w:color w:val="auto"/>
          <w:sz w:val="22"/>
          <w:szCs w:val="22"/>
        </w:rPr>
        <w:t>.</w:t>
      </w:r>
    </w:p>
    <w:p w14:paraId="44E9AC19" w14:textId="067CFF5A" w:rsidR="00926FBB" w:rsidRPr="000253CC" w:rsidRDefault="00926FBB" w:rsidP="00926FBB">
      <w:pPr>
        <w:pStyle w:val="Heading2"/>
      </w:pPr>
      <w:r>
        <w:t>Mobility from outside the ACTPS</w:t>
      </w:r>
    </w:p>
    <w:p w14:paraId="537C01BD" w14:textId="77777777" w:rsidR="00926FBB" w:rsidRDefault="00926FBB" w:rsidP="00926FBB">
      <w:pPr>
        <w:pStyle w:val="IntroParagraph"/>
        <w:numPr>
          <w:ilvl w:val="0"/>
          <w:numId w:val="11"/>
        </w:numPr>
        <w:spacing w:before="200" w:after="60" w:line="24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Individuals who are employed under legislation other than the PSM Act can be mobilised into the ACTPS via the </w:t>
      </w:r>
      <w:hyperlink r:id="rId17" w:history="1">
        <w:r>
          <w:rPr>
            <w:rStyle w:val="Hyperlink"/>
            <w:rFonts w:eastAsiaTheme="majorEastAsia"/>
            <w:sz w:val="22"/>
            <w:szCs w:val="22"/>
          </w:rPr>
          <w:t>Secondment Policy</w:t>
        </w:r>
      </w:hyperlink>
      <w:r>
        <w:rPr>
          <w:color w:val="auto"/>
          <w:sz w:val="22"/>
          <w:szCs w:val="22"/>
        </w:rPr>
        <w:t xml:space="preserve">.   </w:t>
      </w:r>
    </w:p>
    <w:bookmarkEnd w:id="5"/>
    <w:bookmarkEnd w:id="6"/>
    <w:p w14:paraId="5EEC6228" w14:textId="7A6F88FC" w:rsidR="00A26974" w:rsidRPr="000253CC" w:rsidRDefault="00A26974" w:rsidP="00A26974">
      <w:pPr>
        <w:pStyle w:val="Heading2"/>
      </w:pPr>
      <w:r>
        <w:t>Further information</w:t>
      </w:r>
    </w:p>
    <w:p w14:paraId="7A6F22BB" w14:textId="28A89651" w:rsidR="00A26974" w:rsidRPr="00C57137" w:rsidRDefault="00700A8D" w:rsidP="00F05CC9">
      <w:pPr>
        <w:pStyle w:val="IntroParagraph"/>
        <w:numPr>
          <w:ilvl w:val="0"/>
          <w:numId w:val="11"/>
        </w:numPr>
        <w:spacing w:before="0" w:after="0" w:line="240" w:lineRule="auto"/>
        <w:rPr>
          <w:rFonts w:ascii="Montserrat SemiBold" w:eastAsiaTheme="majorEastAsia" w:hAnsi="Montserrat SemiBold" w:cstheme="majorBidi"/>
          <w:b/>
          <w:color w:val="56268C"/>
          <w:sz w:val="32"/>
          <w:szCs w:val="32"/>
        </w:rPr>
      </w:pPr>
      <w:r>
        <w:rPr>
          <w:color w:val="auto"/>
          <w:sz w:val="22"/>
          <w:szCs w:val="22"/>
        </w:rPr>
        <w:t xml:space="preserve">For further information on </w:t>
      </w:r>
      <w:r w:rsidR="00462821">
        <w:rPr>
          <w:color w:val="auto"/>
          <w:sz w:val="22"/>
          <w:szCs w:val="22"/>
        </w:rPr>
        <w:t>the application of this guideline, please contact</w:t>
      </w:r>
      <w:r w:rsidR="000355B4">
        <w:rPr>
          <w:color w:val="auto"/>
          <w:sz w:val="22"/>
          <w:szCs w:val="22"/>
        </w:rPr>
        <w:t xml:space="preserve"> Workforce Strategy and Recruitment at </w:t>
      </w:r>
      <w:hyperlink r:id="rId18" w:history="1">
        <w:r w:rsidR="000355B4" w:rsidRPr="004C69A7">
          <w:rPr>
            <w:rStyle w:val="Hyperlink"/>
            <w:sz w:val="22"/>
            <w:szCs w:val="22"/>
          </w:rPr>
          <w:t>secure.employment@act.gov.au</w:t>
        </w:r>
      </w:hyperlink>
      <w:r w:rsidR="000355B4">
        <w:rPr>
          <w:color w:val="auto"/>
          <w:sz w:val="22"/>
          <w:szCs w:val="22"/>
        </w:rPr>
        <w:t>.</w:t>
      </w:r>
      <w:r w:rsidR="00A26974">
        <w:rPr>
          <w:color w:val="auto"/>
          <w:sz w:val="22"/>
          <w:szCs w:val="22"/>
        </w:rPr>
        <w:t xml:space="preserve">   </w:t>
      </w:r>
      <w:r w:rsidR="00A26974">
        <w:br w:type="page"/>
      </w:r>
    </w:p>
    <w:p w14:paraId="599B6E6D" w14:textId="70640FAB" w:rsidR="00BB1459" w:rsidRDefault="00D657D2" w:rsidP="00D657D2">
      <w:pPr>
        <w:pStyle w:val="Heading2"/>
      </w:pPr>
      <w:bookmarkStart w:id="7" w:name="_Attachment_A_–"/>
      <w:bookmarkEnd w:id="7"/>
      <w:r w:rsidRPr="00D657D2">
        <w:lastRenderedPageBreak/>
        <w:t xml:space="preserve">Attachment A </w:t>
      </w:r>
      <w:r w:rsidR="00C041DD">
        <w:t>–</w:t>
      </w:r>
      <w:r w:rsidRPr="00D657D2">
        <w:t xml:space="preserve"> </w:t>
      </w:r>
      <w:r w:rsidR="006E1128">
        <w:t>Non</w:t>
      </w:r>
      <w:r w:rsidR="002977F7">
        <w:t>-</w:t>
      </w:r>
      <w:r w:rsidR="006E1128">
        <w:t xml:space="preserve">SES </w:t>
      </w:r>
      <w:r w:rsidR="00B0126E">
        <w:t xml:space="preserve">Employee Mobility </w:t>
      </w:r>
      <w:r w:rsidRPr="00D657D2">
        <w:t>Checklist</w:t>
      </w:r>
    </w:p>
    <w:tbl>
      <w:tblPr>
        <w:tblStyle w:val="ARFinancialsTable"/>
        <w:tblW w:w="0" w:type="auto"/>
        <w:tblLook w:val="04A0" w:firstRow="1" w:lastRow="0" w:firstColumn="1" w:lastColumn="0" w:noHBand="0" w:noVBand="1"/>
      </w:tblPr>
      <w:tblGrid>
        <w:gridCol w:w="1289"/>
        <w:gridCol w:w="6082"/>
        <w:gridCol w:w="1560"/>
      </w:tblGrid>
      <w:tr w:rsidR="00550166" w14:paraId="20C1E048" w14:textId="77777777" w:rsidTr="00E94F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89" w:type="dxa"/>
            <w:tcBorders>
              <w:bottom w:val="single" w:sz="4" w:space="0" w:color="D1D1D1" w:themeColor="background2" w:themeShade="E6"/>
            </w:tcBorders>
          </w:tcPr>
          <w:p w14:paraId="6108ED48" w14:textId="70E335D1" w:rsidR="00C041DD" w:rsidRDefault="00BA5867" w:rsidP="00C041DD">
            <w:r>
              <w:t>Stage</w:t>
            </w:r>
          </w:p>
        </w:tc>
        <w:tc>
          <w:tcPr>
            <w:tcW w:w="6082" w:type="dxa"/>
            <w:tcBorders>
              <w:bottom w:val="single" w:sz="4" w:space="0" w:color="D1D1D1" w:themeColor="background2" w:themeShade="E6"/>
            </w:tcBorders>
          </w:tcPr>
          <w:p w14:paraId="2E83C517" w14:textId="723C35CB" w:rsidR="00C041DD" w:rsidRDefault="00BA5867" w:rsidP="00C041DD">
            <w:r>
              <w:t>Activity</w:t>
            </w:r>
          </w:p>
        </w:tc>
        <w:tc>
          <w:tcPr>
            <w:tcW w:w="1560" w:type="dxa"/>
            <w:tcBorders>
              <w:bottom w:val="single" w:sz="4" w:space="0" w:color="D1D1D1" w:themeColor="background2" w:themeShade="E6"/>
            </w:tcBorders>
          </w:tcPr>
          <w:p w14:paraId="102CC658" w14:textId="2FB741FF" w:rsidR="00C041DD" w:rsidRDefault="00AB29AF" w:rsidP="00C041DD">
            <w:r>
              <w:t>Complete</w:t>
            </w:r>
          </w:p>
        </w:tc>
      </w:tr>
      <w:tr w:rsidR="00446DE5" w14:paraId="117BBDFB" w14:textId="77777777" w:rsidTr="00E94F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89" w:type="dxa"/>
            <w:vMerge w:val="restart"/>
            <w:tcBorders>
              <w:top w:val="single" w:sz="4" w:space="0" w:color="D1D1D1" w:themeColor="background2" w:themeShade="E6"/>
            </w:tcBorders>
            <w:shd w:val="clear" w:color="auto" w:fill="482D8C"/>
            <w:vAlign w:val="center"/>
          </w:tcPr>
          <w:p w14:paraId="48C5FA7B" w14:textId="3BB79FAA" w:rsidR="00446DE5" w:rsidRPr="00DA06A0" w:rsidRDefault="00446DE5" w:rsidP="00446DE5">
            <w:pPr>
              <w:rPr>
                <w:b/>
                <w:bCs w:val="0"/>
                <w:color w:val="FFFFFF" w:themeColor="background1"/>
              </w:rPr>
            </w:pPr>
            <w:r w:rsidRPr="00DA06A0">
              <w:rPr>
                <w:b/>
                <w:bCs w:val="0"/>
                <w:color w:val="FFFFFF" w:themeColor="background1"/>
              </w:rPr>
              <w:t>Identify</w:t>
            </w:r>
          </w:p>
        </w:tc>
        <w:tc>
          <w:tcPr>
            <w:tcW w:w="6082" w:type="dxa"/>
            <w:tcBorders>
              <w:top w:val="single" w:sz="4" w:space="0" w:color="D1D1D1" w:themeColor="background2" w:themeShade="E6"/>
            </w:tcBorders>
          </w:tcPr>
          <w:p w14:paraId="6E270FBB" w14:textId="5D52F7A7" w:rsidR="00446DE5" w:rsidRDefault="00446DE5" w:rsidP="001D5F61">
            <w:r>
              <w:t xml:space="preserve">Assessment of existing </w:t>
            </w:r>
            <w:r w:rsidR="00363D32">
              <w:t xml:space="preserve">agency </w:t>
            </w:r>
            <w:r>
              <w:t xml:space="preserve">work programs </w:t>
            </w:r>
            <w:r w:rsidR="001B5E23">
              <w:t>co</w:t>
            </w:r>
            <w:r>
              <w:t>mpleted</w:t>
            </w:r>
            <w:r w:rsidR="00735CCC">
              <w:t>.</w:t>
            </w:r>
          </w:p>
        </w:tc>
        <w:tc>
          <w:tcPr>
            <w:tcW w:w="1560" w:type="dxa"/>
            <w:tcBorders>
              <w:top w:val="single" w:sz="4" w:space="0" w:color="D1D1D1" w:themeColor="background2" w:themeShade="E6"/>
            </w:tcBorders>
          </w:tcPr>
          <w:p w14:paraId="6B936AF9" w14:textId="119283FD" w:rsidR="00446DE5" w:rsidRDefault="003451B0" w:rsidP="001D5F61">
            <w:sdt>
              <w:sdtPr>
                <w:id w:val="1408502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D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6DE5">
              <w:t xml:space="preserve"> Yes </w:t>
            </w:r>
            <w:sdt>
              <w:sdtPr>
                <w:id w:val="344825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D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6DE5">
              <w:t xml:space="preserve"> No</w:t>
            </w:r>
          </w:p>
        </w:tc>
      </w:tr>
      <w:tr w:rsidR="00446DE5" w14:paraId="257A1801" w14:textId="77777777" w:rsidTr="00DA06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289" w:type="dxa"/>
            <w:vMerge/>
            <w:shd w:val="clear" w:color="auto" w:fill="482D8C"/>
          </w:tcPr>
          <w:p w14:paraId="5F1BDABB" w14:textId="77777777" w:rsidR="00446DE5" w:rsidRPr="00DA06A0" w:rsidRDefault="00446DE5" w:rsidP="001D5F61">
            <w:pPr>
              <w:rPr>
                <w:b/>
                <w:bCs w:val="0"/>
                <w:color w:val="FFFFFF" w:themeColor="background1"/>
              </w:rPr>
            </w:pPr>
          </w:p>
        </w:tc>
        <w:tc>
          <w:tcPr>
            <w:tcW w:w="6082" w:type="dxa"/>
          </w:tcPr>
          <w:p w14:paraId="4AA32481" w14:textId="52F3AF70" w:rsidR="00446DE5" w:rsidRDefault="00446DE5" w:rsidP="001D5F61">
            <w:r>
              <w:t>Work programs that could be stopped or paused</w:t>
            </w:r>
            <w:r w:rsidR="009D4884">
              <w:t xml:space="preserve"> have been</w:t>
            </w:r>
            <w:r>
              <w:t xml:space="preserve"> identified</w:t>
            </w:r>
            <w:r w:rsidR="00735CCC">
              <w:t>.</w:t>
            </w:r>
          </w:p>
        </w:tc>
        <w:tc>
          <w:tcPr>
            <w:tcW w:w="1560" w:type="dxa"/>
          </w:tcPr>
          <w:p w14:paraId="6FBC4A44" w14:textId="76E36F05" w:rsidR="00446DE5" w:rsidRDefault="003451B0" w:rsidP="001D5F61">
            <w:sdt>
              <w:sdtPr>
                <w:id w:val="-139202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D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6DE5">
              <w:t xml:space="preserve"> Yes </w:t>
            </w:r>
            <w:sdt>
              <w:sdtPr>
                <w:id w:val="-2025012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D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6DE5">
              <w:t xml:space="preserve"> No</w:t>
            </w:r>
          </w:p>
        </w:tc>
      </w:tr>
      <w:tr w:rsidR="00446DE5" w14:paraId="17B16809" w14:textId="77777777" w:rsidTr="00DA06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89" w:type="dxa"/>
            <w:vMerge/>
            <w:shd w:val="clear" w:color="auto" w:fill="482D8C"/>
          </w:tcPr>
          <w:p w14:paraId="533412D6" w14:textId="066B997C" w:rsidR="00446DE5" w:rsidRPr="00DA06A0" w:rsidRDefault="00446DE5" w:rsidP="001D5F61">
            <w:pPr>
              <w:rPr>
                <w:b/>
                <w:bCs w:val="0"/>
                <w:color w:val="FFFFFF" w:themeColor="background1"/>
              </w:rPr>
            </w:pPr>
          </w:p>
        </w:tc>
        <w:tc>
          <w:tcPr>
            <w:tcW w:w="6082" w:type="dxa"/>
          </w:tcPr>
          <w:p w14:paraId="0FC36E9E" w14:textId="699E397F" w:rsidR="00446DE5" w:rsidRDefault="001F48DA" w:rsidP="001D5F61">
            <w:r>
              <w:t xml:space="preserve">The assessment, outcome(s) and </w:t>
            </w:r>
            <w:r w:rsidR="00446DE5">
              <w:t>rationale for stopping or pausing work programs</w:t>
            </w:r>
            <w:r>
              <w:t xml:space="preserve"> </w:t>
            </w:r>
            <w:r w:rsidR="00232B9E">
              <w:t>have been documented</w:t>
            </w:r>
            <w:r w:rsidR="00735CCC">
              <w:t>.</w:t>
            </w:r>
          </w:p>
        </w:tc>
        <w:tc>
          <w:tcPr>
            <w:tcW w:w="1560" w:type="dxa"/>
          </w:tcPr>
          <w:p w14:paraId="577752D4" w14:textId="2B3B96E9" w:rsidR="00446DE5" w:rsidRDefault="003451B0" w:rsidP="001D5F61">
            <w:sdt>
              <w:sdtPr>
                <w:id w:val="474880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D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6DE5">
              <w:t xml:space="preserve"> Yes </w:t>
            </w:r>
            <w:sdt>
              <w:sdtPr>
                <w:id w:val="-1337304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D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6DE5">
              <w:t xml:space="preserve"> No</w:t>
            </w:r>
          </w:p>
        </w:tc>
      </w:tr>
      <w:tr w:rsidR="00446DE5" w14:paraId="74D131B0" w14:textId="77777777" w:rsidTr="00E94F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289" w:type="dxa"/>
            <w:vMerge/>
            <w:tcBorders>
              <w:bottom w:val="single" w:sz="4" w:space="0" w:color="D1D1D1"/>
            </w:tcBorders>
            <w:shd w:val="clear" w:color="auto" w:fill="482D8C"/>
          </w:tcPr>
          <w:p w14:paraId="576E4098" w14:textId="68EBEA2F" w:rsidR="00446DE5" w:rsidRPr="00DA06A0" w:rsidRDefault="00446DE5" w:rsidP="001D5F61">
            <w:pPr>
              <w:rPr>
                <w:b/>
                <w:bCs w:val="0"/>
                <w:color w:val="FFFFFF" w:themeColor="background1"/>
              </w:rPr>
            </w:pPr>
          </w:p>
        </w:tc>
        <w:tc>
          <w:tcPr>
            <w:tcW w:w="6082" w:type="dxa"/>
            <w:tcBorders>
              <w:bottom w:val="single" w:sz="4" w:space="0" w:color="D1D1D1"/>
            </w:tcBorders>
          </w:tcPr>
          <w:p w14:paraId="3BB0F0CB" w14:textId="7610A6DC" w:rsidR="00446DE5" w:rsidRDefault="00446DE5" w:rsidP="001D5F61">
            <w:r>
              <w:t>Employee</w:t>
            </w:r>
            <w:r w:rsidR="00F305EA">
              <w:t>(</w:t>
            </w:r>
            <w:r>
              <w:t>s</w:t>
            </w:r>
            <w:r w:rsidR="00F305EA">
              <w:t>)</w:t>
            </w:r>
            <w:r>
              <w:t xml:space="preserve"> impacted by the stopping or pausing of work programs</w:t>
            </w:r>
            <w:r w:rsidR="00232B9E">
              <w:t xml:space="preserve"> have been</w:t>
            </w:r>
            <w:r>
              <w:t xml:space="preserve"> identified</w:t>
            </w:r>
            <w:r w:rsidR="00735CCC">
              <w:t>.</w:t>
            </w:r>
          </w:p>
        </w:tc>
        <w:tc>
          <w:tcPr>
            <w:tcW w:w="1560" w:type="dxa"/>
            <w:tcBorders>
              <w:bottom w:val="single" w:sz="4" w:space="0" w:color="D1D1D1"/>
            </w:tcBorders>
          </w:tcPr>
          <w:p w14:paraId="0E1272F7" w14:textId="252E9D97" w:rsidR="00446DE5" w:rsidRDefault="003451B0" w:rsidP="001D5F61">
            <w:sdt>
              <w:sdtPr>
                <w:id w:val="1345508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D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6DE5">
              <w:t xml:space="preserve"> Yes </w:t>
            </w:r>
            <w:sdt>
              <w:sdtPr>
                <w:id w:val="1674372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D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6DE5">
              <w:t xml:space="preserve"> No</w:t>
            </w:r>
          </w:p>
        </w:tc>
      </w:tr>
      <w:tr w:rsidR="00446DE5" w14:paraId="649CFB75" w14:textId="77777777" w:rsidTr="00E94F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89" w:type="dxa"/>
            <w:vMerge w:val="restart"/>
            <w:tcBorders>
              <w:top w:val="single" w:sz="4" w:space="0" w:color="D1D1D1"/>
            </w:tcBorders>
            <w:shd w:val="clear" w:color="auto" w:fill="482D8C"/>
            <w:vAlign w:val="center"/>
          </w:tcPr>
          <w:p w14:paraId="752FB9D2" w14:textId="336BAAD0" w:rsidR="00446DE5" w:rsidRPr="00DA06A0" w:rsidRDefault="00446DE5" w:rsidP="00446DE5">
            <w:pPr>
              <w:rPr>
                <w:b/>
                <w:bCs w:val="0"/>
                <w:color w:val="FFFFFF" w:themeColor="background1"/>
              </w:rPr>
            </w:pPr>
            <w:r w:rsidRPr="00DA06A0">
              <w:rPr>
                <w:b/>
                <w:bCs w:val="0"/>
                <w:color w:val="FFFFFF" w:themeColor="background1"/>
              </w:rPr>
              <w:t>Determine</w:t>
            </w:r>
          </w:p>
        </w:tc>
        <w:tc>
          <w:tcPr>
            <w:tcW w:w="6082" w:type="dxa"/>
            <w:tcBorders>
              <w:top w:val="single" w:sz="4" w:space="0" w:color="D1D1D1"/>
            </w:tcBorders>
          </w:tcPr>
          <w:p w14:paraId="42F8A087" w14:textId="77DE2B12" w:rsidR="00446DE5" w:rsidRDefault="00446DE5" w:rsidP="00DB2DE3">
            <w:r>
              <w:t>Vacant offices at level with the impacted employee</w:t>
            </w:r>
            <w:r w:rsidR="00F305EA">
              <w:t>(</w:t>
            </w:r>
            <w:r>
              <w:t>s</w:t>
            </w:r>
            <w:r w:rsidR="00F305EA">
              <w:t>)</w:t>
            </w:r>
            <w:r>
              <w:t xml:space="preserve"> </w:t>
            </w:r>
            <w:r w:rsidR="00EA5C65">
              <w:t>exist</w:t>
            </w:r>
            <w:r>
              <w:t xml:space="preserve"> within the agency</w:t>
            </w:r>
            <w:r w:rsidR="00735CCC">
              <w:t>.</w:t>
            </w:r>
          </w:p>
        </w:tc>
        <w:tc>
          <w:tcPr>
            <w:tcW w:w="1560" w:type="dxa"/>
            <w:tcBorders>
              <w:top w:val="single" w:sz="4" w:space="0" w:color="D1D1D1"/>
            </w:tcBorders>
          </w:tcPr>
          <w:p w14:paraId="573342F8" w14:textId="55FC3B37" w:rsidR="00446DE5" w:rsidRDefault="003451B0" w:rsidP="00DB2DE3">
            <w:sdt>
              <w:sdtPr>
                <w:id w:val="281078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D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6DE5">
              <w:t xml:space="preserve"> Yes </w:t>
            </w:r>
            <w:sdt>
              <w:sdtPr>
                <w:id w:val="-1225676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D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6DE5">
              <w:t xml:space="preserve"> No</w:t>
            </w:r>
          </w:p>
        </w:tc>
      </w:tr>
      <w:tr w:rsidR="00446DE5" w14:paraId="0DBB3688" w14:textId="77777777" w:rsidTr="00DA06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289" w:type="dxa"/>
            <w:vMerge/>
            <w:shd w:val="clear" w:color="auto" w:fill="482D8C"/>
          </w:tcPr>
          <w:p w14:paraId="05950D97" w14:textId="77777777" w:rsidR="00446DE5" w:rsidRPr="00DA06A0" w:rsidRDefault="00446DE5" w:rsidP="00DB2DE3">
            <w:pPr>
              <w:rPr>
                <w:b/>
                <w:bCs w:val="0"/>
                <w:color w:val="FFFFFF" w:themeColor="background1"/>
              </w:rPr>
            </w:pPr>
          </w:p>
        </w:tc>
        <w:tc>
          <w:tcPr>
            <w:tcW w:w="6082" w:type="dxa"/>
          </w:tcPr>
          <w:p w14:paraId="4237005E" w14:textId="21275A23" w:rsidR="00446DE5" w:rsidRDefault="00446DE5" w:rsidP="00DB2DE3">
            <w:r>
              <w:t>Vacant offices at level with the impacted employee</w:t>
            </w:r>
            <w:r w:rsidR="00F305EA">
              <w:t>(</w:t>
            </w:r>
            <w:r>
              <w:t>s</w:t>
            </w:r>
            <w:r w:rsidR="00F305EA">
              <w:t>)</w:t>
            </w:r>
            <w:r>
              <w:t xml:space="preserve"> </w:t>
            </w:r>
            <w:r w:rsidR="00EA5C65">
              <w:t xml:space="preserve">exist </w:t>
            </w:r>
            <w:r>
              <w:t>within another agency</w:t>
            </w:r>
            <w:r w:rsidR="00735CCC">
              <w:t>.</w:t>
            </w:r>
          </w:p>
        </w:tc>
        <w:tc>
          <w:tcPr>
            <w:tcW w:w="1560" w:type="dxa"/>
          </w:tcPr>
          <w:p w14:paraId="66BD7244" w14:textId="77777777" w:rsidR="00446DE5" w:rsidRDefault="003451B0" w:rsidP="00DB2DE3">
            <w:sdt>
              <w:sdtPr>
                <w:id w:val="-1863276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D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6DE5">
              <w:t xml:space="preserve"> Yes </w:t>
            </w:r>
            <w:sdt>
              <w:sdtPr>
                <w:id w:val="-2116049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D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6DE5">
              <w:t xml:space="preserve"> No</w:t>
            </w:r>
          </w:p>
          <w:p w14:paraId="5315FDEC" w14:textId="7245FEB7" w:rsidR="00690BC1" w:rsidRDefault="003451B0" w:rsidP="00DB2DE3">
            <w:sdt>
              <w:sdtPr>
                <w:id w:val="-1453238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B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0BC1">
              <w:t xml:space="preserve"> N/A</w:t>
            </w:r>
          </w:p>
        </w:tc>
      </w:tr>
      <w:tr w:rsidR="00446DE5" w14:paraId="495B620F" w14:textId="77777777" w:rsidTr="00DA06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89" w:type="dxa"/>
            <w:vMerge/>
            <w:shd w:val="clear" w:color="auto" w:fill="482D8C"/>
          </w:tcPr>
          <w:p w14:paraId="7791CCD3" w14:textId="375AD5A9" w:rsidR="00446DE5" w:rsidRPr="00DA06A0" w:rsidRDefault="00446DE5" w:rsidP="00DB2DE3">
            <w:pPr>
              <w:rPr>
                <w:b/>
                <w:bCs w:val="0"/>
                <w:color w:val="FFFFFF" w:themeColor="background1"/>
              </w:rPr>
            </w:pPr>
          </w:p>
        </w:tc>
        <w:tc>
          <w:tcPr>
            <w:tcW w:w="6082" w:type="dxa"/>
          </w:tcPr>
          <w:p w14:paraId="2F6BA4AD" w14:textId="7E7745BD" w:rsidR="00446DE5" w:rsidRDefault="00845972" w:rsidP="00DB2DE3">
            <w:r>
              <w:t>If</w:t>
            </w:r>
            <w:r w:rsidR="005A7739">
              <w:t xml:space="preserve"> </w:t>
            </w:r>
            <w:r w:rsidR="00446DE5">
              <w:t xml:space="preserve">no vacant offices </w:t>
            </w:r>
            <w:r w:rsidR="00F305EA">
              <w:t xml:space="preserve">at level </w:t>
            </w:r>
            <w:r w:rsidR="00446DE5">
              <w:t>within the agency or another agency</w:t>
            </w:r>
            <w:r w:rsidR="004122EF">
              <w:t xml:space="preserve"> </w:t>
            </w:r>
            <w:r w:rsidR="00EA5C65">
              <w:t>exist</w:t>
            </w:r>
            <w:r w:rsidR="00446DE5">
              <w:t xml:space="preserve">, </w:t>
            </w:r>
            <w:r w:rsidR="00041796">
              <w:t xml:space="preserve">assessment </w:t>
            </w:r>
            <w:r w:rsidR="00A90186">
              <w:t>escalat</w:t>
            </w:r>
            <w:r>
              <w:t>ed</w:t>
            </w:r>
            <w:r w:rsidR="00A90186">
              <w:t xml:space="preserve"> to the </w:t>
            </w:r>
            <w:r w:rsidR="00446DE5">
              <w:t xml:space="preserve">Human Resources Executive Leadership Committee </w:t>
            </w:r>
            <w:r w:rsidR="00ED4ED3">
              <w:t xml:space="preserve">via </w:t>
            </w:r>
            <w:r w:rsidR="0026598A">
              <w:t xml:space="preserve">email to </w:t>
            </w:r>
            <w:hyperlink r:id="rId19" w:history="1">
              <w:r w:rsidR="0026598A" w:rsidRPr="00E44E79">
                <w:rPr>
                  <w:rStyle w:val="Hyperlink"/>
                </w:rPr>
                <w:t>DDGOIRWS@act.gov.au</w:t>
              </w:r>
            </w:hyperlink>
            <w:r w:rsidR="00ED4ED3">
              <w:t xml:space="preserve"> with the subject “</w:t>
            </w:r>
            <w:r w:rsidR="0026598A">
              <w:t xml:space="preserve">Non-SES </w:t>
            </w:r>
            <w:r w:rsidR="00ED4ED3">
              <w:t>Mobility</w:t>
            </w:r>
            <w:r w:rsidR="0026598A">
              <w:t>.</w:t>
            </w:r>
            <w:r w:rsidR="00ED4ED3">
              <w:t>”</w:t>
            </w:r>
          </w:p>
        </w:tc>
        <w:tc>
          <w:tcPr>
            <w:tcW w:w="1560" w:type="dxa"/>
          </w:tcPr>
          <w:p w14:paraId="7760734B" w14:textId="77777777" w:rsidR="00446DE5" w:rsidRDefault="003451B0" w:rsidP="00DB2DE3">
            <w:sdt>
              <w:sdtPr>
                <w:id w:val="1361630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D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6DE5">
              <w:t xml:space="preserve"> Yes </w:t>
            </w:r>
            <w:sdt>
              <w:sdtPr>
                <w:id w:val="2082482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D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6DE5">
              <w:t xml:space="preserve"> No</w:t>
            </w:r>
          </w:p>
          <w:p w14:paraId="4F995B96" w14:textId="26506077" w:rsidR="003D5DC1" w:rsidRDefault="003451B0" w:rsidP="00DB2DE3">
            <w:sdt>
              <w:sdtPr>
                <w:id w:val="-701548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D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D5DC1">
              <w:t xml:space="preserve"> N/A</w:t>
            </w:r>
          </w:p>
        </w:tc>
      </w:tr>
      <w:tr w:rsidR="00446DE5" w14:paraId="6A52E46D" w14:textId="77777777" w:rsidTr="00DA06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289" w:type="dxa"/>
            <w:vMerge/>
            <w:shd w:val="clear" w:color="auto" w:fill="482D8C"/>
          </w:tcPr>
          <w:p w14:paraId="6B6BF0DE" w14:textId="77777777" w:rsidR="00446DE5" w:rsidRPr="00DA06A0" w:rsidRDefault="00446DE5" w:rsidP="00DB2DE3">
            <w:pPr>
              <w:rPr>
                <w:b/>
                <w:bCs w:val="0"/>
                <w:color w:val="FFFFFF" w:themeColor="background1"/>
              </w:rPr>
            </w:pPr>
          </w:p>
        </w:tc>
        <w:tc>
          <w:tcPr>
            <w:tcW w:w="6082" w:type="dxa"/>
          </w:tcPr>
          <w:p w14:paraId="27047753" w14:textId="7DB9A948" w:rsidR="00446DE5" w:rsidRDefault="00446DE5" w:rsidP="00DB2DE3">
            <w:r>
              <w:t>Employee</w:t>
            </w:r>
            <w:r w:rsidR="00F305EA">
              <w:t>(</w:t>
            </w:r>
            <w:r>
              <w:t>s</w:t>
            </w:r>
            <w:r w:rsidR="00F305EA">
              <w:t>)</w:t>
            </w:r>
            <w:r>
              <w:t xml:space="preserve"> consulted on mobility option(s) and provided </w:t>
            </w:r>
            <w:r w:rsidR="00A53B22">
              <w:t xml:space="preserve">with </w:t>
            </w:r>
            <w:r>
              <w:t>written information for their consideration</w:t>
            </w:r>
            <w:r w:rsidR="00735CCC">
              <w:t>.</w:t>
            </w:r>
          </w:p>
        </w:tc>
        <w:tc>
          <w:tcPr>
            <w:tcW w:w="1560" w:type="dxa"/>
          </w:tcPr>
          <w:p w14:paraId="71627C99" w14:textId="734A4601" w:rsidR="00446DE5" w:rsidRDefault="003451B0" w:rsidP="00DB2DE3">
            <w:sdt>
              <w:sdtPr>
                <w:id w:val="-2119208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D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6DE5">
              <w:t xml:space="preserve"> Yes </w:t>
            </w:r>
            <w:sdt>
              <w:sdtPr>
                <w:id w:val="74248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D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6DE5">
              <w:t xml:space="preserve"> No</w:t>
            </w:r>
          </w:p>
        </w:tc>
      </w:tr>
      <w:tr w:rsidR="00446DE5" w14:paraId="25E8DE0E" w14:textId="77777777" w:rsidTr="00DA06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89" w:type="dxa"/>
            <w:vMerge/>
            <w:shd w:val="clear" w:color="auto" w:fill="482D8C"/>
          </w:tcPr>
          <w:p w14:paraId="15D39A0C" w14:textId="77777777" w:rsidR="00446DE5" w:rsidRPr="00DA06A0" w:rsidRDefault="00446DE5" w:rsidP="00F05161">
            <w:pPr>
              <w:rPr>
                <w:b/>
                <w:bCs w:val="0"/>
                <w:color w:val="FFFFFF" w:themeColor="background1"/>
              </w:rPr>
            </w:pPr>
          </w:p>
        </w:tc>
        <w:tc>
          <w:tcPr>
            <w:tcW w:w="6082" w:type="dxa"/>
          </w:tcPr>
          <w:p w14:paraId="71C97B6C" w14:textId="56A034AD" w:rsidR="00446DE5" w:rsidRDefault="00446DE5" w:rsidP="00F05161">
            <w:r>
              <w:t>Employee feedback on the proposed movement received and considered as part of the decision-making process</w:t>
            </w:r>
            <w:r w:rsidR="00735CCC">
              <w:t>.</w:t>
            </w:r>
          </w:p>
        </w:tc>
        <w:tc>
          <w:tcPr>
            <w:tcW w:w="1560" w:type="dxa"/>
          </w:tcPr>
          <w:p w14:paraId="5990DFDC" w14:textId="538D8E3E" w:rsidR="00446DE5" w:rsidRDefault="003451B0" w:rsidP="00F05161">
            <w:sdt>
              <w:sdtPr>
                <w:id w:val="-177093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D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6DE5">
              <w:t xml:space="preserve"> Yes </w:t>
            </w:r>
            <w:sdt>
              <w:sdtPr>
                <w:id w:val="-1214643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D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6DE5">
              <w:t xml:space="preserve"> No</w:t>
            </w:r>
          </w:p>
        </w:tc>
      </w:tr>
      <w:tr w:rsidR="00446DE5" w14:paraId="10A60E82" w14:textId="77777777" w:rsidTr="00DA06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289" w:type="dxa"/>
            <w:vMerge/>
            <w:shd w:val="clear" w:color="auto" w:fill="482D8C"/>
          </w:tcPr>
          <w:p w14:paraId="619D99F2" w14:textId="40911A17" w:rsidR="00446DE5" w:rsidRPr="00DA06A0" w:rsidRDefault="00446DE5" w:rsidP="00F05161">
            <w:pPr>
              <w:rPr>
                <w:b/>
                <w:bCs w:val="0"/>
                <w:color w:val="FFFFFF" w:themeColor="background1"/>
              </w:rPr>
            </w:pPr>
          </w:p>
        </w:tc>
        <w:tc>
          <w:tcPr>
            <w:tcW w:w="6082" w:type="dxa"/>
          </w:tcPr>
          <w:p w14:paraId="7AE2C0C7" w14:textId="542DFB07" w:rsidR="00446DE5" w:rsidRDefault="00446DE5" w:rsidP="00F05161">
            <w:r>
              <w:t xml:space="preserve">Decision brief </w:t>
            </w:r>
            <w:r w:rsidR="00C02A8E">
              <w:t>to</w:t>
            </w:r>
            <w:r>
              <w:t xml:space="preserve"> move the employee(s) prepared </w:t>
            </w:r>
            <w:r w:rsidR="00C02A8E">
              <w:t>for</w:t>
            </w:r>
            <w:r>
              <w:t xml:space="preserve"> the:</w:t>
            </w:r>
          </w:p>
          <w:p w14:paraId="3051F42F" w14:textId="750EAD72" w:rsidR="00446DE5" w:rsidRDefault="009F2B1D" w:rsidP="00F05161">
            <w:pPr>
              <w:pStyle w:val="ListParagraph"/>
              <w:numPr>
                <w:ilvl w:val="0"/>
                <w:numId w:val="15"/>
              </w:numPr>
            </w:pPr>
            <w:r>
              <w:t>D</w:t>
            </w:r>
            <w:r w:rsidR="00446DE5">
              <w:t>irector-</w:t>
            </w:r>
            <w:r>
              <w:t>G</w:t>
            </w:r>
            <w:r w:rsidR="00446DE5">
              <w:t>eneral for movement within the agency; or</w:t>
            </w:r>
          </w:p>
          <w:p w14:paraId="7627BD04" w14:textId="5B11C50F" w:rsidR="00446DE5" w:rsidRDefault="00446DE5" w:rsidP="00F05161">
            <w:pPr>
              <w:pStyle w:val="ListParagraph"/>
              <w:numPr>
                <w:ilvl w:val="0"/>
                <w:numId w:val="15"/>
              </w:numPr>
            </w:pPr>
            <w:r>
              <w:t>D</w:t>
            </w:r>
            <w:r w:rsidR="009F2B1D">
              <w:t>DG OIRWS</w:t>
            </w:r>
            <w:r>
              <w:t xml:space="preserve"> for moves between agencies</w:t>
            </w:r>
            <w:r w:rsidR="00735CCC">
              <w:t>.</w:t>
            </w:r>
          </w:p>
        </w:tc>
        <w:tc>
          <w:tcPr>
            <w:tcW w:w="1560" w:type="dxa"/>
          </w:tcPr>
          <w:p w14:paraId="6D8B3611" w14:textId="57A3E68B" w:rsidR="00446DE5" w:rsidRDefault="003451B0" w:rsidP="00F05161">
            <w:sdt>
              <w:sdtPr>
                <w:id w:val="114945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D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6DE5">
              <w:t xml:space="preserve"> Yes </w:t>
            </w:r>
            <w:sdt>
              <w:sdtPr>
                <w:id w:val="-1566795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D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6DE5">
              <w:t xml:space="preserve"> No</w:t>
            </w:r>
          </w:p>
        </w:tc>
      </w:tr>
      <w:tr w:rsidR="00446DE5" w14:paraId="5B3D8B56" w14:textId="77777777" w:rsidTr="00E94F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89" w:type="dxa"/>
            <w:vMerge/>
            <w:shd w:val="clear" w:color="auto" w:fill="482D8C"/>
          </w:tcPr>
          <w:p w14:paraId="4072E9ED" w14:textId="77777777" w:rsidR="00446DE5" w:rsidRPr="00DA06A0" w:rsidRDefault="00446DE5" w:rsidP="00F05161">
            <w:pPr>
              <w:rPr>
                <w:b/>
                <w:bCs w:val="0"/>
                <w:color w:val="FFFFFF" w:themeColor="background1"/>
              </w:rPr>
            </w:pPr>
          </w:p>
        </w:tc>
        <w:tc>
          <w:tcPr>
            <w:tcW w:w="6082" w:type="dxa"/>
            <w:tcBorders>
              <w:bottom w:val="single" w:sz="4" w:space="0" w:color="D1D1D1"/>
            </w:tcBorders>
          </w:tcPr>
          <w:p w14:paraId="1384FAB3" w14:textId="53C1C616" w:rsidR="00446DE5" w:rsidRDefault="00446DE5" w:rsidP="00F05161">
            <w:r>
              <w:t xml:space="preserve">Signed brief </w:t>
            </w:r>
            <w:r w:rsidR="00C67C11">
              <w:t xml:space="preserve">received </w:t>
            </w:r>
            <w:r>
              <w:t xml:space="preserve">from the </w:t>
            </w:r>
            <w:r w:rsidR="009F2B1D">
              <w:t>D</w:t>
            </w:r>
            <w:r>
              <w:t>irector-</w:t>
            </w:r>
            <w:r w:rsidR="009F2B1D">
              <w:t>G</w:t>
            </w:r>
            <w:r>
              <w:t>eneral or D</w:t>
            </w:r>
            <w:r w:rsidR="009F2B1D">
              <w:t>DG OIRWS</w:t>
            </w:r>
            <w:r w:rsidR="00735CCC">
              <w:t>.</w:t>
            </w:r>
          </w:p>
        </w:tc>
        <w:tc>
          <w:tcPr>
            <w:tcW w:w="1560" w:type="dxa"/>
            <w:tcBorders>
              <w:bottom w:val="single" w:sz="4" w:space="0" w:color="D1D1D1"/>
            </w:tcBorders>
          </w:tcPr>
          <w:p w14:paraId="6F925115" w14:textId="7D6FD2B5" w:rsidR="00446DE5" w:rsidRDefault="003451B0" w:rsidP="00F05161">
            <w:sdt>
              <w:sdtPr>
                <w:id w:val="244078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D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6DE5">
              <w:t xml:space="preserve"> Yes </w:t>
            </w:r>
            <w:sdt>
              <w:sdtPr>
                <w:id w:val="-1372300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D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6DE5">
              <w:t xml:space="preserve"> No</w:t>
            </w:r>
          </w:p>
        </w:tc>
      </w:tr>
      <w:tr w:rsidR="00DA06A0" w14:paraId="0169893C" w14:textId="77777777" w:rsidTr="00E94F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289" w:type="dxa"/>
            <w:vMerge w:val="restart"/>
            <w:tcBorders>
              <w:top w:val="single" w:sz="4" w:space="0" w:color="D1D1D1"/>
            </w:tcBorders>
            <w:shd w:val="clear" w:color="auto" w:fill="482D8C"/>
            <w:vAlign w:val="center"/>
          </w:tcPr>
          <w:p w14:paraId="6CF4E5D1" w14:textId="7764F2F6" w:rsidR="00DA06A0" w:rsidRPr="00DA06A0" w:rsidRDefault="00DA06A0" w:rsidP="00DA06A0">
            <w:pPr>
              <w:rPr>
                <w:b/>
                <w:bCs w:val="0"/>
                <w:color w:val="FFFFFF" w:themeColor="background1"/>
              </w:rPr>
            </w:pPr>
            <w:r w:rsidRPr="00DA06A0">
              <w:rPr>
                <w:b/>
                <w:bCs w:val="0"/>
                <w:color w:val="FFFFFF" w:themeColor="background1"/>
              </w:rPr>
              <w:lastRenderedPageBreak/>
              <w:t>Action</w:t>
            </w:r>
          </w:p>
        </w:tc>
        <w:tc>
          <w:tcPr>
            <w:tcW w:w="6082" w:type="dxa"/>
            <w:tcBorders>
              <w:top w:val="single" w:sz="4" w:space="0" w:color="D1D1D1"/>
            </w:tcBorders>
          </w:tcPr>
          <w:p w14:paraId="0A216336" w14:textId="4BD91A93" w:rsidR="00DA06A0" w:rsidRDefault="00DA06A0" w:rsidP="00F05161">
            <w:r>
              <w:t>Written notice of decision issued to the employee</w:t>
            </w:r>
            <w:r w:rsidR="00735CCC">
              <w:t>.</w:t>
            </w:r>
          </w:p>
        </w:tc>
        <w:tc>
          <w:tcPr>
            <w:tcW w:w="1560" w:type="dxa"/>
            <w:tcBorders>
              <w:top w:val="single" w:sz="4" w:space="0" w:color="D1D1D1"/>
            </w:tcBorders>
          </w:tcPr>
          <w:p w14:paraId="3DE7D1D4" w14:textId="76DA2C63" w:rsidR="00DA06A0" w:rsidRDefault="003451B0" w:rsidP="00F05161">
            <w:sdt>
              <w:sdtPr>
                <w:id w:val="-1952396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6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06A0">
              <w:t xml:space="preserve"> Yes </w:t>
            </w:r>
            <w:sdt>
              <w:sdtPr>
                <w:id w:val="-771618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6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06A0">
              <w:t xml:space="preserve"> No</w:t>
            </w:r>
          </w:p>
        </w:tc>
      </w:tr>
      <w:tr w:rsidR="00DA06A0" w14:paraId="13AB824C" w14:textId="77777777" w:rsidTr="00DA06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89" w:type="dxa"/>
            <w:vMerge/>
            <w:shd w:val="clear" w:color="auto" w:fill="482D8C"/>
          </w:tcPr>
          <w:p w14:paraId="5818F6E0" w14:textId="755376DB" w:rsidR="00DA06A0" w:rsidRPr="0000442A" w:rsidRDefault="00DA06A0" w:rsidP="00F05161">
            <w:pPr>
              <w:rPr>
                <w:b/>
                <w:bCs w:val="0"/>
              </w:rPr>
            </w:pPr>
          </w:p>
        </w:tc>
        <w:tc>
          <w:tcPr>
            <w:tcW w:w="6082" w:type="dxa"/>
          </w:tcPr>
          <w:p w14:paraId="0C9AF85E" w14:textId="4AB1B717" w:rsidR="00FF7EA4" w:rsidRDefault="008636A1" w:rsidP="00F05161">
            <w:r>
              <w:t xml:space="preserve">Where an employee is being moved, </w:t>
            </w:r>
            <w:r w:rsidR="00DA06A0">
              <w:t xml:space="preserve">OneService Recruitment </w:t>
            </w:r>
            <w:r>
              <w:t>n</w:t>
            </w:r>
            <w:r w:rsidR="00DA06A0">
              <w:t xml:space="preserve">otified </w:t>
            </w:r>
            <w:r>
              <w:t>and provided with</w:t>
            </w:r>
            <w:r w:rsidR="00BC0E7C">
              <w:t xml:space="preserve"> the</w:t>
            </w:r>
            <w:r w:rsidR="00FF7EA4">
              <w:t>:</w:t>
            </w:r>
          </w:p>
          <w:p w14:paraId="5AE64189" w14:textId="743B5E06" w:rsidR="005D7786" w:rsidRDefault="00EE2A94" w:rsidP="00FF7EA4">
            <w:pPr>
              <w:pStyle w:val="ListParagraph"/>
              <w:numPr>
                <w:ilvl w:val="0"/>
                <w:numId w:val="16"/>
              </w:numPr>
            </w:pPr>
            <w:r>
              <w:t>e</w:t>
            </w:r>
            <w:r w:rsidR="005D7786">
              <w:t>mployee’s current position number</w:t>
            </w:r>
          </w:p>
          <w:p w14:paraId="751007D2" w14:textId="35CDDA1D" w:rsidR="00EE2A94" w:rsidRDefault="00EE2A94" w:rsidP="00FF7EA4">
            <w:pPr>
              <w:pStyle w:val="ListParagraph"/>
              <w:numPr>
                <w:ilvl w:val="0"/>
                <w:numId w:val="16"/>
              </w:numPr>
            </w:pPr>
            <w:r>
              <w:t>employee’s new position number</w:t>
            </w:r>
          </w:p>
          <w:p w14:paraId="3D133B80" w14:textId="79DEA63E" w:rsidR="00667E05" w:rsidRDefault="00667E05" w:rsidP="00FF7EA4">
            <w:pPr>
              <w:pStyle w:val="ListParagraph"/>
              <w:numPr>
                <w:ilvl w:val="0"/>
                <w:numId w:val="16"/>
              </w:numPr>
            </w:pPr>
            <w:r>
              <w:t>employee’s current and new agency (where applicable)</w:t>
            </w:r>
          </w:p>
          <w:p w14:paraId="36BA38C8" w14:textId="692C131D" w:rsidR="009440D1" w:rsidRDefault="00DA06A0" w:rsidP="00FF7EA4">
            <w:pPr>
              <w:pStyle w:val="ListParagraph"/>
              <w:numPr>
                <w:ilvl w:val="0"/>
                <w:numId w:val="16"/>
              </w:numPr>
            </w:pPr>
            <w:r>
              <w:t>commencement date</w:t>
            </w:r>
            <w:r w:rsidR="005D7786">
              <w:t>;</w:t>
            </w:r>
          </w:p>
          <w:p w14:paraId="66B91006" w14:textId="77777777" w:rsidR="00D915C3" w:rsidRDefault="00DA06A0" w:rsidP="00FF7EA4">
            <w:pPr>
              <w:pStyle w:val="ListParagraph"/>
              <w:numPr>
                <w:ilvl w:val="0"/>
                <w:numId w:val="16"/>
              </w:numPr>
            </w:pPr>
            <w:r>
              <w:t>duration (where applicable)</w:t>
            </w:r>
            <w:r w:rsidR="005D7786">
              <w:t xml:space="preserve">; </w:t>
            </w:r>
          </w:p>
          <w:p w14:paraId="0E9C3081" w14:textId="6A13CAE3" w:rsidR="009440D1" w:rsidRDefault="00D915C3" w:rsidP="00FF7EA4">
            <w:pPr>
              <w:pStyle w:val="ListParagraph"/>
              <w:numPr>
                <w:ilvl w:val="0"/>
                <w:numId w:val="16"/>
              </w:numPr>
            </w:pPr>
            <w:r>
              <w:t xml:space="preserve">approver of the movement; </w:t>
            </w:r>
            <w:r w:rsidR="005D7786">
              <w:t>and</w:t>
            </w:r>
          </w:p>
          <w:p w14:paraId="50C3CE89" w14:textId="039D4E20" w:rsidR="00DA06A0" w:rsidRDefault="00DA06A0" w:rsidP="00FF7EA4">
            <w:pPr>
              <w:pStyle w:val="ListParagraph"/>
              <w:numPr>
                <w:ilvl w:val="0"/>
                <w:numId w:val="16"/>
              </w:numPr>
            </w:pPr>
            <w:r>
              <w:t>date the move was approved</w:t>
            </w:r>
            <w:r w:rsidR="005D7786">
              <w:t>.</w:t>
            </w:r>
          </w:p>
        </w:tc>
        <w:tc>
          <w:tcPr>
            <w:tcW w:w="1560" w:type="dxa"/>
          </w:tcPr>
          <w:p w14:paraId="02D72B79" w14:textId="595CC65F" w:rsidR="00DA06A0" w:rsidRDefault="003451B0" w:rsidP="00F05161">
            <w:sdt>
              <w:sdtPr>
                <w:id w:val="1439405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6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06A0">
              <w:t xml:space="preserve"> Yes </w:t>
            </w:r>
            <w:sdt>
              <w:sdtPr>
                <w:id w:val="965856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6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06A0">
              <w:t xml:space="preserve"> No</w:t>
            </w:r>
          </w:p>
        </w:tc>
      </w:tr>
    </w:tbl>
    <w:p w14:paraId="6CE7EC2D" w14:textId="77777777" w:rsidR="00C041DD" w:rsidRDefault="00C041DD" w:rsidP="00C041DD">
      <w:pPr>
        <w:rPr>
          <w:sz w:val="2"/>
          <w:szCs w:val="2"/>
        </w:rPr>
      </w:pPr>
    </w:p>
    <w:p w14:paraId="43DEDB25" w14:textId="77777777" w:rsidR="007867F2" w:rsidRDefault="007867F2" w:rsidP="00C041DD">
      <w:pPr>
        <w:rPr>
          <w:sz w:val="2"/>
          <w:szCs w:val="2"/>
        </w:rPr>
      </w:pPr>
    </w:p>
    <w:p w14:paraId="5FDDDD50" w14:textId="5D803255" w:rsidR="007867F2" w:rsidRDefault="007867F2">
      <w:pPr>
        <w:spacing w:before="0" w:after="0"/>
        <w:rPr>
          <w:sz w:val="2"/>
          <w:szCs w:val="2"/>
        </w:rPr>
      </w:pPr>
      <w:r>
        <w:rPr>
          <w:sz w:val="2"/>
          <w:szCs w:val="2"/>
        </w:rPr>
        <w:br w:type="page"/>
      </w:r>
    </w:p>
    <w:p w14:paraId="2E27EE47" w14:textId="6BFCE982" w:rsidR="007867F2" w:rsidRDefault="007867F2" w:rsidP="007867F2">
      <w:pPr>
        <w:pStyle w:val="Heading2"/>
      </w:pPr>
      <w:bookmarkStart w:id="8" w:name="_Attachment_B_–"/>
      <w:bookmarkEnd w:id="8"/>
      <w:r w:rsidRPr="0085459C">
        <w:lastRenderedPageBreak/>
        <w:t>Attachment B – SES Employee Mobility Checklist</w:t>
      </w:r>
    </w:p>
    <w:tbl>
      <w:tblPr>
        <w:tblStyle w:val="ARFinancialsTable"/>
        <w:tblW w:w="0" w:type="auto"/>
        <w:tblLook w:val="04A0" w:firstRow="1" w:lastRow="0" w:firstColumn="1" w:lastColumn="0" w:noHBand="0" w:noVBand="1"/>
      </w:tblPr>
      <w:tblGrid>
        <w:gridCol w:w="1289"/>
        <w:gridCol w:w="6082"/>
        <w:gridCol w:w="1560"/>
      </w:tblGrid>
      <w:tr w:rsidR="007867F2" w14:paraId="71804F5D" w14:textId="77777777" w:rsidTr="00304A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89" w:type="dxa"/>
            <w:tcBorders>
              <w:bottom w:val="single" w:sz="4" w:space="0" w:color="D1D1D1" w:themeColor="background2" w:themeShade="E6"/>
            </w:tcBorders>
          </w:tcPr>
          <w:p w14:paraId="4CECEE50" w14:textId="77777777" w:rsidR="007867F2" w:rsidRDefault="007867F2" w:rsidP="00304AD4">
            <w:r>
              <w:t>Stage</w:t>
            </w:r>
          </w:p>
        </w:tc>
        <w:tc>
          <w:tcPr>
            <w:tcW w:w="6082" w:type="dxa"/>
            <w:tcBorders>
              <w:bottom w:val="single" w:sz="4" w:space="0" w:color="D1D1D1" w:themeColor="background2" w:themeShade="E6"/>
            </w:tcBorders>
          </w:tcPr>
          <w:p w14:paraId="387F48B5" w14:textId="77777777" w:rsidR="007867F2" w:rsidRDefault="007867F2" w:rsidP="00304AD4">
            <w:r>
              <w:t>Activity</w:t>
            </w:r>
          </w:p>
        </w:tc>
        <w:tc>
          <w:tcPr>
            <w:tcW w:w="1560" w:type="dxa"/>
            <w:tcBorders>
              <w:bottom w:val="single" w:sz="4" w:space="0" w:color="D1D1D1" w:themeColor="background2" w:themeShade="E6"/>
            </w:tcBorders>
          </w:tcPr>
          <w:p w14:paraId="061512D6" w14:textId="77777777" w:rsidR="007867F2" w:rsidRDefault="007867F2" w:rsidP="00304AD4">
            <w:r>
              <w:t>Complete</w:t>
            </w:r>
          </w:p>
        </w:tc>
      </w:tr>
      <w:tr w:rsidR="007867F2" w14:paraId="3A363228" w14:textId="77777777" w:rsidTr="00304A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89" w:type="dxa"/>
            <w:vMerge w:val="restart"/>
            <w:tcBorders>
              <w:top w:val="single" w:sz="4" w:space="0" w:color="D1D1D1" w:themeColor="background2" w:themeShade="E6"/>
            </w:tcBorders>
            <w:shd w:val="clear" w:color="auto" w:fill="482D8C"/>
            <w:vAlign w:val="center"/>
          </w:tcPr>
          <w:p w14:paraId="6271A8C1" w14:textId="77777777" w:rsidR="007867F2" w:rsidRPr="00DA06A0" w:rsidRDefault="007867F2" w:rsidP="00304AD4">
            <w:pPr>
              <w:rPr>
                <w:b/>
                <w:bCs w:val="0"/>
                <w:color w:val="FFFFFF" w:themeColor="background1"/>
              </w:rPr>
            </w:pPr>
            <w:r w:rsidRPr="00DA06A0">
              <w:rPr>
                <w:b/>
                <w:bCs w:val="0"/>
                <w:color w:val="FFFFFF" w:themeColor="background1"/>
              </w:rPr>
              <w:t>Identify</w:t>
            </w:r>
          </w:p>
        </w:tc>
        <w:tc>
          <w:tcPr>
            <w:tcW w:w="6082" w:type="dxa"/>
            <w:tcBorders>
              <w:top w:val="single" w:sz="4" w:space="0" w:color="D1D1D1" w:themeColor="background2" w:themeShade="E6"/>
            </w:tcBorders>
          </w:tcPr>
          <w:p w14:paraId="3D63EBA0" w14:textId="06A51B07" w:rsidR="007867F2" w:rsidRDefault="00A446E8" w:rsidP="00304AD4">
            <w:r>
              <w:t>A SES member has made a written request to be moved at level within the agency or to another agency</w:t>
            </w:r>
            <w:r w:rsidR="00494E05">
              <w:t xml:space="preserve"> </w:t>
            </w:r>
            <w:r w:rsidR="00494E05" w:rsidRPr="00494E05">
              <w:rPr>
                <w:b/>
                <w:bCs w:val="0"/>
                <w:i/>
                <w:iCs w:val="0"/>
                <w:u w:val="single"/>
              </w:rPr>
              <w:t>or</w:t>
            </w:r>
            <w:r w:rsidR="007867F2" w:rsidRPr="00494E05">
              <w:rPr>
                <w:b/>
                <w:bCs w:val="0"/>
                <w:i/>
                <w:iCs w:val="0"/>
                <w:u w:val="single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D1D1D1" w:themeColor="background2" w:themeShade="E6"/>
            </w:tcBorders>
          </w:tcPr>
          <w:p w14:paraId="3D53281A" w14:textId="18B13E65" w:rsidR="0026598A" w:rsidRDefault="003451B0" w:rsidP="00304AD4">
            <w:sdt>
              <w:sdtPr>
                <w:id w:val="-1602483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4B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67F2">
              <w:t xml:space="preserve"> Yes </w:t>
            </w:r>
            <w:sdt>
              <w:sdtPr>
                <w:id w:val="247399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7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67F2">
              <w:t xml:space="preserve"> No</w:t>
            </w:r>
          </w:p>
        </w:tc>
      </w:tr>
      <w:tr w:rsidR="007C7A30" w14:paraId="3D168606" w14:textId="77777777" w:rsidTr="00304A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289" w:type="dxa"/>
            <w:vMerge/>
            <w:tcBorders>
              <w:top w:val="single" w:sz="4" w:space="0" w:color="D1D1D1" w:themeColor="background2" w:themeShade="E6"/>
            </w:tcBorders>
            <w:shd w:val="clear" w:color="auto" w:fill="482D8C"/>
            <w:vAlign w:val="center"/>
          </w:tcPr>
          <w:p w14:paraId="48103473" w14:textId="77777777" w:rsidR="007C7A30" w:rsidRPr="00DA06A0" w:rsidRDefault="007C7A30" w:rsidP="00304AD4">
            <w:pPr>
              <w:rPr>
                <w:b/>
                <w:bCs w:val="0"/>
                <w:color w:val="FFFFFF" w:themeColor="background1"/>
              </w:rPr>
            </w:pPr>
          </w:p>
        </w:tc>
        <w:tc>
          <w:tcPr>
            <w:tcW w:w="6082" w:type="dxa"/>
            <w:tcBorders>
              <w:top w:val="single" w:sz="4" w:space="0" w:color="D1D1D1" w:themeColor="background2" w:themeShade="E6"/>
            </w:tcBorders>
          </w:tcPr>
          <w:p w14:paraId="1FC5948F" w14:textId="3A4E8DCD" w:rsidR="007C7A30" w:rsidRDefault="007C7A30" w:rsidP="00304AD4">
            <w:r>
              <w:t>The Director-General has formed the view that mobilising the SES member is “required for the efficient and effective management of the service</w:t>
            </w:r>
            <w:r w:rsidR="00B954B6">
              <w:t>.</w:t>
            </w:r>
            <w:r>
              <w:t>”</w:t>
            </w:r>
          </w:p>
          <w:p w14:paraId="6C1945AD" w14:textId="77777777" w:rsidR="007C7A30" w:rsidRDefault="007C7A30" w:rsidP="00304AD4">
            <w:r>
              <w:t>Relevant considerations include:</w:t>
            </w:r>
          </w:p>
          <w:p w14:paraId="61948FF6" w14:textId="447DFAC2" w:rsidR="007C7A30" w:rsidRDefault="007C7A30" w:rsidP="00B954B6">
            <w:pPr>
              <w:pStyle w:val="ListParagraph"/>
              <w:numPr>
                <w:ilvl w:val="0"/>
                <w:numId w:val="20"/>
              </w:numPr>
            </w:pPr>
            <w:r>
              <w:t>are existing work programs ceasing or being reduced that would result in SES mobilisation?</w:t>
            </w:r>
          </w:p>
          <w:p w14:paraId="77C7E344" w14:textId="7ECEB281" w:rsidR="007C7A30" w:rsidRDefault="007C7A30" w:rsidP="00B954B6">
            <w:pPr>
              <w:pStyle w:val="ListParagraph"/>
              <w:numPr>
                <w:ilvl w:val="0"/>
                <w:numId w:val="20"/>
              </w:numPr>
            </w:pPr>
            <w:r>
              <w:t>are new work programs commencing that require SES mobilisation?</w:t>
            </w:r>
          </w:p>
          <w:p w14:paraId="055AC786" w14:textId="77777777" w:rsidR="00B954B6" w:rsidRDefault="00CB6E28" w:rsidP="00B954B6">
            <w:pPr>
              <w:pStyle w:val="ListParagraph"/>
              <w:numPr>
                <w:ilvl w:val="0"/>
                <w:numId w:val="20"/>
              </w:numPr>
            </w:pPr>
            <w:r>
              <w:t>are there other reasons that have resulted in your view that the movement of the SES member is required for the efficient and effective management of the service?</w:t>
            </w:r>
          </w:p>
          <w:p w14:paraId="30B8FDAA" w14:textId="37C1154C" w:rsidR="00CB6E28" w:rsidRPr="00B954B6" w:rsidRDefault="00CB6E28" w:rsidP="00B954B6">
            <w:pPr>
              <w:pStyle w:val="ListParagraph"/>
            </w:pPr>
            <w:r w:rsidRPr="00B954B6">
              <w:rPr>
                <w:i/>
                <w:iCs w:val="0"/>
              </w:rPr>
              <w:t>Consider making a file note to support this view.</w:t>
            </w:r>
          </w:p>
        </w:tc>
        <w:tc>
          <w:tcPr>
            <w:tcW w:w="1560" w:type="dxa"/>
            <w:tcBorders>
              <w:top w:val="single" w:sz="4" w:space="0" w:color="D1D1D1" w:themeColor="background2" w:themeShade="E6"/>
            </w:tcBorders>
          </w:tcPr>
          <w:p w14:paraId="77566452" w14:textId="77777777" w:rsidR="00B954B6" w:rsidRDefault="003451B0" w:rsidP="00B954B6">
            <w:sdt>
              <w:sdtPr>
                <w:id w:val="-634260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4B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54B6">
              <w:t xml:space="preserve"> Yes </w:t>
            </w:r>
            <w:sdt>
              <w:sdtPr>
                <w:id w:val="748006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4B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54B6">
              <w:t xml:space="preserve"> No</w:t>
            </w:r>
          </w:p>
          <w:p w14:paraId="43E82D16" w14:textId="4853942D" w:rsidR="007C7A30" w:rsidRDefault="003451B0" w:rsidP="00B954B6">
            <w:sdt>
              <w:sdtPr>
                <w:id w:val="-341088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4B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54B6">
              <w:t xml:space="preserve"> N/A</w:t>
            </w:r>
          </w:p>
        </w:tc>
      </w:tr>
      <w:tr w:rsidR="007867F2" w14:paraId="13885618" w14:textId="77777777" w:rsidTr="00304A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89" w:type="dxa"/>
            <w:vMerge w:val="restart"/>
            <w:tcBorders>
              <w:top w:val="single" w:sz="4" w:space="0" w:color="D1D1D1"/>
            </w:tcBorders>
            <w:shd w:val="clear" w:color="auto" w:fill="482D8C"/>
            <w:vAlign w:val="center"/>
          </w:tcPr>
          <w:p w14:paraId="73B9C43E" w14:textId="77777777" w:rsidR="007867F2" w:rsidRPr="00DA06A0" w:rsidRDefault="007867F2" w:rsidP="00304AD4">
            <w:pPr>
              <w:rPr>
                <w:b/>
                <w:bCs w:val="0"/>
                <w:color w:val="FFFFFF" w:themeColor="background1"/>
              </w:rPr>
            </w:pPr>
            <w:r w:rsidRPr="00DA06A0">
              <w:rPr>
                <w:b/>
                <w:bCs w:val="0"/>
                <w:color w:val="FFFFFF" w:themeColor="background1"/>
              </w:rPr>
              <w:t>Determine</w:t>
            </w:r>
          </w:p>
        </w:tc>
        <w:tc>
          <w:tcPr>
            <w:tcW w:w="6082" w:type="dxa"/>
            <w:tcBorders>
              <w:top w:val="single" w:sz="4" w:space="0" w:color="D1D1D1"/>
            </w:tcBorders>
          </w:tcPr>
          <w:p w14:paraId="38AA743D" w14:textId="3A1D8F80" w:rsidR="007867F2" w:rsidRDefault="007867F2" w:rsidP="00304AD4">
            <w:r>
              <w:t xml:space="preserve">Vacant offices at level with the </w:t>
            </w:r>
            <w:r w:rsidR="0026598A">
              <w:t>SES member</w:t>
            </w:r>
            <w:r>
              <w:t>(s) exist within the agency</w:t>
            </w:r>
            <w:r w:rsidR="00735CCC">
              <w:t>.</w:t>
            </w:r>
          </w:p>
        </w:tc>
        <w:tc>
          <w:tcPr>
            <w:tcW w:w="1560" w:type="dxa"/>
            <w:tcBorders>
              <w:top w:val="single" w:sz="4" w:space="0" w:color="D1D1D1"/>
            </w:tcBorders>
          </w:tcPr>
          <w:p w14:paraId="7E3A096B" w14:textId="77777777" w:rsidR="007867F2" w:rsidRDefault="003451B0" w:rsidP="00304AD4">
            <w:sdt>
              <w:sdtPr>
                <w:id w:val="-746716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7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67F2">
              <w:t xml:space="preserve"> Yes </w:t>
            </w:r>
            <w:sdt>
              <w:sdtPr>
                <w:id w:val="1171451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7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67F2">
              <w:t xml:space="preserve"> No</w:t>
            </w:r>
          </w:p>
        </w:tc>
      </w:tr>
      <w:tr w:rsidR="007867F2" w14:paraId="1C58AA1B" w14:textId="77777777" w:rsidTr="00304A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289" w:type="dxa"/>
            <w:vMerge/>
            <w:shd w:val="clear" w:color="auto" w:fill="482D8C"/>
          </w:tcPr>
          <w:p w14:paraId="705B92E2" w14:textId="77777777" w:rsidR="007867F2" w:rsidRPr="00DA06A0" w:rsidRDefault="007867F2" w:rsidP="00304AD4">
            <w:pPr>
              <w:rPr>
                <w:b/>
                <w:bCs w:val="0"/>
                <w:color w:val="FFFFFF" w:themeColor="background1"/>
              </w:rPr>
            </w:pPr>
          </w:p>
        </w:tc>
        <w:tc>
          <w:tcPr>
            <w:tcW w:w="6082" w:type="dxa"/>
          </w:tcPr>
          <w:p w14:paraId="041EE2D7" w14:textId="62DD5869" w:rsidR="007867F2" w:rsidRDefault="007867F2" w:rsidP="00304AD4">
            <w:r>
              <w:t xml:space="preserve">Vacant offices at level with the </w:t>
            </w:r>
            <w:r w:rsidR="0026598A">
              <w:t>SES member</w:t>
            </w:r>
            <w:r>
              <w:t>(s) exist within another agency</w:t>
            </w:r>
            <w:r w:rsidR="00735CCC">
              <w:t>.</w:t>
            </w:r>
          </w:p>
        </w:tc>
        <w:tc>
          <w:tcPr>
            <w:tcW w:w="1560" w:type="dxa"/>
          </w:tcPr>
          <w:p w14:paraId="2FF0F39A" w14:textId="77777777" w:rsidR="007867F2" w:rsidRDefault="003451B0" w:rsidP="00304AD4">
            <w:sdt>
              <w:sdtPr>
                <w:id w:val="-1664150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7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67F2">
              <w:t xml:space="preserve"> Yes </w:t>
            </w:r>
            <w:sdt>
              <w:sdtPr>
                <w:id w:val="-84617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7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67F2">
              <w:t xml:space="preserve"> No</w:t>
            </w:r>
          </w:p>
          <w:p w14:paraId="49BE15D7" w14:textId="215A856B" w:rsidR="007867F2" w:rsidRDefault="003451B0" w:rsidP="00304AD4">
            <w:sdt>
              <w:sdtPr>
                <w:id w:val="-79505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A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67F2">
              <w:t xml:space="preserve"> N/A</w:t>
            </w:r>
          </w:p>
        </w:tc>
      </w:tr>
      <w:tr w:rsidR="007867F2" w14:paraId="72423FE6" w14:textId="77777777" w:rsidTr="00304A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89" w:type="dxa"/>
            <w:vMerge/>
            <w:shd w:val="clear" w:color="auto" w:fill="482D8C"/>
          </w:tcPr>
          <w:p w14:paraId="10828ED9" w14:textId="77777777" w:rsidR="007867F2" w:rsidRPr="00DA06A0" w:rsidRDefault="007867F2" w:rsidP="00304AD4">
            <w:pPr>
              <w:rPr>
                <w:b/>
                <w:bCs w:val="0"/>
                <w:color w:val="FFFFFF" w:themeColor="background1"/>
              </w:rPr>
            </w:pPr>
          </w:p>
        </w:tc>
        <w:tc>
          <w:tcPr>
            <w:tcW w:w="6082" w:type="dxa"/>
          </w:tcPr>
          <w:p w14:paraId="438F274E" w14:textId="77777777" w:rsidR="00B954B6" w:rsidRDefault="007867F2" w:rsidP="00304AD4">
            <w:r>
              <w:t xml:space="preserve">If no vacant offices at level within the agency or another agency exist, assessment escalated to the </w:t>
            </w:r>
            <w:r w:rsidR="0026598A">
              <w:t>DDG OIRWS</w:t>
            </w:r>
            <w:r>
              <w:t xml:space="preserve"> via</w:t>
            </w:r>
            <w:r w:rsidR="0026598A">
              <w:t xml:space="preserve"> email to </w:t>
            </w:r>
            <w:hyperlink r:id="rId20" w:history="1">
              <w:r w:rsidRPr="006860E8">
                <w:rPr>
                  <w:rStyle w:val="Hyperlink"/>
                </w:rPr>
                <w:t>DDGOIRWS@act.gov.au</w:t>
              </w:r>
            </w:hyperlink>
            <w:r>
              <w:t xml:space="preserve"> with the subject “</w:t>
            </w:r>
            <w:r w:rsidR="0026598A">
              <w:t xml:space="preserve">SES </w:t>
            </w:r>
            <w:r>
              <w:t>Mobility</w:t>
            </w:r>
            <w:r w:rsidR="0026598A">
              <w:t>.</w:t>
            </w:r>
            <w:r>
              <w:t>”</w:t>
            </w:r>
            <w:r w:rsidR="00CB6E28">
              <w:t xml:space="preserve"> </w:t>
            </w:r>
          </w:p>
          <w:p w14:paraId="7BAEE7C8" w14:textId="6EC9820D" w:rsidR="007867F2" w:rsidRDefault="00CB6E28" w:rsidP="00304AD4">
            <w:r>
              <w:t>Action under s38 of the PSM Act might be appropriate.</w:t>
            </w:r>
          </w:p>
        </w:tc>
        <w:tc>
          <w:tcPr>
            <w:tcW w:w="1560" w:type="dxa"/>
          </w:tcPr>
          <w:p w14:paraId="7FFED266" w14:textId="77777777" w:rsidR="007867F2" w:rsidRDefault="003451B0" w:rsidP="00304AD4">
            <w:sdt>
              <w:sdtPr>
                <w:id w:val="-277109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7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67F2">
              <w:t xml:space="preserve"> Yes </w:t>
            </w:r>
            <w:sdt>
              <w:sdtPr>
                <w:id w:val="912208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7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67F2">
              <w:t xml:space="preserve"> No</w:t>
            </w:r>
          </w:p>
          <w:p w14:paraId="6DDA7EE0" w14:textId="77777777" w:rsidR="007867F2" w:rsidRDefault="003451B0" w:rsidP="00304AD4">
            <w:sdt>
              <w:sdtPr>
                <w:id w:val="-105515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7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67F2">
              <w:t xml:space="preserve"> N/A</w:t>
            </w:r>
          </w:p>
        </w:tc>
      </w:tr>
      <w:tr w:rsidR="007867F2" w14:paraId="79461BE2" w14:textId="77777777" w:rsidTr="00304A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289" w:type="dxa"/>
            <w:vMerge/>
            <w:shd w:val="clear" w:color="auto" w:fill="482D8C"/>
          </w:tcPr>
          <w:p w14:paraId="729A4360" w14:textId="77777777" w:rsidR="007867F2" w:rsidRPr="00DA06A0" w:rsidRDefault="007867F2" w:rsidP="00304AD4">
            <w:pPr>
              <w:rPr>
                <w:b/>
                <w:bCs w:val="0"/>
                <w:color w:val="FFFFFF" w:themeColor="background1"/>
              </w:rPr>
            </w:pPr>
          </w:p>
        </w:tc>
        <w:tc>
          <w:tcPr>
            <w:tcW w:w="6082" w:type="dxa"/>
          </w:tcPr>
          <w:p w14:paraId="465B8DAC" w14:textId="77777777" w:rsidR="0026598A" w:rsidRDefault="0026598A" w:rsidP="00B61EAF">
            <w:r>
              <w:t xml:space="preserve">The proposed move </w:t>
            </w:r>
            <w:r w:rsidR="00B61EAF">
              <w:t>of the SES member(s) will result in a reduction of their remuneration, a change in the</w:t>
            </w:r>
            <w:r w:rsidR="00F47FB8">
              <w:t>ir</w:t>
            </w:r>
            <w:r w:rsidR="00B61EAF">
              <w:t xml:space="preserve"> hours</w:t>
            </w:r>
            <w:r w:rsidR="00F47FB8">
              <w:t xml:space="preserve"> of work</w:t>
            </w:r>
            <w:r w:rsidR="00B61EAF">
              <w:t xml:space="preserve"> or a change in the period they are engaged to work.</w:t>
            </w:r>
          </w:p>
          <w:p w14:paraId="2317BE93" w14:textId="22997BC1" w:rsidR="003651D2" w:rsidRPr="003651D2" w:rsidRDefault="003651D2" w:rsidP="00B61EAF">
            <w:pPr>
              <w:rPr>
                <w:i/>
                <w:iCs w:val="0"/>
              </w:rPr>
            </w:pPr>
            <w:r>
              <w:rPr>
                <w:i/>
                <w:iCs w:val="0"/>
              </w:rPr>
              <w:t>If yes to any of these items, consultation with the SES member is required. Please see the item immediately below.</w:t>
            </w:r>
          </w:p>
        </w:tc>
        <w:tc>
          <w:tcPr>
            <w:tcW w:w="1560" w:type="dxa"/>
          </w:tcPr>
          <w:p w14:paraId="60F6DB40" w14:textId="77777777" w:rsidR="007867F2" w:rsidRDefault="003451B0" w:rsidP="00304AD4">
            <w:sdt>
              <w:sdtPr>
                <w:id w:val="-1760902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7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67F2">
              <w:t xml:space="preserve"> Yes </w:t>
            </w:r>
            <w:sdt>
              <w:sdtPr>
                <w:id w:val="1239753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7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67F2">
              <w:t xml:space="preserve"> No</w:t>
            </w:r>
          </w:p>
        </w:tc>
      </w:tr>
      <w:tr w:rsidR="00B61EAF" w14:paraId="23C9B7E8" w14:textId="77777777" w:rsidTr="00304A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89" w:type="dxa"/>
            <w:vMerge/>
            <w:shd w:val="clear" w:color="auto" w:fill="482D8C"/>
          </w:tcPr>
          <w:p w14:paraId="27357B76" w14:textId="77777777" w:rsidR="00B61EAF" w:rsidRPr="00DA06A0" w:rsidRDefault="00B61EAF" w:rsidP="00304AD4">
            <w:pPr>
              <w:rPr>
                <w:b/>
                <w:bCs w:val="0"/>
                <w:color w:val="FFFFFF" w:themeColor="background1"/>
              </w:rPr>
            </w:pPr>
          </w:p>
        </w:tc>
        <w:tc>
          <w:tcPr>
            <w:tcW w:w="6082" w:type="dxa"/>
          </w:tcPr>
          <w:p w14:paraId="49CE1371" w14:textId="4DA47A6F" w:rsidR="00B61EAF" w:rsidRDefault="00B61EAF" w:rsidP="00304AD4">
            <w:r>
              <w:t>SES member(s) consulted on mobility option(s)</w:t>
            </w:r>
            <w:r w:rsidR="00494E05">
              <w:t xml:space="preserve"> </w:t>
            </w:r>
            <w:r w:rsidR="003651D2">
              <w:t>[consultation required if there are proposals that will reduce</w:t>
            </w:r>
            <w:r w:rsidR="00F40998">
              <w:t xml:space="preserve"> their remuneration </w:t>
            </w:r>
            <w:r w:rsidR="003651D2">
              <w:t xml:space="preserve">or result in a </w:t>
            </w:r>
            <w:r w:rsidR="00F40998">
              <w:t>change in working hours or in the period of engagement</w:t>
            </w:r>
            <w:r w:rsidR="00B954B6">
              <w:t>]</w:t>
            </w:r>
            <w:r w:rsidR="00494E05">
              <w:t xml:space="preserve"> and provided with written information for their consideration</w:t>
            </w:r>
            <w:r w:rsidR="003651D2">
              <w:t xml:space="preserve"> during consultation. </w:t>
            </w:r>
          </w:p>
        </w:tc>
        <w:tc>
          <w:tcPr>
            <w:tcW w:w="1560" w:type="dxa"/>
          </w:tcPr>
          <w:p w14:paraId="01CCAB06" w14:textId="4399EFA0" w:rsidR="00B61EAF" w:rsidRDefault="003451B0" w:rsidP="00B61EAF">
            <w:sdt>
              <w:sdtPr>
                <w:id w:val="611018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E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1EAF">
              <w:t xml:space="preserve"> Yes </w:t>
            </w:r>
            <w:sdt>
              <w:sdtPr>
                <w:id w:val="-110747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E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1EAF">
              <w:t xml:space="preserve"> No</w:t>
            </w:r>
          </w:p>
        </w:tc>
      </w:tr>
      <w:tr w:rsidR="007867F2" w14:paraId="0C422A44" w14:textId="77777777" w:rsidTr="00304A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289" w:type="dxa"/>
            <w:vMerge/>
            <w:shd w:val="clear" w:color="auto" w:fill="482D8C"/>
          </w:tcPr>
          <w:p w14:paraId="11A8B40D" w14:textId="77777777" w:rsidR="007867F2" w:rsidRPr="00DA06A0" w:rsidRDefault="007867F2" w:rsidP="00304AD4">
            <w:pPr>
              <w:rPr>
                <w:b/>
                <w:bCs w:val="0"/>
                <w:color w:val="FFFFFF" w:themeColor="background1"/>
              </w:rPr>
            </w:pPr>
          </w:p>
        </w:tc>
        <w:tc>
          <w:tcPr>
            <w:tcW w:w="6082" w:type="dxa"/>
          </w:tcPr>
          <w:p w14:paraId="10100F72" w14:textId="60959A45" w:rsidR="007867F2" w:rsidRDefault="00B61EAF" w:rsidP="00304AD4">
            <w:r>
              <w:t xml:space="preserve">SES member </w:t>
            </w:r>
            <w:r w:rsidR="007867F2">
              <w:t>feedback on the proposed movement received and considered as part of the decision-making process</w:t>
            </w:r>
            <w:r w:rsidR="00735CCC">
              <w:t>.</w:t>
            </w:r>
          </w:p>
        </w:tc>
        <w:tc>
          <w:tcPr>
            <w:tcW w:w="1560" w:type="dxa"/>
          </w:tcPr>
          <w:p w14:paraId="15B59226" w14:textId="77777777" w:rsidR="00B61EAF" w:rsidRDefault="003451B0" w:rsidP="00B61EAF">
            <w:sdt>
              <w:sdtPr>
                <w:id w:val="169764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E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1EAF">
              <w:t xml:space="preserve"> Yes </w:t>
            </w:r>
            <w:sdt>
              <w:sdtPr>
                <w:id w:val="386914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E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1EAF">
              <w:t xml:space="preserve"> No</w:t>
            </w:r>
          </w:p>
          <w:p w14:paraId="532D4F25" w14:textId="71B48C0D" w:rsidR="007867F2" w:rsidRDefault="003451B0" w:rsidP="00B61EAF">
            <w:sdt>
              <w:sdtPr>
                <w:id w:val="1336349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E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1EAF">
              <w:t xml:space="preserve"> N/A</w:t>
            </w:r>
          </w:p>
        </w:tc>
      </w:tr>
      <w:tr w:rsidR="007867F2" w14:paraId="72DE0C58" w14:textId="77777777" w:rsidTr="00304A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89" w:type="dxa"/>
            <w:vMerge/>
            <w:shd w:val="clear" w:color="auto" w:fill="482D8C"/>
          </w:tcPr>
          <w:p w14:paraId="615C34CA" w14:textId="77777777" w:rsidR="007867F2" w:rsidRPr="00DA06A0" w:rsidRDefault="007867F2" w:rsidP="00304AD4">
            <w:pPr>
              <w:rPr>
                <w:b/>
                <w:bCs w:val="0"/>
                <w:color w:val="FFFFFF" w:themeColor="background1"/>
              </w:rPr>
            </w:pPr>
          </w:p>
        </w:tc>
        <w:tc>
          <w:tcPr>
            <w:tcW w:w="6082" w:type="dxa"/>
          </w:tcPr>
          <w:p w14:paraId="5DD90209" w14:textId="6E378353" w:rsidR="007867F2" w:rsidRDefault="003651D2" w:rsidP="00901957">
            <w:r>
              <w:t>Executive Action Request (EAR)</w:t>
            </w:r>
            <w:r w:rsidR="007867F2">
              <w:t xml:space="preserve"> </w:t>
            </w:r>
            <w:r>
              <w:t>proposing to</w:t>
            </w:r>
            <w:r w:rsidR="007867F2">
              <w:t xml:space="preserve"> move the </w:t>
            </w:r>
            <w:r w:rsidR="00901957">
              <w:t xml:space="preserve">SES member </w:t>
            </w:r>
            <w:r>
              <w:t>submitted to</w:t>
            </w:r>
            <w:r w:rsidR="00901957">
              <w:t xml:space="preserve"> the DDG OIRWS. </w:t>
            </w:r>
          </w:p>
        </w:tc>
        <w:tc>
          <w:tcPr>
            <w:tcW w:w="1560" w:type="dxa"/>
          </w:tcPr>
          <w:p w14:paraId="69300934" w14:textId="77777777" w:rsidR="007867F2" w:rsidRDefault="003451B0" w:rsidP="00304AD4">
            <w:sdt>
              <w:sdtPr>
                <w:id w:val="362406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7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67F2">
              <w:t xml:space="preserve"> Yes </w:t>
            </w:r>
            <w:sdt>
              <w:sdtPr>
                <w:id w:val="852224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7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67F2">
              <w:t xml:space="preserve"> No</w:t>
            </w:r>
          </w:p>
        </w:tc>
      </w:tr>
      <w:tr w:rsidR="007867F2" w14:paraId="43AF09D8" w14:textId="77777777" w:rsidTr="00304A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289" w:type="dxa"/>
            <w:vMerge/>
            <w:shd w:val="clear" w:color="auto" w:fill="482D8C"/>
          </w:tcPr>
          <w:p w14:paraId="4B8C80DB" w14:textId="77777777" w:rsidR="007867F2" w:rsidRPr="00DA06A0" w:rsidRDefault="007867F2" w:rsidP="00304AD4">
            <w:pPr>
              <w:rPr>
                <w:b/>
                <w:bCs w:val="0"/>
                <w:color w:val="FFFFFF" w:themeColor="background1"/>
              </w:rPr>
            </w:pPr>
          </w:p>
        </w:tc>
        <w:tc>
          <w:tcPr>
            <w:tcW w:w="6082" w:type="dxa"/>
            <w:tcBorders>
              <w:bottom w:val="single" w:sz="4" w:space="0" w:color="D1D1D1"/>
            </w:tcBorders>
          </w:tcPr>
          <w:p w14:paraId="6838392F" w14:textId="66593F7E" w:rsidR="007867F2" w:rsidRDefault="00B25A14" w:rsidP="00304AD4">
            <w:r>
              <w:t>Executive Action Request signed by</w:t>
            </w:r>
            <w:r w:rsidR="007867F2">
              <w:t xml:space="preserve"> the D</w:t>
            </w:r>
            <w:r w:rsidR="00901957">
              <w:t>DG</w:t>
            </w:r>
            <w:r w:rsidR="007867F2">
              <w:t xml:space="preserve"> OIRWS</w:t>
            </w:r>
            <w:r w:rsidR="00735CCC">
              <w:t>.</w:t>
            </w:r>
          </w:p>
        </w:tc>
        <w:tc>
          <w:tcPr>
            <w:tcW w:w="1560" w:type="dxa"/>
            <w:tcBorders>
              <w:bottom w:val="single" w:sz="4" w:space="0" w:color="D1D1D1"/>
            </w:tcBorders>
          </w:tcPr>
          <w:p w14:paraId="4FF6A1EE" w14:textId="77777777" w:rsidR="007867F2" w:rsidRDefault="003451B0" w:rsidP="00304AD4">
            <w:sdt>
              <w:sdtPr>
                <w:id w:val="416370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7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67F2">
              <w:t xml:space="preserve"> Yes </w:t>
            </w:r>
            <w:sdt>
              <w:sdtPr>
                <w:id w:val="520135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7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67F2">
              <w:t xml:space="preserve"> No</w:t>
            </w:r>
          </w:p>
        </w:tc>
      </w:tr>
      <w:tr w:rsidR="007867F2" w14:paraId="477A41A0" w14:textId="77777777" w:rsidTr="00304A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89" w:type="dxa"/>
            <w:tcBorders>
              <w:top w:val="single" w:sz="4" w:space="0" w:color="D1D1D1"/>
            </w:tcBorders>
            <w:shd w:val="clear" w:color="auto" w:fill="482D8C"/>
            <w:vAlign w:val="center"/>
          </w:tcPr>
          <w:p w14:paraId="2D1969E7" w14:textId="77777777" w:rsidR="007867F2" w:rsidRPr="00DA06A0" w:rsidRDefault="007867F2" w:rsidP="00304AD4">
            <w:pPr>
              <w:rPr>
                <w:b/>
                <w:bCs w:val="0"/>
                <w:color w:val="FFFFFF" w:themeColor="background1"/>
              </w:rPr>
            </w:pPr>
            <w:r w:rsidRPr="00DA06A0">
              <w:rPr>
                <w:b/>
                <w:bCs w:val="0"/>
                <w:color w:val="FFFFFF" w:themeColor="background1"/>
              </w:rPr>
              <w:t>Action</w:t>
            </w:r>
          </w:p>
        </w:tc>
        <w:tc>
          <w:tcPr>
            <w:tcW w:w="6082" w:type="dxa"/>
            <w:tcBorders>
              <w:top w:val="single" w:sz="4" w:space="0" w:color="D1D1D1"/>
            </w:tcBorders>
          </w:tcPr>
          <w:p w14:paraId="430092DE" w14:textId="59AD7760" w:rsidR="007867F2" w:rsidRDefault="007867F2" w:rsidP="00304AD4">
            <w:r>
              <w:t xml:space="preserve">Written notice of decision issued to the </w:t>
            </w:r>
            <w:r w:rsidR="00901957">
              <w:t>SES member</w:t>
            </w:r>
            <w:r w:rsidR="00B25A14">
              <w:t xml:space="preserve"> by way of letter of offer and change to statutory employment terms. </w:t>
            </w:r>
          </w:p>
        </w:tc>
        <w:tc>
          <w:tcPr>
            <w:tcW w:w="1560" w:type="dxa"/>
            <w:tcBorders>
              <w:top w:val="single" w:sz="4" w:space="0" w:color="D1D1D1"/>
            </w:tcBorders>
          </w:tcPr>
          <w:p w14:paraId="080F2139" w14:textId="77777777" w:rsidR="007867F2" w:rsidRDefault="003451B0" w:rsidP="00304AD4">
            <w:sdt>
              <w:sdtPr>
                <w:id w:val="822389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7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67F2">
              <w:t xml:space="preserve"> Yes </w:t>
            </w:r>
            <w:sdt>
              <w:sdtPr>
                <w:id w:val="267815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7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67F2">
              <w:t xml:space="preserve"> No</w:t>
            </w:r>
          </w:p>
        </w:tc>
      </w:tr>
    </w:tbl>
    <w:p w14:paraId="1A17D2C7" w14:textId="77777777" w:rsidR="007867F2" w:rsidRPr="008D68E5" w:rsidRDefault="007867F2" w:rsidP="00C041DD">
      <w:pPr>
        <w:rPr>
          <w:sz w:val="2"/>
          <w:szCs w:val="2"/>
        </w:rPr>
      </w:pPr>
    </w:p>
    <w:sectPr w:rsidR="007867F2" w:rsidRPr="008D68E5" w:rsidSect="009A06CF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370" w:right="1535" w:bottom="2608" w:left="1440" w:header="708" w:footer="19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E8343" w14:textId="77777777" w:rsidR="00D966C8" w:rsidRDefault="00D966C8" w:rsidP="00BA666E">
      <w:r>
        <w:separator/>
      </w:r>
    </w:p>
  </w:endnote>
  <w:endnote w:type="continuationSeparator" w:id="0">
    <w:p w14:paraId="5067E4C0" w14:textId="77777777" w:rsidR="00D966C8" w:rsidRDefault="00D966C8" w:rsidP="00BA666E">
      <w:r>
        <w:continuationSeparator/>
      </w:r>
    </w:p>
  </w:endnote>
  <w:endnote w:type="continuationNotice" w:id="1">
    <w:p w14:paraId="1B5A1025" w14:textId="77777777" w:rsidR="00D966C8" w:rsidRDefault="00D966C8" w:rsidP="00BA66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(Body)">
    <w:altName w:val="Aptos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1561080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9072257" w14:textId="692F336E" w:rsidR="00F30E50" w:rsidRDefault="00F30E50" w:rsidP="00FB02F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B7A06AB" w14:textId="77777777" w:rsidR="008A2BE1" w:rsidRDefault="008A2BE1" w:rsidP="00F30E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008D0" w14:textId="2A83D1B7" w:rsidR="009724C2" w:rsidRPr="001E49B4" w:rsidRDefault="001E70A5" w:rsidP="001E49B4">
    <w:pPr>
      <w:pStyle w:val="Footer"/>
      <w:ind w:right="360"/>
      <w:rPr>
        <w:sz w:val="18"/>
        <w:szCs w:val="18"/>
      </w:rPr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BFF0379" wp14:editId="1048E147">
              <wp:simplePos x="0" y="0"/>
              <wp:positionH relativeFrom="column">
                <wp:posOffset>10160</wp:posOffset>
              </wp:positionH>
              <wp:positionV relativeFrom="paragraph">
                <wp:posOffset>44450</wp:posOffset>
              </wp:positionV>
              <wp:extent cx="1765300" cy="481330"/>
              <wp:effectExtent l="0" t="0" r="0" b="0"/>
              <wp:wrapNone/>
              <wp:docPr id="46523199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5300" cy="481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9FB0A0" w14:textId="2A2D3511" w:rsidR="00013D3D" w:rsidRPr="00A20D47" w:rsidRDefault="00013D3D" w:rsidP="00A20D47">
                          <w:pPr>
                            <w:pStyle w:val="website"/>
                            <w:spacing w:after="0"/>
                            <w:rPr>
                              <w:sz w:val="36"/>
                              <w:szCs w:val="36"/>
                            </w:rPr>
                          </w:pPr>
                          <w:r w:rsidRPr="00A20D47">
                            <w:rPr>
                              <w:rFonts w:cs="Aptos (Body)"/>
                              <w:spacing w:val="-4"/>
                              <w:sz w:val="36"/>
                              <w:szCs w:val="40"/>
                            </w:rPr>
                            <w:t>a</w:t>
                          </w:r>
                          <w:r w:rsidRPr="00A20D47">
                            <w:rPr>
                              <w:sz w:val="36"/>
                              <w:szCs w:val="36"/>
                            </w:rPr>
                            <w:t>ct</w:t>
                          </w:r>
                          <w:r w:rsidRPr="00A20D47">
                            <w:rPr>
                              <w:color w:val="6E46E0"/>
                              <w:sz w:val="36"/>
                              <w:szCs w:val="36"/>
                            </w:rPr>
                            <w:t>.</w:t>
                          </w:r>
                          <w:r w:rsidRPr="00A20D47">
                            <w:rPr>
                              <w:rFonts w:cs="Aptos (Body)"/>
                              <w:spacing w:val="-4"/>
                              <w:sz w:val="36"/>
                              <w:szCs w:val="40"/>
                            </w:rPr>
                            <w:t>g</w:t>
                          </w:r>
                          <w:r w:rsidRPr="00A20D47">
                            <w:rPr>
                              <w:sz w:val="36"/>
                              <w:szCs w:val="36"/>
                            </w:rPr>
                            <w:t>o</w:t>
                          </w:r>
                          <w:r w:rsidRPr="00A20D47">
                            <w:rPr>
                              <w:rFonts w:cs="Aptos (Body)"/>
                              <w:spacing w:val="-6"/>
                              <w:sz w:val="36"/>
                              <w:szCs w:val="40"/>
                            </w:rPr>
                            <w:t>v</w:t>
                          </w:r>
                          <w:r w:rsidRPr="00A20D47">
                            <w:rPr>
                              <w:color w:val="6E46E0"/>
                              <w:sz w:val="36"/>
                              <w:szCs w:val="36"/>
                            </w:rPr>
                            <w:t>.</w:t>
                          </w:r>
                          <w:r w:rsidRPr="00A20D47">
                            <w:rPr>
                              <w:rFonts w:cs="Aptos (Body)"/>
                              <w:spacing w:val="-6"/>
                              <w:sz w:val="36"/>
                              <w:szCs w:val="40"/>
                            </w:rPr>
                            <w:t>a</w:t>
                          </w:r>
                          <w:r w:rsidRPr="00A20D47">
                            <w:rPr>
                              <w:sz w:val="36"/>
                              <w:szCs w:val="36"/>
                            </w:rPr>
                            <w:t>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FF037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.8pt;margin-top:3.5pt;width:139pt;height:37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" filled="f" stroked="f" strokeweight=".5pt">
              <v:textbox>
                <w:txbxContent>
                  <w:p w14:paraId="449FB0A0" w14:textId="2A2D3511" w:rsidR="00013D3D" w:rsidRPr="00A20D47" w:rsidRDefault="00013D3D" w:rsidP="00A20D47">
                    <w:pPr>
                      <w:pStyle w:val="website"/>
                      <w:spacing w:after="0"/>
                      <w:rPr>
                        <w:sz w:val="36"/>
                        <w:szCs w:val="36"/>
                      </w:rPr>
                    </w:pPr>
                    <w:r w:rsidRPr="00A20D47">
                      <w:rPr>
                        <w:rFonts w:cs="Aptos (Body)"/>
                        <w:spacing w:val="-4"/>
                        <w:sz w:val="36"/>
                        <w:szCs w:val="40"/>
                      </w:rPr>
                      <w:t>a</w:t>
                    </w:r>
                    <w:r w:rsidRPr="00A20D47">
                      <w:rPr>
                        <w:sz w:val="36"/>
                        <w:szCs w:val="36"/>
                      </w:rPr>
                      <w:t>ct</w:t>
                    </w:r>
                    <w:r w:rsidRPr="00A20D47">
                      <w:rPr>
                        <w:color w:val="6E46E0"/>
                        <w:sz w:val="36"/>
                        <w:szCs w:val="36"/>
                      </w:rPr>
                      <w:t>.</w:t>
                    </w:r>
                    <w:r w:rsidRPr="00A20D47">
                      <w:rPr>
                        <w:rFonts w:cs="Aptos (Body)"/>
                        <w:spacing w:val="-4"/>
                        <w:sz w:val="36"/>
                        <w:szCs w:val="40"/>
                      </w:rPr>
                      <w:t>g</w:t>
                    </w:r>
                    <w:r w:rsidRPr="00A20D47">
                      <w:rPr>
                        <w:sz w:val="36"/>
                        <w:szCs w:val="36"/>
                      </w:rPr>
                      <w:t>o</w:t>
                    </w:r>
                    <w:r w:rsidRPr="00A20D47">
                      <w:rPr>
                        <w:rFonts w:cs="Aptos (Body)"/>
                        <w:spacing w:val="-6"/>
                        <w:sz w:val="36"/>
                        <w:szCs w:val="40"/>
                      </w:rPr>
                      <w:t>v</w:t>
                    </w:r>
                    <w:r w:rsidRPr="00A20D47">
                      <w:rPr>
                        <w:color w:val="6E46E0"/>
                        <w:sz w:val="36"/>
                        <w:szCs w:val="36"/>
                      </w:rPr>
                      <w:t>.</w:t>
                    </w:r>
                    <w:r w:rsidRPr="00A20D47">
                      <w:rPr>
                        <w:rFonts w:cs="Aptos (Body)"/>
                        <w:spacing w:val="-6"/>
                        <w:sz w:val="36"/>
                        <w:szCs w:val="40"/>
                      </w:rPr>
                      <w:t>a</w:t>
                    </w:r>
                    <w:r w:rsidRPr="00A20D47">
                      <w:rPr>
                        <w:sz w:val="36"/>
                        <w:szCs w:val="36"/>
                      </w:rPr>
                      <w:t>u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0" locked="0" layoutInCell="1" allowOverlap="1" wp14:anchorId="2809ECAD" wp14:editId="01D1841D">
          <wp:simplePos x="0" y="0"/>
          <wp:positionH relativeFrom="column">
            <wp:posOffset>4442460</wp:posOffset>
          </wp:positionH>
          <wp:positionV relativeFrom="paragraph">
            <wp:posOffset>-23845</wp:posOffset>
          </wp:positionV>
          <wp:extent cx="1196975" cy="618490"/>
          <wp:effectExtent l="0" t="0" r="0" b="3810"/>
          <wp:wrapNone/>
          <wp:docPr id="1250892273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6975" cy="618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3DBB"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ED0054" wp14:editId="571BE3B1">
              <wp:simplePos x="0" y="0"/>
              <wp:positionH relativeFrom="column">
                <wp:posOffset>-557530</wp:posOffset>
              </wp:positionH>
              <wp:positionV relativeFrom="paragraph">
                <wp:posOffset>746125</wp:posOffset>
              </wp:positionV>
              <wp:extent cx="215900" cy="215900"/>
              <wp:effectExtent l="0" t="0" r="0" b="0"/>
              <wp:wrapNone/>
              <wp:docPr id="1818810469" name="Oval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215900" cy="215900"/>
                      </a:xfrm>
                      <a:prstGeom prst="ellipse">
                        <a:avLst/>
                      </a:prstGeom>
                      <a:solidFill>
                        <a:srgbClr val="56268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5AA3F332" id="Oval 3" o:spid="_x0000_s1026" style="position:absolute;margin-left:-43.9pt;margin-top:58.75pt;width:17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" fillcolor="#56268c" stroked="f" strokeweight="1pt">
              <v:stroke joinstyle="miter"/>
              <o:lock v:ext="edit" aspectratio="t"/>
            </v:oval>
          </w:pict>
        </mc:Fallback>
      </mc:AlternateContent>
    </w:r>
    <w:r w:rsidR="00CF3DBB"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3FDE6F7" wp14:editId="344A3F40">
              <wp:simplePos x="0" y="0"/>
              <wp:positionH relativeFrom="column">
                <wp:posOffset>-1546225</wp:posOffset>
              </wp:positionH>
              <wp:positionV relativeFrom="paragraph">
                <wp:posOffset>843800</wp:posOffset>
              </wp:positionV>
              <wp:extent cx="9547225" cy="0"/>
              <wp:effectExtent l="0" t="0" r="15875" b="12700"/>
              <wp:wrapNone/>
              <wp:docPr id="1833235398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547225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98DE06" id="Straight Connector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1.75pt,66.45pt" to="630pt,6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" strokecolor="#0d0d0d [3069]" strokeweight=".5pt">
              <v:stroke joinstyle="miter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B655D" w14:textId="24C7FE89" w:rsidR="008A2BE1" w:rsidRPr="003A0EC4" w:rsidRDefault="008A2BE1" w:rsidP="00F30E50">
    <w:pPr>
      <w:pStyle w:val="Footer"/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C1AF0" w14:textId="77777777" w:rsidR="00D966C8" w:rsidRDefault="00D966C8" w:rsidP="00BA666E">
      <w:r>
        <w:separator/>
      </w:r>
    </w:p>
  </w:footnote>
  <w:footnote w:type="continuationSeparator" w:id="0">
    <w:p w14:paraId="2AEB25B3" w14:textId="77777777" w:rsidR="00D966C8" w:rsidRDefault="00D966C8" w:rsidP="00BA666E">
      <w:r>
        <w:continuationSeparator/>
      </w:r>
    </w:p>
  </w:footnote>
  <w:footnote w:type="continuationNotice" w:id="1">
    <w:p w14:paraId="3EE09B12" w14:textId="77777777" w:rsidR="00D966C8" w:rsidRDefault="00D966C8" w:rsidP="00BA666E"/>
  </w:footnote>
  <w:footnote w:id="2">
    <w:p w14:paraId="08E150F5" w14:textId="0B0AA800" w:rsidR="00A1260D" w:rsidRDefault="00A1260D" w:rsidP="00A1260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62093F">
          <w:rPr>
            <w:rStyle w:val="Hyperlink"/>
          </w:rPr>
          <w:t>Public Sector Management Act 199</w:t>
        </w:r>
        <w:r w:rsidR="00570DF1">
          <w:rPr>
            <w:rStyle w:val="Hyperlink"/>
          </w:rPr>
          <w:t>4</w:t>
        </w:r>
        <w:r>
          <w:rPr>
            <w:rStyle w:val="Hyperlink"/>
          </w:rPr>
          <w:t xml:space="preserve">. </w:t>
        </w:r>
        <w:r w:rsidRPr="0062093F">
          <w:rPr>
            <w:rStyle w:val="Hyperlink"/>
          </w:rPr>
          <w:t xml:space="preserve">Part </w:t>
        </w:r>
        <w:r w:rsidR="000244E3">
          <w:rPr>
            <w:rStyle w:val="Hyperlink"/>
          </w:rPr>
          <w:t>5</w:t>
        </w:r>
        <w:r w:rsidRPr="0062093F">
          <w:rPr>
            <w:rStyle w:val="Hyperlink"/>
          </w:rPr>
          <w:t xml:space="preserve"> – Division </w:t>
        </w:r>
        <w:r>
          <w:rPr>
            <w:rStyle w:val="Hyperlink"/>
          </w:rPr>
          <w:t>5.7</w:t>
        </w:r>
        <w:r w:rsidRPr="0062093F">
          <w:rPr>
            <w:rStyle w:val="Hyperlink"/>
          </w:rPr>
          <w:t xml:space="preserve"> – Section</w:t>
        </w:r>
        <w:r w:rsidR="000244E3">
          <w:rPr>
            <w:rStyle w:val="Hyperlink"/>
          </w:rPr>
          <w:t>s</w:t>
        </w:r>
        <w:r w:rsidRPr="0062093F">
          <w:rPr>
            <w:rStyle w:val="Hyperlink"/>
          </w:rPr>
          <w:t xml:space="preserve"> </w:t>
        </w:r>
        <w:r w:rsidR="000244E3">
          <w:rPr>
            <w:rStyle w:val="Hyperlink"/>
          </w:rPr>
          <w:t xml:space="preserve">108 - </w:t>
        </w:r>
        <w:r>
          <w:rPr>
            <w:rStyle w:val="Hyperlink"/>
          </w:rPr>
          <w:t>109.</w:t>
        </w:r>
      </w:hyperlink>
    </w:p>
  </w:footnote>
  <w:footnote w:id="3">
    <w:p w14:paraId="27E973DD" w14:textId="3160D841" w:rsidR="00462ACA" w:rsidRDefault="00462AC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62093F">
          <w:rPr>
            <w:rStyle w:val="Hyperlink"/>
          </w:rPr>
          <w:t>Public Sector Management Act 199</w:t>
        </w:r>
        <w:r w:rsidR="00570DF1">
          <w:rPr>
            <w:rStyle w:val="Hyperlink"/>
          </w:rPr>
          <w:t>4</w:t>
        </w:r>
        <w:r>
          <w:rPr>
            <w:rStyle w:val="Hyperlink"/>
          </w:rPr>
          <w:t xml:space="preserve">. </w:t>
        </w:r>
        <w:r w:rsidRPr="0062093F">
          <w:rPr>
            <w:rStyle w:val="Hyperlink"/>
          </w:rPr>
          <w:t xml:space="preserve">Part </w:t>
        </w:r>
        <w:r w:rsidR="0027117D">
          <w:rPr>
            <w:rStyle w:val="Hyperlink"/>
          </w:rPr>
          <w:t>4</w:t>
        </w:r>
        <w:r w:rsidRPr="0062093F">
          <w:rPr>
            <w:rStyle w:val="Hyperlink"/>
          </w:rPr>
          <w:t xml:space="preserve"> – Section </w:t>
        </w:r>
        <w:r w:rsidR="0027117D">
          <w:rPr>
            <w:rStyle w:val="Hyperlink"/>
          </w:rPr>
          <w:t>35</w:t>
        </w:r>
        <w:r>
          <w:rPr>
            <w:rStyle w:val="Hyperlink"/>
          </w:rPr>
          <w:t>.</w:t>
        </w:r>
      </w:hyperlink>
    </w:p>
  </w:footnote>
  <w:footnote w:id="4">
    <w:p w14:paraId="6BE8FAD2" w14:textId="77777777" w:rsidR="00A1260D" w:rsidRDefault="00A1260D" w:rsidP="00A1260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anchor="_Toc208405655" w:history="1">
        <w:r w:rsidRPr="00CF512E">
          <w:rPr>
            <w:rStyle w:val="Hyperlink"/>
          </w:rPr>
          <w:t>Fair Work Act 2009. Volume 1 – Part 2 3 – Division 5 – Section 205.</w:t>
        </w:r>
      </w:hyperlink>
    </w:p>
  </w:footnote>
  <w:footnote w:id="5">
    <w:p w14:paraId="63EB2FE4" w14:textId="71C83BE3" w:rsidR="00A1260D" w:rsidRDefault="00A1260D" w:rsidP="00A1260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F1784">
        <w:t xml:space="preserve">For example, </w:t>
      </w:r>
      <w:hyperlink r:id="rId4" w:history="1">
        <w:r w:rsidRPr="00D50E60">
          <w:rPr>
            <w:rStyle w:val="Hyperlink"/>
          </w:rPr>
          <w:t>ACTPS Administrative and Related Classifications Enterprise Agreement 2023 – 2026</w:t>
        </w:r>
        <w:r w:rsidR="002F1784">
          <w:rPr>
            <w:rStyle w:val="Hyperlink"/>
          </w:rPr>
          <w:t>, Section F</w:t>
        </w:r>
        <w:r w:rsidRPr="00D50E60">
          <w:rPr>
            <w:rStyle w:val="Hyperlink"/>
          </w:rPr>
          <w:t>.</w:t>
        </w:r>
      </w:hyperlink>
    </w:p>
  </w:footnote>
  <w:footnote w:id="6">
    <w:p w14:paraId="1ED22BF3" w14:textId="37503D0F" w:rsidR="00A51B86" w:rsidRDefault="00A51B8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" w:history="1">
        <w:r w:rsidR="00BB0609" w:rsidRPr="0062093F">
          <w:rPr>
            <w:rStyle w:val="Hyperlink"/>
          </w:rPr>
          <w:t>Public Sector Management Act 199</w:t>
        </w:r>
        <w:r w:rsidR="00570DF1">
          <w:rPr>
            <w:rStyle w:val="Hyperlink"/>
          </w:rPr>
          <w:t>4</w:t>
        </w:r>
        <w:r w:rsidR="00BB0609">
          <w:rPr>
            <w:rStyle w:val="Hyperlink"/>
          </w:rPr>
          <w:t xml:space="preserve">. </w:t>
        </w:r>
        <w:r w:rsidR="00BB0609" w:rsidRPr="0062093F">
          <w:rPr>
            <w:rStyle w:val="Hyperlink"/>
          </w:rPr>
          <w:t xml:space="preserve">Part </w:t>
        </w:r>
        <w:r w:rsidR="00BB0609">
          <w:rPr>
            <w:rStyle w:val="Hyperlink"/>
          </w:rPr>
          <w:t>5</w:t>
        </w:r>
        <w:r w:rsidR="00BB0609" w:rsidRPr="0062093F">
          <w:rPr>
            <w:rStyle w:val="Hyperlink"/>
          </w:rPr>
          <w:t xml:space="preserve"> – Division </w:t>
        </w:r>
        <w:r w:rsidR="00BB0609">
          <w:rPr>
            <w:rStyle w:val="Hyperlink"/>
          </w:rPr>
          <w:t>5.7</w:t>
        </w:r>
        <w:r w:rsidR="00BB0609" w:rsidRPr="0062093F">
          <w:rPr>
            <w:rStyle w:val="Hyperlink"/>
          </w:rPr>
          <w:t xml:space="preserve"> – Section</w:t>
        </w:r>
        <w:r w:rsidR="00BB0609">
          <w:rPr>
            <w:rStyle w:val="Hyperlink"/>
          </w:rPr>
          <w:t>s</w:t>
        </w:r>
        <w:r w:rsidR="00BB0609" w:rsidRPr="0062093F">
          <w:rPr>
            <w:rStyle w:val="Hyperlink"/>
          </w:rPr>
          <w:t xml:space="preserve"> </w:t>
        </w:r>
        <w:r w:rsidR="00BB0609">
          <w:rPr>
            <w:rStyle w:val="Hyperlink"/>
          </w:rPr>
          <w:t>108</w:t>
        </w:r>
        <w:r w:rsidR="002C72CE">
          <w:rPr>
            <w:rStyle w:val="Hyperlink"/>
          </w:rPr>
          <w:t>(4)</w:t>
        </w:r>
        <w:r w:rsidR="00BB0609">
          <w:rPr>
            <w:rStyle w:val="Hyperlink"/>
          </w:rPr>
          <w:t xml:space="preserve"> </w:t>
        </w:r>
        <w:r w:rsidR="002C72CE">
          <w:rPr>
            <w:rStyle w:val="Hyperlink"/>
          </w:rPr>
          <w:t>&amp;</w:t>
        </w:r>
        <w:r w:rsidR="00BB0609">
          <w:rPr>
            <w:rStyle w:val="Hyperlink"/>
          </w:rPr>
          <w:t xml:space="preserve"> 109</w:t>
        </w:r>
        <w:r w:rsidR="002C72CE">
          <w:rPr>
            <w:rStyle w:val="Hyperlink"/>
          </w:rPr>
          <w:t>(5)</w:t>
        </w:r>
        <w:r w:rsidR="00BB0609">
          <w:rPr>
            <w:rStyle w:val="Hyperlink"/>
          </w:rPr>
          <w:t>.</w:t>
        </w:r>
      </w:hyperlink>
    </w:p>
  </w:footnote>
  <w:footnote w:id="7">
    <w:p w14:paraId="03AE6AEC" w14:textId="0F1C18EA" w:rsidR="008E228D" w:rsidRDefault="008E228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" w:history="1">
        <w:r w:rsidRPr="008E228D">
          <w:rPr>
            <w:rStyle w:val="Hyperlink"/>
          </w:rPr>
          <w:t>Public Sector Management Standards 2016. Part 5 – Division 5.7 – Section 69.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62775" w14:textId="77777777" w:rsidR="00B77026" w:rsidRDefault="00B770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D3EA4" w14:textId="15A5551B" w:rsidR="002D37C7" w:rsidRDefault="002D37C7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8238" behindDoc="1" locked="0" layoutInCell="1" allowOverlap="1" wp14:anchorId="17726A62" wp14:editId="103E28F2">
              <wp:simplePos x="0" y="0"/>
              <wp:positionH relativeFrom="column">
                <wp:posOffset>-457200</wp:posOffset>
              </wp:positionH>
              <wp:positionV relativeFrom="paragraph">
                <wp:posOffset>-1181100</wp:posOffset>
              </wp:positionV>
              <wp:extent cx="0" cy="12454128"/>
              <wp:effectExtent l="0" t="0" r="12700" b="5080"/>
              <wp:wrapNone/>
              <wp:docPr id="1081351480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2454128"/>
                      </a:xfrm>
                      <a:prstGeom prst="line">
                        <a:avLst/>
                      </a:prstGeom>
                      <a:ln w="6350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E05DA2" id="Straight Connector 3" o:spid="_x0000_s1026" style="position:absolute;z-index:-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6pt,-93pt" to="-36pt,88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" strokecolor="#0d0d0d [3069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54F01" w14:textId="75DF2B25" w:rsidR="009572B8" w:rsidRDefault="00BA2369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3" behindDoc="0" locked="0" layoutInCell="1" allowOverlap="1" wp14:anchorId="0A764BD5" wp14:editId="3C9C349E">
              <wp:simplePos x="0" y="0"/>
              <wp:positionH relativeFrom="column">
                <wp:posOffset>0</wp:posOffset>
              </wp:positionH>
              <wp:positionV relativeFrom="paragraph">
                <wp:posOffset>165275</wp:posOffset>
              </wp:positionV>
              <wp:extent cx="5517931" cy="0"/>
              <wp:effectExtent l="0" t="0" r="6985" b="12700"/>
              <wp:wrapNone/>
              <wp:docPr id="1028645097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17931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73528C" id="Straight Connector 3" o:spid="_x0000_s1026" style="position:absolute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3pt" to="434.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" strokecolor="#0d0d0d [3069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&quot;&quot;" style="width:195pt;height:98.25pt;visibility:visible;mso-wrap-style:square" o:bullet="t">
        <v:imagedata r:id="rId1" o:title=""/>
      </v:shape>
    </w:pict>
  </w:numPicBullet>
  <w:abstractNum w:abstractNumId="0" w15:restartNumberingAfterBreak="0">
    <w:nsid w:val="0008587B"/>
    <w:multiLevelType w:val="hybridMultilevel"/>
    <w:tmpl w:val="EE5E42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B7D04"/>
    <w:multiLevelType w:val="hybridMultilevel"/>
    <w:tmpl w:val="88CA44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E3DA1"/>
    <w:multiLevelType w:val="hybridMultilevel"/>
    <w:tmpl w:val="5CFED3C4"/>
    <w:lvl w:ilvl="0" w:tplc="B97C7E2E">
      <w:start w:val="1"/>
      <w:numFmt w:val="lowerLetter"/>
      <w:pStyle w:val="Bulletalpha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87DD9"/>
    <w:multiLevelType w:val="hybridMultilevel"/>
    <w:tmpl w:val="6A944C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047D8"/>
    <w:multiLevelType w:val="hybridMultilevel"/>
    <w:tmpl w:val="B88C856E"/>
    <w:lvl w:ilvl="0" w:tplc="64D0DA9A">
      <w:start w:val="1"/>
      <w:numFmt w:val="bullet"/>
      <w:pStyle w:val="Bullet2"/>
      <w:lvlText w:val="­"/>
      <w:lvlJc w:val="left"/>
      <w:pPr>
        <w:ind w:left="1003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1E7E776C"/>
    <w:multiLevelType w:val="hybridMultilevel"/>
    <w:tmpl w:val="ED2EBF08"/>
    <w:lvl w:ilvl="0" w:tplc="B2ACF2CC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  <w:color w:val="auto"/>
        <w:sz w:val="22"/>
        <w:szCs w:val="22"/>
        <w:vertAlign w:val="baseline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F418A"/>
    <w:multiLevelType w:val="hybridMultilevel"/>
    <w:tmpl w:val="D646B272"/>
    <w:lvl w:ilvl="0" w:tplc="2F5E9A0E">
      <w:start w:val="1"/>
      <w:numFmt w:val="bullet"/>
      <w:pStyle w:val="Bullet1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B068C8"/>
    <w:multiLevelType w:val="hybridMultilevel"/>
    <w:tmpl w:val="4B7E807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  <w:color w:val="auto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700E5"/>
    <w:multiLevelType w:val="hybridMultilevel"/>
    <w:tmpl w:val="E8E2DE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EF49E3"/>
    <w:multiLevelType w:val="hybridMultilevel"/>
    <w:tmpl w:val="A2948A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253D63"/>
    <w:multiLevelType w:val="hybridMultilevel"/>
    <w:tmpl w:val="476C6EB4"/>
    <w:lvl w:ilvl="0" w:tplc="89A0246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/>
        <w:i w:val="0"/>
        <w:iCs w:val="0"/>
        <w:color w:val="auto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9E23D8"/>
    <w:multiLevelType w:val="hybridMultilevel"/>
    <w:tmpl w:val="0EB0F7D0"/>
    <w:lvl w:ilvl="0" w:tplc="8EB671A0">
      <w:start w:val="1"/>
      <w:numFmt w:val="lowerRoman"/>
      <w:pStyle w:val="Bulletroman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D212C1"/>
    <w:multiLevelType w:val="hybridMultilevel"/>
    <w:tmpl w:val="EABCAE9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  <w:color w:val="auto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42AE5"/>
    <w:multiLevelType w:val="hybridMultilevel"/>
    <w:tmpl w:val="7C123644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507C5CB7"/>
    <w:multiLevelType w:val="multilevel"/>
    <w:tmpl w:val="3498F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2D14C7"/>
    <w:multiLevelType w:val="hybridMultilevel"/>
    <w:tmpl w:val="1904ECAA"/>
    <w:lvl w:ilvl="0" w:tplc="5132713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5A5515"/>
    <w:multiLevelType w:val="hybridMultilevel"/>
    <w:tmpl w:val="01C8D7E2"/>
    <w:lvl w:ilvl="0" w:tplc="9AAC3924">
      <w:start w:val="1"/>
      <w:numFmt w:val="decimal"/>
      <w:pStyle w:val="BulletNumbers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8C61BA"/>
    <w:multiLevelType w:val="hybridMultilevel"/>
    <w:tmpl w:val="D2802292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67DC36BA"/>
    <w:multiLevelType w:val="hybridMultilevel"/>
    <w:tmpl w:val="ADBC74D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  <w:color w:val="auto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681472229">
    <w:abstractNumId w:val="6"/>
  </w:num>
  <w:num w:numId="2" w16cid:durableId="863640098">
    <w:abstractNumId w:val="4"/>
  </w:num>
  <w:num w:numId="3" w16cid:durableId="1678847481">
    <w:abstractNumId w:val="16"/>
  </w:num>
  <w:num w:numId="4" w16cid:durableId="1249928375">
    <w:abstractNumId w:val="2"/>
  </w:num>
  <w:num w:numId="5" w16cid:durableId="1519275277">
    <w:abstractNumId w:val="11"/>
  </w:num>
  <w:num w:numId="6" w16cid:durableId="1329359717">
    <w:abstractNumId w:val="0"/>
  </w:num>
  <w:num w:numId="7" w16cid:durableId="1328482827">
    <w:abstractNumId w:val="14"/>
  </w:num>
  <w:num w:numId="8" w16cid:durableId="1225219295">
    <w:abstractNumId w:val="8"/>
  </w:num>
  <w:num w:numId="9" w16cid:durableId="8229364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93257286">
    <w:abstractNumId w:val="5"/>
  </w:num>
  <w:num w:numId="11" w16cid:durableId="1300263196">
    <w:abstractNumId w:val="10"/>
  </w:num>
  <w:num w:numId="12" w16cid:durableId="423696352">
    <w:abstractNumId w:val="7"/>
  </w:num>
  <w:num w:numId="13" w16cid:durableId="854222369">
    <w:abstractNumId w:val="12"/>
  </w:num>
  <w:num w:numId="14" w16cid:durableId="916405708">
    <w:abstractNumId w:val="18"/>
  </w:num>
  <w:num w:numId="15" w16cid:durableId="977878137">
    <w:abstractNumId w:val="9"/>
  </w:num>
  <w:num w:numId="16" w16cid:durableId="525676208">
    <w:abstractNumId w:val="17"/>
  </w:num>
  <w:num w:numId="17" w16cid:durableId="865949358">
    <w:abstractNumId w:val="3"/>
  </w:num>
  <w:num w:numId="18" w16cid:durableId="1321890905">
    <w:abstractNumId w:val="13"/>
  </w:num>
  <w:num w:numId="19" w16cid:durableId="1044988482">
    <w:abstractNumId w:val="15"/>
  </w:num>
  <w:num w:numId="20" w16cid:durableId="1677346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640"/>
    <w:rsid w:val="00002583"/>
    <w:rsid w:val="0000442A"/>
    <w:rsid w:val="00004B17"/>
    <w:rsid w:val="00005078"/>
    <w:rsid w:val="0000647F"/>
    <w:rsid w:val="00010B1E"/>
    <w:rsid w:val="00013134"/>
    <w:rsid w:val="00013D3D"/>
    <w:rsid w:val="0002274F"/>
    <w:rsid w:val="000244E3"/>
    <w:rsid w:val="000253CC"/>
    <w:rsid w:val="0003080B"/>
    <w:rsid w:val="0003221F"/>
    <w:rsid w:val="00032711"/>
    <w:rsid w:val="00034097"/>
    <w:rsid w:val="000355B4"/>
    <w:rsid w:val="00040057"/>
    <w:rsid w:val="00041796"/>
    <w:rsid w:val="00044BDB"/>
    <w:rsid w:val="00045B32"/>
    <w:rsid w:val="00050725"/>
    <w:rsid w:val="00051BEA"/>
    <w:rsid w:val="000573FF"/>
    <w:rsid w:val="00060081"/>
    <w:rsid w:val="00060E5C"/>
    <w:rsid w:val="000610FF"/>
    <w:rsid w:val="00062E5D"/>
    <w:rsid w:val="00070A5F"/>
    <w:rsid w:val="00071A0B"/>
    <w:rsid w:val="00072B6E"/>
    <w:rsid w:val="00083CED"/>
    <w:rsid w:val="00084940"/>
    <w:rsid w:val="000A0554"/>
    <w:rsid w:val="000A107C"/>
    <w:rsid w:val="000B18CA"/>
    <w:rsid w:val="000B2DA7"/>
    <w:rsid w:val="000B5BB4"/>
    <w:rsid w:val="000B6D6F"/>
    <w:rsid w:val="000C2E06"/>
    <w:rsid w:val="000C32D9"/>
    <w:rsid w:val="000C75FA"/>
    <w:rsid w:val="000D3B4B"/>
    <w:rsid w:val="000D58A1"/>
    <w:rsid w:val="000D6118"/>
    <w:rsid w:val="000E3666"/>
    <w:rsid w:val="000E66C9"/>
    <w:rsid w:val="000F2C2C"/>
    <w:rsid w:val="000F45D6"/>
    <w:rsid w:val="000F4E35"/>
    <w:rsid w:val="000F63A1"/>
    <w:rsid w:val="00101CF5"/>
    <w:rsid w:val="0010230B"/>
    <w:rsid w:val="00105DB1"/>
    <w:rsid w:val="00106B81"/>
    <w:rsid w:val="00110086"/>
    <w:rsid w:val="00114DF0"/>
    <w:rsid w:val="001169FA"/>
    <w:rsid w:val="00121970"/>
    <w:rsid w:val="00121F34"/>
    <w:rsid w:val="001227E9"/>
    <w:rsid w:val="00124265"/>
    <w:rsid w:val="00126288"/>
    <w:rsid w:val="00127F04"/>
    <w:rsid w:val="00131548"/>
    <w:rsid w:val="00131B0C"/>
    <w:rsid w:val="00132FD7"/>
    <w:rsid w:val="00133C33"/>
    <w:rsid w:val="001345F4"/>
    <w:rsid w:val="0013759C"/>
    <w:rsid w:val="00140606"/>
    <w:rsid w:val="00141D73"/>
    <w:rsid w:val="0014318F"/>
    <w:rsid w:val="00147A01"/>
    <w:rsid w:val="0015372A"/>
    <w:rsid w:val="0015680B"/>
    <w:rsid w:val="00163361"/>
    <w:rsid w:val="0017244C"/>
    <w:rsid w:val="001746F3"/>
    <w:rsid w:val="00176DE3"/>
    <w:rsid w:val="00180F44"/>
    <w:rsid w:val="00184D4F"/>
    <w:rsid w:val="00191683"/>
    <w:rsid w:val="001932B4"/>
    <w:rsid w:val="00195522"/>
    <w:rsid w:val="001A0533"/>
    <w:rsid w:val="001A1860"/>
    <w:rsid w:val="001A196B"/>
    <w:rsid w:val="001A46DA"/>
    <w:rsid w:val="001A70A9"/>
    <w:rsid w:val="001B03D4"/>
    <w:rsid w:val="001B0C6C"/>
    <w:rsid w:val="001B5E23"/>
    <w:rsid w:val="001C19B5"/>
    <w:rsid w:val="001C5439"/>
    <w:rsid w:val="001C6F27"/>
    <w:rsid w:val="001D1A8A"/>
    <w:rsid w:val="001D30E2"/>
    <w:rsid w:val="001D4936"/>
    <w:rsid w:val="001D5D1E"/>
    <w:rsid w:val="001D5F61"/>
    <w:rsid w:val="001D731D"/>
    <w:rsid w:val="001E14D7"/>
    <w:rsid w:val="001E1D66"/>
    <w:rsid w:val="001E20FA"/>
    <w:rsid w:val="001E49B4"/>
    <w:rsid w:val="001E5336"/>
    <w:rsid w:val="001E70A5"/>
    <w:rsid w:val="001E7A46"/>
    <w:rsid w:val="001F0E49"/>
    <w:rsid w:val="001F3F43"/>
    <w:rsid w:val="001F4642"/>
    <w:rsid w:val="001F48DA"/>
    <w:rsid w:val="001F6312"/>
    <w:rsid w:val="001F761C"/>
    <w:rsid w:val="002038A1"/>
    <w:rsid w:val="002049A3"/>
    <w:rsid w:val="00206EDA"/>
    <w:rsid w:val="00211281"/>
    <w:rsid w:val="002160E1"/>
    <w:rsid w:val="0021648A"/>
    <w:rsid w:val="00220E12"/>
    <w:rsid w:val="00220F2F"/>
    <w:rsid w:val="0022290E"/>
    <w:rsid w:val="002230A2"/>
    <w:rsid w:val="00223E83"/>
    <w:rsid w:val="00225022"/>
    <w:rsid w:val="00227139"/>
    <w:rsid w:val="00227C69"/>
    <w:rsid w:val="0023251D"/>
    <w:rsid w:val="00232B9E"/>
    <w:rsid w:val="0023477E"/>
    <w:rsid w:val="00237984"/>
    <w:rsid w:val="002379FA"/>
    <w:rsid w:val="00250C4F"/>
    <w:rsid w:val="00256B89"/>
    <w:rsid w:val="002600D1"/>
    <w:rsid w:val="00261DC4"/>
    <w:rsid w:val="00264FB0"/>
    <w:rsid w:val="0026598A"/>
    <w:rsid w:val="00267CA8"/>
    <w:rsid w:val="0027032B"/>
    <w:rsid w:val="0027117D"/>
    <w:rsid w:val="00272540"/>
    <w:rsid w:val="00281139"/>
    <w:rsid w:val="00283AF1"/>
    <w:rsid w:val="00285BFF"/>
    <w:rsid w:val="002908E6"/>
    <w:rsid w:val="00290CCB"/>
    <w:rsid w:val="002911C4"/>
    <w:rsid w:val="00294FD7"/>
    <w:rsid w:val="00295B52"/>
    <w:rsid w:val="002977F7"/>
    <w:rsid w:val="002A2615"/>
    <w:rsid w:val="002B18FA"/>
    <w:rsid w:val="002B1C5A"/>
    <w:rsid w:val="002B4512"/>
    <w:rsid w:val="002B4FB1"/>
    <w:rsid w:val="002B66FE"/>
    <w:rsid w:val="002C178B"/>
    <w:rsid w:val="002C1FF6"/>
    <w:rsid w:val="002C2EAD"/>
    <w:rsid w:val="002C3D46"/>
    <w:rsid w:val="002C5B6F"/>
    <w:rsid w:val="002C72CE"/>
    <w:rsid w:val="002D35B2"/>
    <w:rsid w:val="002D37C7"/>
    <w:rsid w:val="002E0535"/>
    <w:rsid w:val="002E06F6"/>
    <w:rsid w:val="002E143D"/>
    <w:rsid w:val="002E3DED"/>
    <w:rsid w:val="002F10E2"/>
    <w:rsid w:val="002F1784"/>
    <w:rsid w:val="00301937"/>
    <w:rsid w:val="00301F28"/>
    <w:rsid w:val="00302778"/>
    <w:rsid w:val="00310E30"/>
    <w:rsid w:val="0031324D"/>
    <w:rsid w:val="00323EB8"/>
    <w:rsid w:val="00325F1E"/>
    <w:rsid w:val="00325F58"/>
    <w:rsid w:val="003339AA"/>
    <w:rsid w:val="00335118"/>
    <w:rsid w:val="00336E13"/>
    <w:rsid w:val="0034206D"/>
    <w:rsid w:val="00344F88"/>
    <w:rsid w:val="003451B0"/>
    <w:rsid w:val="00345A8C"/>
    <w:rsid w:val="0034645A"/>
    <w:rsid w:val="00346486"/>
    <w:rsid w:val="00347B85"/>
    <w:rsid w:val="003517CD"/>
    <w:rsid w:val="0035242F"/>
    <w:rsid w:val="00353170"/>
    <w:rsid w:val="00355974"/>
    <w:rsid w:val="003559D5"/>
    <w:rsid w:val="003563A9"/>
    <w:rsid w:val="0035775E"/>
    <w:rsid w:val="00363D32"/>
    <w:rsid w:val="003651D2"/>
    <w:rsid w:val="003665D7"/>
    <w:rsid w:val="003712A0"/>
    <w:rsid w:val="003723CC"/>
    <w:rsid w:val="003743D5"/>
    <w:rsid w:val="003749E3"/>
    <w:rsid w:val="00397B97"/>
    <w:rsid w:val="003A0EC4"/>
    <w:rsid w:val="003B17D1"/>
    <w:rsid w:val="003B463B"/>
    <w:rsid w:val="003C4C7F"/>
    <w:rsid w:val="003C6195"/>
    <w:rsid w:val="003C6E6B"/>
    <w:rsid w:val="003D0BDE"/>
    <w:rsid w:val="003D2E90"/>
    <w:rsid w:val="003D44D1"/>
    <w:rsid w:val="003D5DC1"/>
    <w:rsid w:val="003E427F"/>
    <w:rsid w:val="003E73F8"/>
    <w:rsid w:val="003F49FB"/>
    <w:rsid w:val="003F6E1E"/>
    <w:rsid w:val="003F7D44"/>
    <w:rsid w:val="00401478"/>
    <w:rsid w:val="004017FB"/>
    <w:rsid w:val="004026F8"/>
    <w:rsid w:val="00404309"/>
    <w:rsid w:val="00404F3B"/>
    <w:rsid w:val="004122EF"/>
    <w:rsid w:val="00413623"/>
    <w:rsid w:val="00417198"/>
    <w:rsid w:val="00423D00"/>
    <w:rsid w:val="00430FF2"/>
    <w:rsid w:val="00432144"/>
    <w:rsid w:val="004324E3"/>
    <w:rsid w:val="00436348"/>
    <w:rsid w:val="004402A8"/>
    <w:rsid w:val="00441B8C"/>
    <w:rsid w:val="00441CF5"/>
    <w:rsid w:val="004432CB"/>
    <w:rsid w:val="00446DE5"/>
    <w:rsid w:val="004503F6"/>
    <w:rsid w:val="004506A6"/>
    <w:rsid w:val="00453879"/>
    <w:rsid w:val="004538D6"/>
    <w:rsid w:val="004557E7"/>
    <w:rsid w:val="004558DD"/>
    <w:rsid w:val="00462821"/>
    <w:rsid w:val="00462ACA"/>
    <w:rsid w:val="004651FE"/>
    <w:rsid w:val="0046618E"/>
    <w:rsid w:val="0047079B"/>
    <w:rsid w:val="00472915"/>
    <w:rsid w:val="00475166"/>
    <w:rsid w:val="004752B9"/>
    <w:rsid w:val="004815F4"/>
    <w:rsid w:val="00482FED"/>
    <w:rsid w:val="004831DE"/>
    <w:rsid w:val="004843E6"/>
    <w:rsid w:val="00485D33"/>
    <w:rsid w:val="00485DFF"/>
    <w:rsid w:val="004874A8"/>
    <w:rsid w:val="00487A3D"/>
    <w:rsid w:val="004908CD"/>
    <w:rsid w:val="0049239B"/>
    <w:rsid w:val="00494E05"/>
    <w:rsid w:val="004953D0"/>
    <w:rsid w:val="00495CD4"/>
    <w:rsid w:val="0049727D"/>
    <w:rsid w:val="004A1C59"/>
    <w:rsid w:val="004A2320"/>
    <w:rsid w:val="004A4C89"/>
    <w:rsid w:val="004A5720"/>
    <w:rsid w:val="004A579D"/>
    <w:rsid w:val="004A5BDC"/>
    <w:rsid w:val="004B0A3E"/>
    <w:rsid w:val="004B75DB"/>
    <w:rsid w:val="004C01FE"/>
    <w:rsid w:val="004C0AF8"/>
    <w:rsid w:val="004C0BE7"/>
    <w:rsid w:val="004C610A"/>
    <w:rsid w:val="004E1643"/>
    <w:rsid w:val="004E27B8"/>
    <w:rsid w:val="004E438E"/>
    <w:rsid w:val="004F08D6"/>
    <w:rsid w:val="004F39F1"/>
    <w:rsid w:val="004F4F39"/>
    <w:rsid w:val="005000CD"/>
    <w:rsid w:val="005002B7"/>
    <w:rsid w:val="00503A78"/>
    <w:rsid w:val="00507139"/>
    <w:rsid w:val="0051020C"/>
    <w:rsid w:val="00512417"/>
    <w:rsid w:val="00514AD5"/>
    <w:rsid w:val="00516807"/>
    <w:rsid w:val="005364A6"/>
    <w:rsid w:val="00536DF7"/>
    <w:rsid w:val="00541280"/>
    <w:rsid w:val="005412BA"/>
    <w:rsid w:val="005438C9"/>
    <w:rsid w:val="00550166"/>
    <w:rsid w:val="005513FB"/>
    <w:rsid w:val="00553907"/>
    <w:rsid w:val="00556D1C"/>
    <w:rsid w:val="005608F6"/>
    <w:rsid w:val="0056454C"/>
    <w:rsid w:val="00564904"/>
    <w:rsid w:val="00564B0F"/>
    <w:rsid w:val="00570DF1"/>
    <w:rsid w:val="00572EF1"/>
    <w:rsid w:val="00581C6A"/>
    <w:rsid w:val="005825B6"/>
    <w:rsid w:val="00582FA8"/>
    <w:rsid w:val="00583E2D"/>
    <w:rsid w:val="00584105"/>
    <w:rsid w:val="00586CB5"/>
    <w:rsid w:val="00590367"/>
    <w:rsid w:val="00594640"/>
    <w:rsid w:val="00597E8D"/>
    <w:rsid w:val="005A1650"/>
    <w:rsid w:val="005A5669"/>
    <w:rsid w:val="005A7739"/>
    <w:rsid w:val="005A7EE9"/>
    <w:rsid w:val="005B1482"/>
    <w:rsid w:val="005B3980"/>
    <w:rsid w:val="005B5347"/>
    <w:rsid w:val="005B5F26"/>
    <w:rsid w:val="005C1AD2"/>
    <w:rsid w:val="005C22F6"/>
    <w:rsid w:val="005C5584"/>
    <w:rsid w:val="005C5996"/>
    <w:rsid w:val="005C7E95"/>
    <w:rsid w:val="005D7786"/>
    <w:rsid w:val="005E07C4"/>
    <w:rsid w:val="005E7C6D"/>
    <w:rsid w:val="005F3493"/>
    <w:rsid w:val="00600F27"/>
    <w:rsid w:val="00603153"/>
    <w:rsid w:val="00612E15"/>
    <w:rsid w:val="00614DF1"/>
    <w:rsid w:val="00620471"/>
    <w:rsid w:val="00623521"/>
    <w:rsid w:val="00626A1B"/>
    <w:rsid w:val="00632941"/>
    <w:rsid w:val="00640BD3"/>
    <w:rsid w:val="0064256C"/>
    <w:rsid w:val="00647304"/>
    <w:rsid w:val="006509AC"/>
    <w:rsid w:val="00654C60"/>
    <w:rsid w:val="006557C5"/>
    <w:rsid w:val="00665C0A"/>
    <w:rsid w:val="00667E05"/>
    <w:rsid w:val="006704CD"/>
    <w:rsid w:val="00671152"/>
    <w:rsid w:val="006723B6"/>
    <w:rsid w:val="00683269"/>
    <w:rsid w:val="006844FF"/>
    <w:rsid w:val="00690BC1"/>
    <w:rsid w:val="00697343"/>
    <w:rsid w:val="006A0DB0"/>
    <w:rsid w:val="006A7C35"/>
    <w:rsid w:val="006A7FD3"/>
    <w:rsid w:val="006C0D59"/>
    <w:rsid w:val="006C3418"/>
    <w:rsid w:val="006C3559"/>
    <w:rsid w:val="006D2256"/>
    <w:rsid w:val="006D49BB"/>
    <w:rsid w:val="006D4EAE"/>
    <w:rsid w:val="006D6904"/>
    <w:rsid w:val="006D6C63"/>
    <w:rsid w:val="006E1128"/>
    <w:rsid w:val="006E1337"/>
    <w:rsid w:val="006E45FA"/>
    <w:rsid w:val="006E4B42"/>
    <w:rsid w:val="006F10E4"/>
    <w:rsid w:val="006F3F1A"/>
    <w:rsid w:val="006F6044"/>
    <w:rsid w:val="006F7B6E"/>
    <w:rsid w:val="00700A8D"/>
    <w:rsid w:val="007012DE"/>
    <w:rsid w:val="00703081"/>
    <w:rsid w:val="007044AC"/>
    <w:rsid w:val="00707370"/>
    <w:rsid w:val="00707957"/>
    <w:rsid w:val="007079AD"/>
    <w:rsid w:val="0071013B"/>
    <w:rsid w:val="00711297"/>
    <w:rsid w:val="00711379"/>
    <w:rsid w:val="00713704"/>
    <w:rsid w:val="00713C31"/>
    <w:rsid w:val="00724855"/>
    <w:rsid w:val="00734542"/>
    <w:rsid w:val="00735CCC"/>
    <w:rsid w:val="00740B76"/>
    <w:rsid w:val="00743BB8"/>
    <w:rsid w:val="007459AE"/>
    <w:rsid w:val="00745A04"/>
    <w:rsid w:val="0075161A"/>
    <w:rsid w:val="00761110"/>
    <w:rsid w:val="00761D75"/>
    <w:rsid w:val="00767285"/>
    <w:rsid w:val="00767B2C"/>
    <w:rsid w:val="00770D48"/>
    <w:rsid w:val="007738CD"/>
    <w:rsid w:val="00775ABE"/>
    <w:rsid w:val="00776641"/>
    <w:rsid w:val="00783248"/>
    <w:rsid w:val="00783D13"/>
    <w:rsid w:val="00785EC4"/>
    <w:rsid w:val="007867F2"/>
    <w:rsid w:val="0079298A"/>
    <w:rsid w:val="007A24C8"/>
    <w:rsid w:val="007B27EC"/>
    <w:rsid w:val="007B5B55"/>
    <w:rsid w:val="007C3B73"/>
    <w:rsid w:val="007C3D3A"/>
    <w:rsid w:val="007C7A30"/>
    <w:rsid w:val="007D4E6D"/>
    <w:rsid w:val="007E0255"/>
    <w:rsid w:val="007E0E48"/>
    <w:rsid w:val="007E46A6"/>
    <w:rsid w:val="007F013C"/>
    <w:rsid w:val="007F1C6C"/>
    <w:rsid w:val="007F43A6"/>
    <w:rsid w:val="007F62CD"/>
    <w:rsid w:val="007F76D1"/>
    <w:rsid w:val="007F799E"/>
    <w:rsid w:val="007F7E8B"/>
    <w:rsid w:val="00802F14"/>
    <w:rsid w:val="008066DD"/>
    <w:rsid w:val="00807655"/>
    <w:rsid w:val="00813BDB"/>
    <w:rsid w:val="00816C66"/>
    <w:rsid w:val="00820EE8"/>
    <w:rsid w:val="00822FBC"/>
    <w:rsid w:val="00827649"/>
    <w:rsid w:val="00835AF7"/>
    <w:rsid w:val="00840ACA"/>
    <w:rsid w:val="00840B46"/>
    <w:rsid w:val="00843794"/>
    <w:rsid w:val="00845972"/>
    <w:rsid w:val="00846704"/>
    <w:rsid w:val="008470E7"/>
    <w:rsid w:val="008479C0"/>
    <w:rsid w:val="008501A4"/>
    <w:rsid w:val="00850FF1"/>
    <w:rsid w:val="0085272F"/>
    <w:rsid w:val="0085459C"/>
    <w:rsid w:val="00855B90"/>
    <w:rsid w:val="00855F8C"/>
    <w:rsid w:val="00856778"/>
    <w:rsid w:val="0085734C"/>
    <w:rsid w:val="008601E6"/>
    <w:rsid w:val="00860C03"/>
    <w:rsid w:val="008611AE"/>
    <w:rsid w:val="00862858"/>
    <w:rsid w:val="008636A1"/>
    <w:rsid w:val="00865350"/>
    <w:rsid w:val="00866BF9"/>
    <w:rsid w:val="00867C6F"/>
    <w:rsid w:val="00874254"/>
    <w:rsid w:val="00876F85"/>
    <w:rsid w:val="008774E2"/>
    <w:rsid w:val="00884FF8"/>
    <w:rsid w:val="0088701D"/>
    <w:rsid w:val="0088750D"/>
    <w:rsid w:val="008A2BE1"/>
    <w:rsid w:val="008A3F5C"/>
    <w:rsid w:val="008B3120"/>
    <w:rsid w:val="008B436A"/>
    <w:rsid w:val="008B756D"/>
    <w:rsid w:val="008C05B9"/>
    <w:rsid w:val="008C0BF2"/>
    <w:rsid w:val="008C7CD6"/>
    <w:rsid w:val="008D298C"/>
    <w:rsid w:val="008D2FDD"/>
    <w:rsid w:val="008D5C0C"/>
    <w:rsid w:val="008D68E5"/>
    <w:rsid w:val="008E1882"/>
    <w:rsid w:val="008E228D"/>
    <w:rsid w:val="008E28C3"/>
    <w:rsid w:val="008F0088"/>
    <w:rsid w:val="008F21DA"/>
    <w:rsid w:val="008F2DEF"/>
    <w:rsid w:val="008F55C6"/>
    <w:rsid w:val="00901957"/>
    <w:rsid w:val="00903D92"/>
    <w:rsid w:val="00905C35"/>
    <w:rsid w:val="00906541"/>
    <w:rsid w:val="00906D82"/>
    <w:rsid w:val="00920236"/>
    <w:rsid w:val="00926D04"/>
    <w:rsid w:val="00926FBB"/>
    <w:rsid w:val="00930293"/>
    <w:rsid w:val="00930AD3"/>
    <w:rsid w:val="00931670"/>
    <w:rsid w:val="00934892"/>
    <w:rsid w:val="00940529"/>
    <w:rsid w:val="009440D1"/>
    <w:rsid w:val="009459A2"/>
    <w:rsid w:val="00946B0A"/>
    <w:rsid w:val="0094718B"/>
    <w:rsid w:val="00950576"/>
    <w:rsid w:val="00951159"/>
    <w:rsid w:val="00954CAE"/>
    <w:rsid w:val="0095555E"/>
    <w:rsid w:val="009572B8"/>
    <w:rsid w:val="00963A4E"/>
    <w:rsid w:val="00965D9A"/>
    <w:rsid w:val="009724C2"/>
    <w:rsid w:val="0097375F"/>
    <w:rsid w:val="009749C2"/>
    <w:rsid w:val="00975A61"/>
    <w:rsid w:val="009842EF"/>
    <w:rsid w:val="00984901"/>
    <w:rsid w:val="00994B85"/>
    <w:rsid w:val="00995E34"/>
    <w:rsid w:val="0099749D"/>
    <w:rsid w:val="009A042F"/>
    <w:rsid w:val="009A06CF"/>
    <w:rsid w:val="009A302D"/>
    <w:rsid w:val="009A5B3D"/>
    <w:rsid w:val="009A6416"/>
    <w:rsid w:val="009A764C"/>
    <w:rsid w:val="009B0C8B"/>
    <w:rsid w:val="009B44C8"/>
    <w:rsid w:val="009B71AB"/>
    <w:rsid w:val="009C18E2"/>
    <w:rsid w:val="009C6E9D"/>
    <w:rsid w:val="009D0156"/>
    <w:rsid w:val="009D23FF"/>
    <w:rsid w:val="009D2B7A"/>
    <w:rsid w:val="009D4884"/>
    <w:rsid w:val="009D557E"/>
    <w:rsid w:val="009D6BF6"/>
    <w:rsid w:val="009E0185"/>
    <w:rsid w:val="009F2B1D"/>
    <w:rsid w:val="009F6DAC"/>
    <w:rsid w:val="00A04E1D"/>
    <w:rsid w:val="00A04F04"/>
    <w:rsid w:val="00A05C5F"/>
    <w:rsid w:val="00A1260D"/>
    <w:rsid w:val="00A12E1A"/>
    <w:rsid w:val="00A1726E"/>
    <w:rsid w:val="00A20D47"/>
    <w:rsid w:val="00A22249"/>
    <w:rsid w:val="00A239B5"/>
    <w:rsid w:val="00A23C4E"/>
    <w:rsid w:val="00A26974"/>
    <w:rsid w:val="00A27945"/>
    <w:rsid w:val="00A322FF"/>
    <w:rsid w:val="00A32A51"/>
    <w:rsid w:val="00A364A4"/>
    <w:rsid w:val="00A3684B"/>
    <w:rsid w:val="00A41E06"/>
    <w:rsid w:val="00A4330C"/>
    <w:rsid w:val="00A446E8"/>
    <w:rsid w:val="00A47327"/>
    <w:rsid w:val="00A51B86"/>
    <w:rsid w:val="00A52E15"/>
    <w:rsid w:val="00A53B22"/>
    <w:rsid w:val="00A54CB9"/>
    <w:rsid w:val="00A55A81"/>
    <w:rsid w:val="00A611A8"/>
    <w:rsid w:val="00A62275"/>
    <w:rsid w:val="00A6380B"/>
    <w:rsid w:val="00A659A3"/>
    <w:rsid w:val="00A66090"/>
    <w:rsid w:val="00A71F0D"/>
    <w:rsid w:val="00A720D7"/>
    <w:rsid w:val="00A73CA1"/>
    <w:rsid w:val="00A74244"/>
    <w:rsid w:val="00A81F78"/>
    <w:rsid w:val="00A83E55"/>
    <w:rsid w:val="00A8426D"/>
    <w:rsid w:val="00A8792E"/>
    <w:rsid w:val="00A90186"/>
    <w:rsid w:val="00A90282"/>
    <w:rsid w:val="00A91C13"/>
    <w:rsid w:val="00A92008"/>
    <w:rsid w:val="00A970BF"/>
    <w:rsid w:val="00AA00C8"/>
    <w:rsid w:val="00AA18A3"/>
    <w:rsid w:val="00AA3593"/>
    <w:rsid w:val="00AA443E"/>
    <w:rsid w:val="00AB0D9C"/>
    <w:rsid w:val="00AB29AF"/>
    <w:rsid w:val="00AB3038"/>
    <w:rsid w:val="00AB41D1"/>
    <w:rsid w:val="00AB4235"/>
    <w:rsid w:val="00AB582F"/>
    <w:rsid w:val="00AB7F66"/>
    <w:rsid w:val="00AC11B4"/>
    <w:rsid w:val="00AC1F14"/>
    <w:rsid w:val="00AC4479"/>
    <w:rsid w:val="00AC51D0"/>
    <w:rsid w:val="00AC7C0F"/>
    <w:rsid w:val="00AD3D3C"/>
    <w:rsid w:val="00AD5522"/>
    <w:rsid w:val="00AE0873"/>
    <w:rsid w:val="00AE09C7"/>
    <w:rsid w:val="00AE110A"/>
    <w:rsid w:val="00AE3A47"/>
    <w:rsid w:val="00AE48E4"/>
    <w:rsid w:val="00AE56C7"/>
    <w:rsid w:val="00AE7125"/>
    <w:rsid w:val="00AF24E0"/>
    <w:rsid w:val="00B000A2"/>
    <w:rsid w:val="00B0126E"/>
    <w:rsid w:val="00B01334"/>
    <w:rsid w:val="00B10FD2"/>
    <w:rsid w:val="00B14E15"/>
    <w:rsid w:val="00B201F0"/>
    <w:rsid w:val="00B2180E"/>
    <w:rsid w:val="00B2269F"/>
    <w:rsid w:val="00B22998"/>
    <w:rsid w:val="00B257D6"/>
    <w:rsid w:val="00B25A14"/>
    <w:rsid w:val="00B26CAD"/>
    <w:rsid w:val="00B33D31"/>
    <w:rsid w:val="00B3531A"/>
    <w:rsid w:val="00B3565F"/>
    <w:rsid w:val="00B35951"/>
    <w:rsid w:val="00B40DD3"/>
    <w:rsid w:val="00B46ADB"/>
    <w:rsid w:val="00B505B1"/>
    <w:rsid w:val="00B50917"/>
    <w:rsid w:val="00B52702"/>
    <w:rsid w:val="00B55602"/>
    <w:rsid w:val="00B572A8"/>
    <w:rsid w:val="00B61B11"/>
    <w:rsid w:val="00B61EAF"/>
    <w:rsid w:val="00B6569C"/>
    <w:rsid w:val="00B65901"/>
    <w:rsid w:val="00B65DA8"/>
    <w:rsid w:val="00B67BC8"/>
    <w:rsid w:val="00B74E39"/>
    <w:rsid w:val="00B76D73"/>
    <w:rsid w:val="00B77026"/>
    <w:rsid w:val="00B84320"/>
    <w:rsid w:val="00B8686E"/>
    <w:rsid w:val="00B924A4"/>
    <w:rsid w:val="00B9531B"/>
    <w:rsid w:val="00B954B6"/>
    <w:rsid w:val="00B974B0"/>
    <w:rsid w:val="00BA2369"/>
    <w:rsid w:val="00BA5867"/>
    <w:rsid w:val="00BA60DA"/>
    <w:rsid w:val="00BA666E"/>
    <w:rsid w:val="00BB0609"/>
    <w:rsid w:val="00BB1459"/>
    <w:rsid w:val="00BB4077"/>
    <w:rsid w:val="00BC0E7C"/>
    <w:rsid w:val="00BC6D38"/>
    <w:rsid w:val="00BD00BD"/>
    <w:rsid w:val="00BD7553"/>
    <w:rsid w:val="00BE0B5F"/>
    <w:rsid w:val="00BE2700"/>
    <w:rsid w:val="00BE2CAB"/>
    <w:rsid w:val="00BE463F"/>
    <w:rsid w:val="00BE772F"/>
    <w:rsid w:val="00BF1D10"/>
    <w:rsid w:val="00BF74F5"/>
    <w:rsid w:val="00C02A8E"/>
    <w:rsid w:val="00C041DD"/>
    <w:rsid w:val="00C04C97"/>
    <w:rsid w:val="00C04FC6"/>
    <w:rsid w:val="00C05DA8"/>
    <w:rsid w:val="00C11538"/>
    <w:rsid w:val="00C178C5"/>
    <w:rsid w:val="00C17997"/>
    <w:rsid w:val="00C249B1"/>
    <w:rsid w:val="00C2607D"/>
    <w:rsid w:val="00C33D0E"/>
    <w:rsid w:val="00C467D2"/>
    <w:rsid w:val="00C52FE1"/>
    <w:rsid w:val="00C56B94"/>
    <w:rsid w:val="00C57137"/>
    <w:rsid w:val="00C64095"/>
    <w:rsid w:val="00C67C11"/>
    <w:rsid w:val="00C723DB"/>
    <w:rsid w:val="00C761C5"/>
    <w:rsid w:val="00C80B46"/>
    <w:rsid w:val="00C81B16"/>
    <w:rsid w:val="00C90706"/>
    <w:rsid w:val="00C94431"/>
    <w:rsid w:val="00C9481F"/>
    <w:rsid w:val="00C94D78"/>
    <w:rsid w:val="00C970E7"/>
    <w:rsid w:val="00CA08B1"/>
    <w:rsid w:val="00CA41C4"/>
    <w:rsid w:val="00CA6324"/>
    <w:rsid w:val="00CA79F0"/>
    <w:rsid w:val="00CB1719"/>
    <w:rsid w:val="00CB262E"/>
    <w:rsid w:val="00CB3638"/>
    <w:rsid w:val="00CB4077"/>
    <w:rsid w:val="00CB698F"/>
    <w:rsid w:val="00CB6E28"/>
    <w:rsid w:val="00CB6EC6"/>
    <w:rsid w:val="00CB7259"/>
    <w:rsid w:val="00CC2D54"/>
    <w:rsid w:val="00CC55B8"/>
    <w:rsid w:val="00CC7D4B"/>
    <w:rsid w:val="00CD0286"/>
    <w:rsid w:val="00CD4B55"/>
    <w:rsid w:val="00CD6BC3"/>
    <w:rsid w:val="00CE2E57"/>
    <w:rsid w:val="00CE3E29"/>
    <w:rsid w:val="00CE459D"/>
    <w:rsid w:val="00CF1835"/>
    <w:rsid w:val="00CF1EC5"/>
    <w:rsid w:val="00CF3A09"/>
    <w:rsid w:val="00CF3ADE"/>
    <w:rsid w:val="00CF3DBB"/>
    <w:rsid w:val="00CF4BFD"/>
    <w:rsid w:val="00D061DC"/>
    <w:rsid w:val="00D06408"/>
    <w:rsid w:val="00D070F0"/>
    <w:rsid w:val="00D10E63"/>
    <w:rsid w:val="00D1645C"/>
    <w:rsid w:val="00D21CE9"/>
    <w:rsid w:val="00D21F8E"/>
    <w:rsid w:val="00D227EE"/>
    <w:rsid w:val="00D2777E"/>
    <w:rsid w:val="00D30D83"/>
    <w:rsid w:val="00D313A0"/>
    <w:rsid w:val="00D31DBA"/>
    <w:rsid w:val="00D32DB9"/>
    <w:rsid w:val="00D33BB6"/>
    <w:rsid w:val="00D408D1"/>
    <w:rsid w:val="00D4159E"/>
    <w:rsid w:val="00D45016"/>
    <w:rsid w:val="00D47A0E"/>
    <w:rsid w:val="00D50158"/>
    <w:rsid w:val="00D545A6"/>
    <w:rsid w:val="00D60EFC"/>
    <w:rsid w:val="00D657D2"/>
    <w:rsid w:val="00D6737A"/>
    <w:rsid w:val="00D70E7D"/>
    <w:rsid w:val="00D71D23"/>
    <w:rsid w:val="00D7259A"/>
    <w:rsid w:val="00D72EED"/>
    <w:rsid w:val="00D7508E"/>
    <w:rsid w:val="00D85495"/>
    <w:rsid w:val="00D863B5"/>
    <w:rsid w:val="00D87F3B"/>
    <w:rsid w:val="00D915C3"/>
    <w:rsid w:val="00D93F09"/>
    <w:rsid w:val="00D95AD8"/>
    <w:rsid w:val="00D966C8"/>
    <w:rsid w:val="00D96AFF"/>
    <w:rsid w:val="00DA06A0"/>
    <w:rsid w:val="00DA1CCE"/>
    <w:rsid w:val="00DA55F9"/>
    <w:rsid w:val="00DB002C"/>
    <w:rsid w:val="00DB2DE3"/>
    <w:rsid w:val="00DB2F7E"/>
    <w:rsid w:val="00DB5AA5"/>
    <w:rsid w:val="00DC5355"/>
    <w:rsid w:val="00DD3CF6"/>
    <w:rsid w:val="00DE03C9"/>
    <w:rsid w:val="00DE2476"/>
    <w:rsid w:val="00DE347A"/>
    <w:rsid w:val="00DF5F92"/>
    <w:rsid w:val="00DF6283"/>
    <w:rsid w:val="00E06E81"/>
    <w:rsid w:val="00E111C2"/>
    <w:rsid w:val="00E11D63"/>
    <w:rsid w:val="00E12C16"/>
    <w:rsid w:val="00E140DC"/>
    <w:rsid w:val="00E21129"/>
    <w:rsid w:val="00E215C6"/>
    <w:rsid w:val="00E24532"/>
    <w:rsid w:val="00E301B8"/>
    <w:rsid w:val="00E33EA0"/>
    <w:rsid w:val="00E35BC8"/>
    <w:rsid w:val="00E40FE1"/>
    <w:rsid w:val="00E41CA8"/>
    <w:rsid w:val="00E468FA"/>
    <w:rsid w:val="00E51CCA"/>
    <w:rsid w:val="00E537E4"/>
    <w:rsid w:val="00E5438C"/>
    <w:rsid w:val="00E60FDC"/>
    <w:rsid w:val="00E6352B"/>
    <w:rsid w:val="00E65131"/>
    <w:rsid w:val="00E664BB"/>
    <w:rsid w:val="00E70021"/>
    <w:rsid w:val="00E72D30"/>
    <w:rsid w:val="00E757B6"/>
    <w:rsid w:val="00E759F0"/>
    <w:rsid w:val="00E805EC"/>
    <w:rsid w:val="00E846C1"/>
    <w:rsid w:val="00E85518"/>
    <w:rsid w:val="00E85B75"/>
    <w:rsid w:val="00E94F34"/>
    <w:rsid w:val="00E965CA"/>
    <w:rsid w:val="00EA3A4E"/>
    <w:rsid w:val="00EA5C65"/>
    <w:rsid w:val="00EA65B4"/>
    <w:rsid w:val="00EA6983"/>
    <w:rsid w:val="00EA77E9"/>
    <w:rsid w:val="00EB5972"/>
    <w:rsid w:val="00EC260A"/>
    <w:rsid w:val="00EC795B"/>
    <w:rsid w:val="00ED2024"/>
    <w:rsid w:val="00ED4ED3"/>
    <w:rsid w:val="00ED5838"/>
    <w:rsid w:val="00EE2A94"/>
    <w:rsid w:val="00EE455F"/>
    <w:rsid w:val="00EE6A74"/>
    <w:rsid w:val="00EF1D88"/>
    <w:rsid w:val="00EF501E"/>
    <w:rsid w:val="00EF5814"/>
    <w:rsid w:val="00F04C54"/>
    <w:rsid w:val="00F05161"/>
    <w:rsid w:val="00F05ADF"/>
    <w:rsid w:val="00F061BC"/>
    <w:rsid w:val="00F102DB"/>
    <w:rsid w:val="00F11ED4"/>
    <w:rsid w:val="00F13AE4"/>
    <w:rsid w:val="00F13D9F"/>
    <w:rsid w:val="00F17EAE"/>
    <w:rsid w:val="00F26EF0"/>
    <w:rsid w:val="00F305EA"/>
    <w:rsid w:val="00F30E50"/>
    <w:rsid w:val="00F342AE"/>
    <w:rsid w:val="00F36AE2"/>
    <w:rsid w:val="00F40998"/>
    <w:rsid w:val="00F412E9"/>
    <w:rsid w:val="00F4613D"/>
    <w:rsid w:val="00F47FB8"/>
    <w:rsid w:val="00F50F14"/>
    <w:rsid w:val="00F515DF"/>
    <w:rsid w:val="00F52214"/>
    <w:rsid w:val="00F527A7"/>
    <w:rsid w:val="00F52818"/>
    <w:rsid w:val="00F60722"/>
    <w:rsid w:val="00F60A3B"/>
    <w:rsid w:val="00F60BA7"/>
    <w:rsid w:val="00F637EF"/>
    <w:rsid w:val="00F66DDA"/>
    <w:rsid w:val="00F86452"/>
    <w:rsid w:val="00F86965"/>
    <w:rsid w:val="00F91726"/>
    <w:rsid w:val="00F91B48"/>
    <w:rsid w:val="00F93043"/>
    <w:rsid w:val="00F94BCC"/>
    <w:rsid w:val="00FA413C"/>
    <w:rsid w:val="00FB2772"/>
    <w:rsid w:val="00FB43D8"/>
    <w:rsid w:val="00FB66BB"/>
    <w:rsid w:val="00FC4B10"/>
    <w:rsid w:val="00FC66E0"/>
    <w:rsid w:val="00FD38BD"/>
    <w:rsid w:val="00FD4416"/>
    <w:rsid w:val="00FD4685"/>
    <w:rsid w:val="00FE4CE8"/>
    <w:rsid w:val="00FE5BEE"/>
    <w:rsid w:val="00FE71FF"/>
    <w:rsid w:val="00FF1B7B"/>
    <w:rsid w:val="00FF4A9D"/>
    <w:rsid w:val="00FF6BC0"/>
    <w:rsid w:val="00FF75D4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27F67BDF"/>
  <w15:chartTrackingRefBased/>
  <w15:docId w15:val="{A34EEE50-6ACF-E443-9FE5-09D1BFF7A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66E"/>
    <w:pPr>
      <w:spacing w:before="40" w:after="180"/>
    </w:pPr>
    <w:rPr>
      <w:rFonts w:ascii="Calibri" w:eastAsia="Times New Roman" w:hAnsi="Calibri" w:cstheme="minorHAnsi"/>
      <w:bCs/>
      <w:iCs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110A"/>
    <w:pPr>
      <w:keepNext/>
      <w:keepLines/>
      <w:spacing w:before="0" w:after="480" w:line="216" w:lineRule="auto"/>
      <w:outlineLvl w:val="0"/>
    </w:pPr>
    <w:rPr>
      <w:rFonts w:ascii="Montserrat SemiBold" w:eastAsiaTheme="majorEastAsia" w:hAnsi="Montserrat SemiBold" w:cstheme="majorBidi"/>
      <w:b/>
      <w:iCs w:val="0"/>
      <w:color w:val="56268C"/>
      <w:sz w:val="62"/>
      <w:szCs w:val="6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4A9D"/>
    <w:pPr>
      <w:keepNext/>
      <w:keepLines/>
      <w:spacing w:before="480" w:after="80"/>
      <w:outlineLvl w:val="1"/>
    </w:pPr>
    <w:rPr>
      <w:rFonts w:ascii="Montserrat SemiBold" w:eastAsiaTheme="majorEastAsia" w:hAnsi="Montserrat SemiBold" w:cstheme="majorBidi"/>
      <w:b/>
      <w:iCs w:val="0"/>
      <w:color w:val="56268C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4E6D"/>
    <w:pPr>
      <w:keepNext/>
      <w:keepLines/>
      <w:spacing w:before="240" w:after="60"/>
      <w:outlineLvl w:val="2"/>
    </w:pPr>
    <w:rPr>
      <w:rFonts w:ascii="Montserrat SemiBold" w:eastAsiaTheme="majorEastAsia" w:hAnsi="Montserrat SemiBold" w:cstheme="majorBidi"/>
      <w:b/>
      <w:iCs w:val="0"/>
      <w:color w:val="404040" w:themeColor="text1" w:themeTint="BF"/>
      <w:sz w:val="26"/>
      <w:szCs w:val="26"/>
      <w:lang w:val="en-GB"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E463F"/>
    <w:pPr>
      <w:keepNext/>
      <w:keepLines/>
      <w:spacing w:before="80" w:after="120"/>
      <w:outlineLvl w:val="3"/>
    </w:pPr>
    <w:rPr>
      <w:rFonts w:ascii="Arial" w:eastAsiaTheme="majorEastAsia" w:hAnsi="Arial" w:cs="Times New Roman (Headings CS)"/>
      <w:i/>
      <w:iCs w:val="0"/>
      <w:spacing w:val="-10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12417"/>
    <w:pPr>
      <w:keepNext/>
      <w:keepLines/>
      <w:spacing w:before="120" w:after="120"/>
      <w:outlineLvl w:val="4"/>
    </w:pPr>
    <w:rPr>
      <w:rFonts w:ascii="Arial" w:eastAsiaTheme="majorEastAsia" w:hAnsi="Arial" w:cstheme="majorBidi"/>
      <w:b/>
      <w:bCs w:val="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A042F"/>
    <w:pPr>
      <w:keepNext/>
      <w:keepLines/>
      <w:spacing w:before="80" w:after="40"/>
      <w:outlineLvl w:val="5"/>
    </w:pPr>
    <w:rPr>
      <w:rFonts w:eastAsiaTheme="majorEastAsia" w:cstheme="majorBidi"/>
      <w:i/>
      <w:iCs w:val="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4640"/>
    <w:pPr>
      <w:keepNext/>
      <w:keepLines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4640"/>
    <w:pPr>
      <w:keepNext/>
      <w:keepLines/>
      <w:outlineLvl w:val="7"/>
    </w:pPr>
    <w:rPr>
      <w:rFonts w:eastAsiaTheme="majorEastAsia" w:cstheme="majorBidi"/>
      <w:i/>
      <w:iCs w:val="0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46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110A"/>
    <w:rPr>
      <w:rFonts w:ascii="Montserrat SemiBold" w:eastAsiaTheme="majorEastAsia" w:hAnsi="Montserrat SemiBold" w:cstheme="majorBidi"/>
      <w:b/>
      <w:bCs/>
      <w:color w:val="56268C"/>
      <w:kern w:val="0"/>
      <w:sz w:val="62"/>
      <w:szCs w:val="6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F4A9D"/>
    <w:rPr>
      <w:rFonts w:ascii="Montserrat SemiBold" w:eastAsiaTheme="majorEastAsia" w:hAnsi="Montserrat SemiBold" w:cstheme="majorBidi"/>
      <w:b/>
      <w:bCs/>
      <w:color w:val="56268C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7D4E6D"/>
    <w:rPr>
      <w:rFonts w:ascii="Montserrat SemiBold" w:eastAsiaTheme="majorEastAsia" w:hAnsi="Montserrat SemiBold" w:cstheme="majorBidi"/>
      <w:b/>
      <w:bCs/>
      <w:color w:val="404040" w:themeColor="text1" w:themeTint="BF"/>
      <w:kern w:val="0"/>
      <w:sz w:val="26"/>
      <w:szCs w:val="26"/>
      <w:lang w:val="en-GB" w:eastAsia="en-AU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BE463F"/>
    <w:rPr>
      <w:rFonts w:ascii="Arial" w:eastAsiaTheme="majorEastAsia" w:hAnsi="Arial" w:cs="Times New Roman (Headings CS)"/>
      <w:bCs/>
      <w:i/>
      <w:spacing w:val="-10"/>
      <w:kern w:val="0"/>
      <w:sz w:val="26"/>
      <w:szCs w:val="26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512417"/>
    <w:rPr>
      <w:rFonts w:ascii="Arial" w:eastAsiaTheme="majorEastAsia" w:hAnsi="Arial" w:cstheme="majorBidi"/>
      <w:b/>
      <w:iCs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9A042F"/>
    <w:rPr>
      <w:rFonts w:eastAsiaTheme="majorEastAsia" w:cstheme="majorBidi"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46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46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4640"/>
    <w:rPr>
      <w:rFonts w:eastAsiaTheme="majorEastAsia" w:cstheme="majorBidi"/>
      <w:color w:val="272727" w:themeColor="text1" w:themeTint="D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D38BD"/>
    <w:pPr>
      <w:spacing w:before="240" w:after="0"/>
      <w:outlineLvl w:val="9"/>
    </w:pPr>
    <w:rPr>
      <w:rFonts w:asciiTheme="majorHAnsi" w:hAnsiTheme="majorHAnsi"/>
      <w:b w:val="0"/>
      <w:bCs w:val="0"/>
      <w:color w:val="0F4761" w:themeColor="accent1" w:themeShade="BF"/>
      <w:sz w:val="32"/>
      <w:szCs w:val="32"/>
    </w:rPr>
  </w:style>
  <w:style w:type="paragraph" w:customStyle="1" w:styleId="Note">
    <w:name w:val="Note"/>
    <w:basedOn w:val="Normal"/>
    <w:qFormat/>
    <w:rsid w:val="00FD38BD"/>
    <w:pPr>
      <w:spacing w:before="60" w:after="120"/>
    </w:pPr>
    <w:rPr>
      <w:rFonts w:asciiTheme="minorHAnsi" w:eastAsia="Calibri" w:hAnsiTheme="minorHAnsi"/>
      <w:bCs w:val="0"/>
      <w:iCs w:val="0"/>
      <w:color w:val="262626" w:themeColor="text1" w:themeTint="D9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4718B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4718B"/>
    <w:rPr>
      <w:rFonts w:ascii="Calibri" w:eastAsia="Times New Roman" w:hAnsi="Calibri" w:cstheme="minorHAnsi"/>
      <w:bCs/>
      <w:iCs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4718B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4718B"/>
    <w:rPr>
      <w:rFonts w:ascii="Calibri" w:eastAsia="Times New Roman" w:hAnsi="Calibri" w:cstheme="minorHAnsi"/>
      <w:bCs/>
      <w:iCs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F52818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594640"/>
    <w:rPr>
      <w:rFonts w:ascii="Calibri" w:eastAsia="Times New Roman" w:hAnsi="Calibri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594640"/>
    <w:rPr>
      <w:color w:val="141414"/>
      <w:u w:val="single"/>
    </w:rPr>
  </w:style>
  <w:style w:type="paragraph" w:customStyle="1" w:styleId="Footertextportraitpage">
    <w:name w:val="Footer text portrait page"/>
    <w:basedOn w:val="FootnotesEndnotestext"/>
    <w:qFormat/>
    <w:rsid w:val="00BD00BD"/>
    <w:pPr>
      <w:tabs>
        <w:tab w:val="center" w:pos="4395"/>
        <w:tab w:val="right" w:pos="8769"/>
      </w:tabs>
      <w:spacing w:before="0" w:after="0"/>
    </w:pPr>
  </w:style>
  <w:style w:type="paragraph" w:styleId="TOC2">
    <w:name w:val="toc 2"/>
    <w:basedOn w:val="TOC1"/>
    <w:next w:val="Normal"/>
    <w:autoRedefine/>
    <w:uiPriority w:val="39"/>
    <w:unhideWhenUsed/>
    <w:rsid w:val="00BD7553"/>
    <w:pPr>
      <w:tabs>
        <w:tab w:val="clear" w:pos="9016"/>
        <w:tab w:val="right" w:leader="dot" w:pos="9026"/>
      </w:tabs>
      <w:spacing w:before="80" w:line="260" w:lineRule="exact"/>
      <w:ind w:left="425"/>
    </w:pPr>
    <w:rPr>
      <w:b w:val="0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BD7553"/>
    <w:pPr>
      <w:tabs>
        <w:tab w:val="right" w:leader="dot" w:pos="9016"/>
      </w:tabs>
      <w:spacing w:before="200" w:after="40" w:line="280" w:lineRule="exact"/>
    </w:pPr>
    <w:rPr>
      <w:rFonts w:eastAsia="Calibri"/>
      <w:b/>
      <w:noProof/>
      <w:color w:val="262626" w:themeColor="text1" w:themeTint="D9"/>
    </w:rPr>
  </w:style>
  <w:style w:type="paragraph" w:styleId="TOC3">
    <w:name w:val="toc 3"/>
    <w:basedOn w:val="TOC2"/>
    <w:next w:val="Normal"/>
    <w:autoRedefine/>
    <w:uiPriority w:val="39"/>
    <w:unhideWhenUsed/>
    <w:rsid w:val="00BD7553"/>
    <w:pPr>
      <w:ind w:left="992"/>
    </w:pPr>
    <w:rPr>
      <w:sz w:val="22"/>
    </w:rPr>
  </w:style>
  <w:style w:type="paragraph" w:customStyle="1" w:styleId="Bullet1">
    <w:name w:val="Bullet 1"/>
    <w:basedOn w:val="Normal"/>
    <w:qFormat/>
    <w:rsid w:val="004B0A3E"/>
    <w:pPr>
      <w:numPr>
        <w:numId w:val="1"/>
      </w:numPr>
      <w:tabs>
        <w:tab w:val="left" w:pos="284"/>
      </w:tabs>
      <w:spacing w:before="60" w:after="120" w:line="300" w:lineRule="exact"/>
      <w:ind w:left="284" w:hanging="284"/>
    </w:pPr>
    <w:rPr>
      <w:rFonts w:cs="Arial"/>
      <w:bCs w:val="0"/>
      <w:iCs w:val="0"/>
      <w:lang w:eastAsia="en-AU"/>
    </w:rPr>
  </w:style>
  <w:style w:type="paragraph" w:customStyle="1" w:styleId="Bullet2">
    <w:name w:val="Bullet 2"/>
    <w:basedOn w:val="Bullet1"/>
    <w:qFormat/>
    <w:rsid w:val="004B0A3E"/>
    <w:pPr>
      <w:numPr>
        <w:numId w:val="2"/>
      </w:numPr>
      <w:tabs>
        <w:tab w:val="clear" w:pos="284"/>
        <w:tab w:val="left" w:pos="567"/>
      </w:tabs>
      <w:spacing w:line="280" w:lineRule="exact"/>
      <w:ind w:left="568" w:hanging="284"/>
    </w:pPr>
  </w:style>
  <w:style w:type="paragraph" w:customStyle="1" w:styleId="Tablebody">
    <w:name w:val="Table_body"/>
    <w:basedOn w:val="Normal"/>
    <w:qFormat/>
    <w:rsid w:val="00B55602"/>
    <w:pPr>
      <w:spacing w:before="60" w:after="60"/>
    </w:pPr>
    <w:rPr>
      <w:rFonts w:cs="Arial"/>
      <w:bCs w:val="0"/>
      <w:iCs w:val="0"/>
      <w:color w:val="262626" w:themeColor="text1" w:themeTint="D9"/>
      <w:sz w:val="21"/>
      <w:szCs w:val="21"/>
      <w:lang w:val="en-US" w:eastAsia="en-AU"/>
    </w:rPr>
  </w:style>
  <w:style w:type="paragraph" w:customStyle="1" w:styleId="Tableheaderreverse">
    <w:name w:val="Table_header_reverse"/>
    <w:basedOn w:val="Normal"/>
    <w:qFormat/>
    <w:rsid w:val="00A81F78"/>
    <w:pPr>
      <w:spacing w:before="60" w:after="60"/>
    </w:pPr>
    <w:rPr>
      <w:rFonts w:ascii="Arial" w:hAnsi="Arial"/>
      <w:color w:val="FFFFFF" w:themeColor="background1"/>
      <w:lang w:val="en-US" w:eastAsia="en-AU"/>
    </w:rPr>
  </w:style>
  <w:style w:type="paragraph" w:customStyle="1" w:styleId="Tablebullet1">
    <w:name w:val="Table bullet 1"/>
    <w:basedOn w:val="Bullet1"/>
    <w:qFormat/>
    <w:rsid w:val="00B55602"/>
    <w:pPr>
      <w:tabs>
        <w:tab w:val="clear" w:pos="284"/>
        <w:tab w:val="left" w:pos="209"/>
      </w:tabs>
      <w:spacing w:after="60" w:line="240" w:lineRule="exact"/>
      <w:ind w:left="210" w:hanging="210"/>
    </w:pPr>
    <w:rPr>
      <w:sz w:val="20"/>
      <w:szCs w:val="20"/>
      <w:lang w:val="en-US"/>
    </w:rPr>
  </w:style>
  <w:style w:type="paragraph" w:customStyle="1" w:styleId="Tablebullet2">
    <w:name w:val="Table bullet 2"/>
    <w:basedOn w:val="Bullet2"/>
    <w:qFormat/>
    <w:rsid w:val="00B55602"/>
    <w:pPr>
      <w:spacing w:line="240" w:lineRule="auto"/>
    </w:pPr>
    <w:rPr>
      <w:sz w:val="20"/>
      <w:szCs w:val="20"/>
    </w:rPr>
  </w:style>
  <w:style w:type="paragraph" w:customStyle="1" w:styleId="Tablesubheader">
    <w:name w:val="Table sub header"/>
    <w:basedOn w:val="Tablebody"/>
    <w:qFormat/>
    <w:rsid w:val="00B55602"/>
    <w:rPr>
      <w:b/>
      <w:sz w:val="22"/>
      <w:szCs w:val="22"/>
    </w:rPr>
  </w:style>
  <w:style w:type="paragraph" w:customStyle="1" w:styleId="FootnotesEndnotestext">
    <w:name w:val="Footnotes/Endnotes text"/>
    <w:basedOn w:val="Normal"/>
    <w:qFormat/>
    <w:rsid w:val="00D50158"/>
    <w:pPr>
      <w:spacing w:before="120" w:after="360"/>
    </w:pPr>
    <w:rPr>
      <w:rFonts w:eastAsia="Calibri"/>
      <w:sz w:val="18"/>
      <w:szCs w:val="18"/>
    </w:rPr>
  </w:style>
  <w:style w:type="paragraph" w:customStyle="1" w:styleId="IntroPara">
    <w:name w:val="Intro Para"/>
    <w:qFormat/>
    <w:rsid w:val="008E28C3"/>
    <w:pPr>
      <w:spacing w:before="120" w:after="454"/>
    </w:pPr>
    <w:rPr>
      <w:rFonts w:ascii="Montserrat" w:eastAsia="Times New Roman" w:hAnsi="Montserrat" w:cstheme="minorHAnsi"/>
      <w:kern w:val="0"/>
      <w:sz w:val="28"/>
      <w:szCs w:val="28"/>
      <w14:ligatures w14:val="none"/>
    </w:rPr>
  </w:style>
  <w:style w:type="table" w:customStyle="1" w:styleId="ARStandardTable1">
    <w:name w:val="AR_Standard Table_1"/>
    <w:basedOn w:val="TableNormal"/>
    <w:uiPriority w:val="99"/>
    <w:rsid w:val="00A81F78"/>
    <w:rPr>
      <w:rFonts w:ascii="Calibri" w:eastAsia="Calibri" w:hAnsi="Calibri" w:cs="Times New Roman"/>
      <w:kern w:val="0"/>
      <w:sz w:val="21"/>
      <w:szCs w:val="20"/>
      <w:lang w:eastAsia="en-AU"/>
      <w14:ligatures w14:val="none"/>
    </w:rPr>
    <w:tblPr>
      <w:tblStyleRowBandSize w:val="1"/>
      <w:tblStyleColBandSize w:val="1"/>
      <w:tblBorders>
        <w:top w:val="single" w:sz="4" w:space="0" w:color="auto"/>
        <w:bottom w:val="single" w:sz="4" w:space="0" w:color="auto"/>
      </w:tblBorders>
    </w:tblPr>
    <w:tcPr>
      <w:tcMar>
        <w:top w:w="85" w:type="dxa"/>
        <w:left w:w="85" w:type="dxa"/>
        <w:bottom w:w="113" w:type="dxa"/>
      </w:tcMar>
    </w:tcPr>
    <w:tblStylePr w:type="firstRow">
      <w:rPr>
        <w:rFonts w:ascii="Arial" w:hAnsi="Arial"/>
        <w:b/>
        <w:i w:val="0"/>
        <w:color w:val="FFFFFF" w:themeColor="background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82D8C"/>
      </w:tcPr>
    </w:tblStylePr>
    <w:tblStylePr w:type="lastRow">
      <w:tblPr/>
      <w:tcPr>
        <w:tcBorders>
          <w:bottom w:val="single" w:sz="2" w:space="0" w:color="D9D9D9" w:themeColor="background1" w:themeShade="D9"/>
        </w:tcBorders>
        <w:shd w:val="clear" w:color="auto" w:fill="FFFFFF" w:themeFill="background1"/>
      </w:tcPr>
    </w:tblStylePr>
    <w:tblStylePr w:type="band1Horz">
      <w:tblPr/>
      <w:tcPr>
        <w:tcBorders>
          <w:top w:val="single" w:sz="2" w:space="0" w:color="D9D9D9" w:themeColor="background1" w:themeShade="D9"/>
          <w:left w:val="nil"/>
          <w:bottom w:val="single" w:sz="2" w:space="0" w:color="D9D9D9" w:themeColor="background1" w:themeShade="D9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caption">
    <w:name w:val="Table caption"/>
    <w:basedOn w:val="Heading5"/>
    <w:qFormat/>
    <w:rsid w:val="007F7E8B"/>
    <w:pPr>
      <w:keepLines w:val="0"/>
      <w:tabs>
        <w:tab w:val="left" w:pos="1190"/>
      </w:tabs>
      <w:spacing w:before="240"/>
    </w:pPr>
    <w:rPr>
      <w:rFonts w:eastAsia="Times New Roman" w:cs="Arial"/>
      <w:i/>
      <w:color w:val="262626" w:themeColor="text1" w:themeTint="D9"/>
    </w:rPr>
  </w:style>
  <w:style w:type="paragraph" w:customStyle="1" w:styleId="BulletNumbers">
    <w:name w:val="Bullet Numbers"/>
    <w:basedOn w:val="Bullet1"/>
    <w:qFormat/>
    <w:rsid w:val="004B0A3E"/>
    <w:pPr>
      <w:numPr>
        <w:numId w:val="3"/>
      </w:numPr>
      <w:tabs>
        <w:tab w:val="clear" w:pos="284"/>
        <w:tab w:val="left" w:pos="426"/>
      </w:tabs>
      <w:ind w:left="426" w:hanging="426"/>
    </w:pPr>
  </w:style>
  <w:style w:type="paragraph" w:customStyle="1" w:styleId="Bulletalpha">
    <w:name w:val="Bullet alpha"/>
    <w:basedOn w:val="Bullet1"/>
    <w:qFormat/>
    <w:rsid w:val="004B0A3E"/>
    <w:pPr>
      <w:numPr>
        <w:numId w:val="4"/>
      </w:numPr>
      <w:tabs>
        <w:tab w:val="clear" w:pos="284"/>
        <w:tab w:val="left" w:pos="364"/>
      </w:tabs>
      <w:ind w:left="364" w:hanging="364"/>
    </w:pPr>
  </w:style>
  <w:style w:type="paragraph" w:customStyle="1" w:styleId="Bulletroman">
    <w:name w:val="Bullet roman"/>
    <w:basedOn w:val="BulletNumbers"/>
    <w:qFormat/>
    <w:rsid w:val="004B0A3E"/>
    <w:pPr>
      <w:numPr>
        <w:numId w:val="5"/>
      </w:numPr>
      <w:tabs>
        <w:tab w:val="clear" w:pos="426"/>
        <w:tab w:val="left" w:pos="363"/>
      </w:tabs>
      <w:ind w:left="363" w:hanging="363"/>
    </w:pPr>
  </w:style>
  <w:style w:type="paragraph" w:customStyle="1" w:styleId="TableFigures">
    <w:name w:val="Table Figures"/>
    <w:basedOn w:val="Tablebody"/>
    <w:qFormat/>
    <w:rsid w:val="00B55602"/>
    <w:pPr>
      <w:jc w:val="right"/>
    </w:pPr>
  </w:style>
  <w:style w:type="table" w:customStyle="1" w:styleId="ARFinancialsTable">
    <w:name w:val="AR_Financials Table"/>
    <w:basedOn w:val="TableNormal"/>
    <w:uiPriority w:val="99"/>
    <w:rsid w:val="005C5584"/>
    <w:rPr>
      <w:rFonts w:ascii="Calibri" w:eastAsia="Calibri" w:hAnsi="Calibri" w:cs="Times New Roman"/>
      <w:kern w:val="0"/>
      <w:sz w:val="21"/>
      <w:szCs w:val="20"/>
      <w:lang w:eastAsia="en-AU"/>
      <w14:ligatures w14:val="none"/>
    </w:rPr>
    <w:tblPr>
      <w:tblStyleRowBandSize w:val="1"/>
    </w:tblPr>
    <w:tcPr>
      <w:tcMar>
        <w:top w:w="113" w:type="dxa"/>
        <w:left w:w="142" w:type="dxa"/>
        <w:bottom w:w="113" w:type="dxa"/>
        <w:right w:w="170" w:type="dxa"/>
      </w:tcMar>
    </w:tcPr>
    <w:tblStylePr w:type="firstRow">
      <w:rPr>
        <w:rFonts w:ascii="Arial" w:hAnsi="Arial"/>
        <w:b/>
        <w:i w:val="0"/>
        <w:color w:val="FFFFFF" w:themeColor="background1"/>
        <w:sz w:val="22"/>
      </w:rPr>
      <w:tblPr/>
      <w:tcPr>
        <w:shd w:val="clear" w:color="auto" w:fill="482D8C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Footertextlandscapepage">
    <w:name w:val="Footer text landscape page"/>
    <w:basedOn w:val="FootnotesEndnotestext"/>
    <w:qFormat/>
    <w:rsid w:val="00BD00BD"/>
    <w:pPr>
      <w:tabs>
        <w:tab w:val="center" w:pos="6859"/>
        <w:tab w:val="right" w:pos="13719"/>
      </w:tabs>
      <w:spacing w:before="0" w:after="0"/>
    </w:pPr>
    <w:rPr>
      <w:noProof/>
    </w:rPr>
  </w:style>
  <w:style w:type="table" w:customStyle="1" w:styleId="Invisibletablefor2-columnlayout">
    <w:name w:val="Invisible table for 2-column layout"/>
    <w:basedOn w:val="TableNormal"/>
    <w:uiPriority w:val="99"/>
    <w:rsid w:val="00D408D1"/>
    <w:rPr>
      <w:rFonts w:ascii="Calibri" w:hAnsi="Calibri"/>
    </w:rPr>
    <w:tblPr>
      <w:tblCellMar>
        <w:left w:w="0" w:type="dxa"/>
        <w:right w:w="57" w:type="dxa"/>
      </w:tblCellMar>
    </w:tblPr>
    <w:tblStylePr w:type="firstRow">
      <w:rPr>
        <w:rFonts w:ascii="Calibri" w:hAnsi="Calibri"/>
        <w:sz w:val="24"/>
      </w:rPr>
    </w:tblStylePr>
  </w:style>
  <w:style w:type="character" w:styleId="Strong">
    <w:name w:val="Strong"/>
    <w:basedOn w:val="DefaultParagraphFont"/>
    <w:uiPriority w:val="22"/>
    <w:qFormat/>
    <w:rsid w:val="0088750D"/>
    <w:rPr>
      <w:b/>
      <w:bCs/>
    </w:rPr>
  </w:style>
  <w:style w:type="paragraph" w:styleId="ListParagraph">
    <w:name w:val="List Paragraph"/>
    <w:basedOn w:val="Normal"/>
    <w:uiPriority w:val="34"/>
    <w:qFormat/>
    <w:rsid w:val="0088750D"/>
    <w:pPr>
      <w:ind w:left="720"/>
      <w:contextualSpacing/>
    </w:pPr>
  </w:style>
  <w:style w:type="table" w:customStyle="1" w:styleId="Breakoutbox">
    <w:name w:val="Breakout box"/>
    <w:basedOn w:val="TableNormal"/>
    <w:uiPriority w:val="99"/>
    <w:rsid w:val="00E21129"/>
    <w:tblPr>
      <w:tblCellMar>
        <w:top w:w="198" w:type="dxa"/>
        <w:left w:w="227" w:type="dxa"/>
        <w:bottom w:w="142" w:type="dxa"/>
        <w:right w:w="255" w:type="dxa"/>
      </w:tblCellMar>
    </w:tblPr>
    <w:tcPr>
      <w:shd w:val="clear" w:color="auto" w:fill="F2F2F2" w:themeFill="background1" w:themeFillShade="F2"/>
      <w:vAlign w:val="center"/>
    </w:tcPr>
  </w:style>
  <w:style w:type="character" w:styleId="PageNumber">
    <w:name w:val="page number"/>
    <w:basedOn w:val="DefaultParagraphFont"/>
    <w:uiPriority w:val="99"/>
    <w:semiHidden/>
    <w:unhideWhenUsed/>
    <w:rsid w:val="00F30E50"/>
  </w:style>
  <w:style w:type="paragraph" w:styleId="Title">
    <w:name w:val="Title"/>
    <w:basedOn w:val="Normal"/>
    <w:next w:val="Normal"/>
    <w:link w:val="TitleChar"/>
    <w:uiPriority w:val="10"/>
    <w:qFormat/>
    <w:rsid w:val="00E301B8"/>
    <w:pPr>
      <w:spacing w:before="480" w:after="0" w:line="216" w:lineRule="auto"/>
      <w:contextualSpacing/>
    </w:pPr>
    <w:rPr>
      <w:rFonts w:ascii="Montserrat" w:eastAsiaTheme="majorEastAsia" w:hAnsi="Montserrat" w:cstheme="majorBidi"/>
      <w:bCs w:val="0"/>
      <w:iCs w:val="0"/>
      <w:color w:val="0D0D0D" w:themeColor="text1" w:themeTint="F2"/>
      <w:spacing w:val="-10"/>
      <w:kern w:val="28"/>
      <w:sz w:val="88"/>
      <w:szCs w:val="88"/>
      <w:lang w:val="en-GB" w:eastAsia="en-AU"/>
    </w:rPr>
  </w:style>
  <w:style w:type="character" w:customStyle="1" w:styleId="TitleChar">
    <w:name w:val="Title Char"/>
    <w:basedOn w:val="DefaultParagraphFont"/>
    <w:link w:val="Title"/>
    <w:uiPriority w:val="10"/>
    <w:rsid w:val="00E301B8"/>
    <w:rPr>
      <w:rFonts w:ascii="Montserrat" w:eastAsiaTheme="majorEastAsia" w:hAnsi="Montserrat" w:cstheme="majorBidi"/>
      <w:color w:val="0D0D0D" w:themeColor="text1" w:themeTint="F2"/>
      <w:spacing w:val="-10"/>
      <w:kern w:val="28"/>
      <w:sz w:val="88"/>
      <w:szCs w:val="88"/>
      <w:lang w:val="en-GB" w:eastAsia="en-AU"/>
      <w14:ligatures w14:val="none"/>
    </w:rPr>
  </w:style>
  <w:style w:type="paragraph" w:customStyle="1" w:styleId="website">
    <w:name w:val="website"/>
    <w:basedOn w:val="Normal"/>
    <w:qFormat/>
    <w:rsid w:val="00050725"/>
    <w:pPr>
      <w:spacing w:before="0"/>
      <w:ind w:left="-142" w:right="-163"/>
    </w:pPr>
    <w:rPr>
      <w:rFonts w:ascii="Montserrat" w:hAnsi="Montserrat"/>
      <w:b/>
      <w:iCs w:val="0"/>
      <w:sz w:val="32"/>
      <w:szCs w:val="32"/>
    </w:rPr>
  </w:style>
  <w:style w:type="paragraph" w:customStyle="1" w:styleId="Breakoutboxheader">
    <w:name w:val="Breakout box header"/>
    <w:basedOn w:val="Heading2"/>
    <w:next w:val="Normal"/>
    <w:qFormat/>
    <w:rsid w:val="00541280"/>
    <w:pPr>
      <w:spacing w:before="0"/>
    </w:pPr>
  </w:style>
  <w:style w:type="paragraph" w:styleId="FootnoteText">
    <w:name w:val="footnote text"/>
    <w:basedOn w:val="Normal"/>
    <w:link w:val="FootnoteTextChar"/>
    <w:unhideWhenUsed/>
    <w:rsid w:val="00FC66E0"/>
    <w:pPr>
      <w:spacing w:before="0" w:after="0"/>
    </w:pPr>
    <w:rPr>
      <w:rFonts w:cs="Times New Roman"/>
      <w:bCs w:val="0"/>
      <w:iCs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C66E0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character" w:customStyle="1" w:styleId="IntroParagraphChar">
    <w:name w:val="Intro Paragraph Char"/>
    <w:basedOn w:val="DefaultParagraphFont"/>
    <w:link w:val="IntroParagraph"/>
    <w:locked/>
    <w:rsid w:val="00FC66E0"/>
    <w:rPr>
      <w:rFonts w:ascii="Calibri" w:eastAsia="Times New Roman" w:hAnsi="Calibri" w:cs="Times New Roman"/>
      <w:color w:val="7030A0"/>
      <w:sz w:val="26"/>
      <w:szCs w:val="20"/>
    </w:rPr>
  </w:style>
  <w:style w:type="paragraph" w:customStyle="1" w:styleId="IntroParagraph">
    <w:name w:val="Intro Paragraph"/>
    <w:basedOn w:val="Normal"/>
    <w:link w:val="IntroParagraphChar"/>
    <w:qFormat/>
    <w:rsid w:val="00FC66E0"/>
    <w:pPr>
      <w:spacing w:before="300" w:after="300" w:line="276" w:lineRule="auto"/>
    </w:pPr>
    <w:rPr>
      <w:rFonts w:cs="Times New Roman"/>
      <w:bCs w:val="0"/>
      <w:iCs w:val="0"/>
      <w:color w:val="7030A0"/>
      <w:kern w:val="2"/>
      <w:sz w:val="26"/>
      <w:szCs w:val="20"/>
      <w14:ligatures w14:val="standardContextual"/>
    </w:rPr>
  </w:style>
  <w:style w:type="character" w:styleId="FootnoteReference">
    <w:name w:val="footnote reference"/>
    <w:basedOn w:val="DefaultParagraphFont"/>
    <w:unhideWhenUsed/>
    <w:rsid w:val="00FC66E0"/>
    <w:rPr>
      <w:vertAlign w:val="superscript"/>
    </w:rPr>
  </w:style>
  <w:style w:type="character" w:styleId="CommentReference">
    <w:name w:val="annotation reference"/>
    <w:basedOn w:val="DefaultParagraphFont"/>
    <w:uiPriority w:val="99"/>
    <w:unhideWhenUsed/>
    <w:rsid w:val="004324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24E3"/>
    <w:pPr>
      <w:spacing w:before="200" w:after="200"/>
    </w:pPr>
    <w:rPr>
      <w:rFonts w:cs="Times New Roman"/>
      <w:bCs w:val="0"/>
      <w:iCs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24E3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131B0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723CC"/>
    <w:rPr>
      <w:color w:val="66666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259A"/>
    <w:pPr>
      <w:spacing w:before="40" w:after="180"/>
    </w:pPr>
    <w:rPr>
      <w:rFonts w:cstheme="minorHAnsi"/>
      <w:b/>
      <w:bCs/>
      <w:i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259A"/>
    <w:rPr>
      <w:rFonts w:ascii="Calibri" w:eastAsia="Times New Roman" w:hAnsi="Calibri" w:cstheme="minorHAnsi"/>
      <w:b/>
      <w:bCs/>
      <w:i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D7259A"/>
    <w:rPr>
      <w:rFonts w:ascii="Calibri" w:eastAsia="Times New Roman" w:hAnsi="Calibri" w:cstheme="minorHAnsi"/>
      <w:bCs/>
      <w:iCs/>
      <w:kern w:val="0"/>
      <w:sz w:val="22"/>
      <w:szCs w:val="22"/>
      <w14:ligatures w14:val="none"/>
    </w:rPr>
  </w:style>
  <w:style w:type="paragraph" w:styleId="NoSpacing">
    <w:name w:val="No Spacing"/>
    <w:uiPriority w:val="1"/>
    <w:qFormat/>
    <w:rsid w:val="00A446E8"/>
    <w:rPr>
      <w:rFonts w:ascii="Calibri" w:eastAsia="Times New Roman" w:hAnsi="Calibri" w:cstheme="minorHAnsi"/>
      <w:bCs/>
      <w:iCs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9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egislation.gov.au/C2009A00028/latest/text" TargetMode="External"/><Relationship Id="rId18" Type="http://schemas.openxmlformats.org/officeDocument/2006/relationships/hyperlink" Target="mailto:secure.employment@act.gov.au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legislation.act.gov.au/a/1994-37/" TargetMode="External"/><Relationship Id="rId17" Type="http://schemas.openxmlformats.org/officeDocument/2006/relationships/hyperlink" Target="https://www.cmtedd.act.gov.au/__data/assets/pdf_file/0007/1342978/Secondment-Policy.pdf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mailto:secure.employment@act.gov.au" TargetMode="External"/><Relationship Id="rId20" Type="http://schemas.openxmlformats.org/officeDocument/2006/relationships/hyperlink" Target="mailto:DDGOIRWS@act.gov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mtedd.act.gov.au/__data/assets/pdf_file/0006/2430933/Underperformance-Policy-and-Procedure-Final.pdf" TargetMode="Externa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mailto:DDGOIRWS@act.gov.au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DDGOIRWS@act.gov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mtedd.act.gov.au/employment-framework/for-employees/agreements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legislation.gov.au/C2009A00028/2025-08-30/2025-08-30/text/original/epub/OEBPS/document_1/document_1.html" TargetMode="External"/><Relationship Id="rId2" Type="http://schemas.openxmlformats.org/officeDocument/2006/relationships/hyperlink" Target="https://www.legislation.act.gov.au/View/a/1994-37/current/html/1994-37.html" TargetMode="External"/><Relationship Id="rId1" Type="http://schemas.openxmlformats.org/officeDocument/2006/relationships/hyperlink" Target="https://www.legislation.act.gov.au/View/a/1994-37/current/html/1994-37.html" TargetMode="External"/><Relationship Id="rId6" Type="http://schemas.openxmlformats.org/officeDocument/2006/relationships/hyperlink" Target="https://www.legislation.act.gov.au/di/2016-251/" TargetMode="External"/><Relationship Id="rId5" Type="http://schemas.openxmlformats.org/officeDocument/2006/relationships/hyperlink" Target="https://www.legislation.act.gov.au/View/a/1994-37/current/html/1994-37.html" TargetMode="External"/><Relationship Id="rId4" Type="http://schemas.openxmlformats.org/officeDocument/2006/relationships/hyperlink" Target="https://www.cmtedd.act.gov.au/__data/assets/pdf_file/0004/2287633/ACT-Public-Sector-Administrative-and-Related-Classifications-Enterprise-Agreement-2023-2026.pdf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0D9B5854DD0943985B1931B7971495" ma:contentTypeVersion="21" ma:contentTypeDescription="Create a new document." ma:contentTypeScope="" ma:versionID="3dc0a0aa5d813c1ccc1c9af56cf373e2">
  <xsd:schema xmlns:xsd="http://www.w3.org/2001/XMLSchema" xmlns:xs="http://www.w3.org/2001/XMLSchema" xmlns:p="http://schemas.microsoft.com/office/2006/metadata/properties" xmlns:ns2="f6c841be-bb08-4901-87b0-0033aa80d2c6" xmlns:ns3="4d47241e-7224-40da-83d9-1113ff4a4334" targetNamespace="http://schemas.microsoft.com/office/2006/metadata/properties" ma:root="true" ma:fieldsID="0107a8091404721e33c13c5070e93ff5" ns2:_="" ns3:_="">
    <xsd:import namespace="f6c841be-bb08-4901-87b0-0033aa80d2c6"/>
    <xsd:import namespace="4d47241e-7224-40da-83d9-1113ff4a43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2:DocumentTyp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841be-bb08-4901-87b0-0033aa80d2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Sign-off status" ma:internalName="Sign_x002d_off_x0020_status">
      <xsd:simpleType>
        <xsd:restriction base="dms:Text"/>
      </xsd:simpleType>
    </xsd:element>
    <xsd:element name="DocumentType" ma:index="11" nillable="true" ma:displayName="Document Type" ma:format="Dropdown" ma:internalName="DocumentType">
      <xsd:simpleType>
        <xsd:restriction base="dms:Choice">
          <xsd:enumeration value="Guideline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32ba9fb-117d-4a5c-9dda-ba2761168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7241e-7224-40da-83d9-1113ff4a433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5dcb94e-5755-4384-ae7a-b1d759b3967d}" ma:internalName="TaxCatchAll" ma:showField="CatchAllData" ma:web="4d47241e-7224-40da-83d9-1113ff4a43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d47241e-7224-40da-83d9-1113ff4a4334">
      <UserInfo>
        <DisplayName/>
        <AccountId xsi:nil="true"/>
        <AccountType/>
      </UserInfo>
    </SharedWithUsers>
    <lcf76f155ced4ddcb4097134ff3c332f xmlns="f6c841be-bb08-4901-87b0-0033aa80d2c6">
      <Terms xmlns="http://schemas.microsoft.com/office/infopath/2007/PartnerControls"/>
    </lcf76f155ced4ddcb4097134ff3c332f>
    <TaxCatchAll xmlns="4d47241e-7224-40da-83d9-1113ff4a4334" xsi:nil="true"/>
    <_Flow_SignoffStatus xmlns="f6c841be-bb08-4901-87b0-0033aa80d2c6" xsi:nil="true"/>
    <DocumentType xmlns="f6c841be-bb08-4901-87b0-0033aa80d2c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3CB56E3-5579-4ED4-B24E-A7893702AE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841be-bb08-4901-87b0-0033aa80d2c6"/>
    <ds:schemaRef ds:uri="4d47241e-7224-40da-83d9-1113ff4a43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462075-BCF5-4095-BA5C-578E25B84630}">
  <ds:schemaRefs>
    <ds:schemaRef ds:uri="http://schemas.microsoft.com/office/2006/metadata/properties"/>
    <ds:schemaRef ds:uri="http://schemas.microsoft.com/office/infopath/2007/PartnerControls"/>
    <ds:schemaRef ds:uri="4d47241e-7224-40da-83d9-1113ff4a4334"/>
    <ds:schemaRef ds:uri="f6c841be-bb08-4901-87b0-0033aa80d2c6"/>
  </ds:schemaRefs>
</ds:datastoreItem>
</file>

<file path=customXml/itemProps3.xml><?xml version="1.0" encoding="utf-8"?>
<ds:datastoreItem xmlns:ds="http://schemas.openxmlformats.org/officeDocument/2006/customXml" ds:itemID="{1ED4C0FB-FCD8-45CD-AF7A-93E00B45B9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16C04D-E84C-0246-8595-D3CA0A5E2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1640</Words>
  <Characters>9354</Characters>
  <Application>Microsoft Office Word</Application>
  <DocSecurity>4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Nadudvary, Bryce</dc:creator>
  <cp:keywords/>
  <dc:description/>
  <cp:lastModifiedBy>Lawless, Brian</cp:lastModifiedBy>
  <cp:revision>2</cp:revision>
  <cp:lastPrinted>2025-07-28T06:31:00Z</cp:lastPrinted>
  <dcterms:created xsi:type="dcterms:W3CDTF">2026-02-23T00:35:00Z</dcterms:created>
  <dcterms:modified xsi:type="dcterms:W3CDTF">2026-02-23T00:35:00Z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2025-04-16T00:00:29Z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078c13c0-1d39-40c6-8081-7f3c63c51f2e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50, 3, 0, 1</vt:lpwstr>
  </property>
  <property fmtid="{D5CDD505-2E9C-101B-9397-08002B2CF9AE}" pid="10" name="MediaServiceImageTags">
    <vt:lpwstr/>
  </property>
  <property fmtid="{D5CDD505-2E9C-101B-9397-08002B2CF9AE}" pid="11" name="ContentTypeId">
    <vt:lpwstr>0x010100190D9B5854DD0943985B1931B7971495</vt:lpwstr>
  </property>
</Properties>
</file>