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EAC83" w14:textId="28F06963" w:rsidR="009041C7" w:rsidRPr="007029CB" w:rsidRDefault="009041C7" w:rsidP="00196E34">
      <w:pPr>
        <w:rPr>
          <w:rFonts w:asciiTheme="minorHAnsi" w:hAnsiTheme="minorHAnsi"/>
          <w:b/>
          <w:bCs/>
        </w:rPr>
      </w:pPr>
      <w:r w:rsidRPr="007029CB">
        <w:rPr>
          <w:rFonts w:asciiTheme="minorHAnsi" w:hAnsiTheme="minorHAnsi"/>
          <w:b/>
          <w:bCs/>
        </w:rPr>
        <w:t>Directorate:</w:t>
      </w:r>
      <w:r w:rsidRPr="007029CB">
        <w:rPr>
          <w:rFonts w:asciiTheme="minorHAnsi" w:hAnsiTheme="minorHAnsi"/>
          <w:b/>
          <w:bCs/>
        </w:rPr>
        <w:tab/>
        <w:t>Chief Minister, Tr</w:t>
      </w:r>
      <w:r w:rsidR="00961470" w:rsidRPr="007029CB">
        <w:rPr>
          <w:rFonts w:asciiTheme="minorHAnsi" w:hAnsiTheme="minorHAnsi"/>
          <w:b/>
          <w:bCs/>
        </w:rPr>
        <w:t>easury and Economic Development</w:t>
      </w:r>
    </w:p>
    <w:p w14:paraId="7BBCDF4C" w14:textId="4C564C7B" w:rsidR="009041C7" w:rsidRPr="007029CB" w:rsidRDefault="00961470" w:rsidP="00A144C6">
      <w:pPr>
        <w:rPr>
          <w:rFonts w:asciiTheme="minorHAnsi" w:hAnsiTheme="minorHAnsi"/>
          <w:b/>
          <w:bCs/>
        </w:rPr>
      </w:pPr>
      <w:r w:rsidRPr="007029CB">
        <w:rPr>
          <w:rFonts w:asciiTheme="minorHAnsi" w:hAnsiTheme="minorHAnsi"/>
          <w:b/>
          <w:bCs/>
        </w:rPr>
        <w:t>17/694</w:t>
      </w:r>
      <w:r w:rsidR="00BC4A9E" w:rsidRPr="007029CB">
        <w:rPr>
          <w:rFonts w:asciiTheme="minorHAnsi" w:hAnsiTheme="minorHAnsi"/>
          <w:b/>
          <w:bCs/>
        </w:rPr>
        <w:t xml:space="preserve"> -</w:t>
      </w:r>
      <w:r w:rsidRPr="007029CB">
        <w:rPr>
          <w:rFonts w:asciiTheme="minorHAnsi" w:hAnsiTheme="minorHAnsi"/>
          <w:b/>
          <w:bCs/>
        </w:rPr>
        <w:t xml:space="preserve"> </w:t>
      </w:r>
      <w:r w:rsidR="009041C7" w:rsidRPr="007029CB">
        <w:rPr>
          <w:rFonts w:asciiTheme="minorHAnsi" w:hAnsiTheme="minorHAnsi"/>
          <w:b/>
          <w:bCs/>
        </w:rPr>
        <w:t>Ombudsman Amendment Bill 2018</w:t>
      </w:r>
      <w:r w:rsidR="008C071B" w:rsidRPr="007029CB">
        <w:rPr>
          <w:rFonts w:asciiTheme="minorHAnsi" w:hAnsiTheme="minorHAnsi"/>
          <w:b/>
          <w:bCs/>
        </w:rPr>
        <w:t xml:space="preserve"> – combined pass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8C071B" w:rsidRPr="00A144C6" w14:paraId="0C5FD773" w14:textId="77777777" w:rsidTr="00B14155">
        <w:trPr>
          <w:jc w:val="center"/>
        </w:trPr>
        <w:tc>
          <w:tcPr>
            <w:tcW w:w="9038" w:type="dxa"/>
          </w:tcPr>
          <w:p w14:paraId="17CF7247" w14:textId="77777777" w:rsidR="009041C7" w:rsidRPr="007029CB" w:rsidRDefault="009041C7" w:rsidP="007029CB">
            <w:pPr>
              <w:spacing w:before="60" w:after="60" w:line="240" w:lineRule="auto"/>
              <w:rPr>
                <w:rFonts w:asciiTheme="minorHAnsi" w:hAnsiTheme="minorHAnsi"/>
                <w:b/>
                <w:bCs/>
              </w:rPr>
            </w:pPr>
            <w:r w:rsidRPr="007029CB">
              <w:rPr>
                <w:rFonts w:asciiTheme="minorHAnsi" w:hAnsiTheme="minorHAnsi"/>
                <w:b/>
                <w:bCs/>
              </w:rPr>
              <w:t>Summary of Impacts</w:t>
            </w:r>
          </w:p>
        </w:tc>
      </w:tr>
      <w:tr w:rsidR="008C071B" w:rsidRPr="00A144C6" w14:paraId="3B25A5F8" w14:textId="77777777" w:rsidTr="00B14155">
        <w:trPr>
          <w:jc w:val="center"/>
        </w:trPr>
        <w:tc>
          <w:tcPr>
            <w:tcW w:w="9038" w:type="dxa"/>
          </w:tcPr>
          <w:p w14:paraId="4B98ACAF" w14:textId="3B10ED1A" w:rsidR="009041C7" w:rsidRPr="007029CB" w:rsidRDefault="009041C7" w:rsidP="0049492D">
            <w:pPr>
              <w:spacing w:before="60" w:after="60" w:line="240" w:lineRule="auto"/>
              <w:rPr>
                <w:rFonts w:asciiTheme="minorHAnsi" w:hAnsiTheme="minorHAnsi"/>
              </w:rPr>
            </w:pPr>
            <w:r w:rsidRPr="007029CB">
              <w:rPr>
                <w:rFonts w:asciiTheme="minorHAnsi" w:hAnsiTheme="minorHAnsi"/>
              </w:rPr>
              <w:t>This is an expansion of the policy initiative to improve reporting and oversight of allegations of employee misconduct against children and young people, to include institutions providing spiritual care and pastoral activities.</w:t>
            </w:r>
          </w:p>
        </w:tc>
      </w:tr>
    </w:tbl>
    <w:p w14:paraId="1538B23A" w14:textId="77777777" w:rsidR="00B14155" w:rsidRPr="007029CB" w:rsidRDefault="00B14155" w:rsidP="00B14155">
      <w:pPr>
        <w:spacing w:after="120"/>
        <w:rPr>
          <w:rFonts w:asciiTheme="minorHAnsi" w:hAnsiTheme="minorHAnsi"/>
          <w:i/>
        </w:rPr>
      </w:pPr>
      <w:r w:rsidRPr="007029CB">
        <w:rPr>
          <w:rFonts w:asciiTheme="minorHAnsi" w:hAnsiTheme="minorHAnsi"/>
          <w:i/>
        </w:rPr>
        <w:t xml:space="preserve">Key to impacts: Red – negative, </w:t>
      </w:r>
      <w:proofErr w:type="gramStart"/>
      <w:r>
        <w:rPr>
          <w:rFonts w:asciiTheme="minorHAnsi" w:hAnsiTheme="minorHAnsi"/>
          <w:i/>
        </w:rPr>
        <w:t>Blue</w:t>
      </w:r>
      <w:proofErr w:type="gramEnd"/>
      <w:r>
        <w:rPr>
          <w:rFonts w:asciiTheme="minorHAnsi" w:hAnsiTheme="minorHAnsi"/>
          <w:i/>
        </w:rPr>
        <w:t xml:space="preserve"> - neutral and Green - p</w:t>
      </w:r>
      <w:r w:rsidRPr="007029CB">
        <w:rPr>
          <w:rFonts w:asciiTheme="minorHAnsi" w:hAnsiTheme="minorHAnsi"/>
          <w:i/>
        </w:rPr>
        <w:t>ositive.</w:t>
      </w:r>
    </w:p>
    <w:p w14:paraId="3C13EA31" w14:textId="77777777" w:rsidR="009041C7" w:rsidRPr="007029CB" w:rsidRDefault="009041C7" w:rsidP="00CE50C8">
      <w:pPr>
        <w:spacing w:before="120" w:after="120" w:line="240" w:lineRule="auto"/>
        <w:rPr>
          <w:rFonts w:asciiTheme="minorHAnsi" w:hAnsiTheme="minorHAnsi"/>
          <w:b/>
          <w:bCs/>
        </w:rPr>
      </w:pPr>
      <w:r w:rsidRPr="007029CB">
        <w:rPr>
          <w:rFonts w:asciiTheme="minorHAnsi" w:hAnsiTheme="minorHAns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7536"/>
      </w:tblGrid>
      <w:tr w:rsidR="008C071B" w:rsidRPr="00A144C6" w14:paraId="5919B688" w14:textId="77777777" w:rsidTr="00F65981">
        <w:trPr>
          <w:jc w:val="center"/>
        </w:trPr>
        <w:tc>
          <w:tcPr>
            <w:tcW w:w="1526" w:type="dxa"/>
            <w:shd w:val="clear" w:color="auto" w:fill="92D050"/>
          </w:tcPr>
          <w:p w14:paraId="630C25B4" w14:textId="77777777" w:rsidR="009041C7" w:rsidRPr="007029CB" w:rsidRDefault="009041C7" w:rsidP="007029CB">
            <w:pPr>
              <w:spacing w:before="60" w:after="60" w:line="240" w:lineRule="auto"/>
              <w:rPr>
                <w:rFonts w:asciiTheme="minorHAnsi" w:hAnsiTheme="minorHAnsi"/>
                <w:b/>
                <w:bCs/>
              </w:rPr>
            </w:pPr>
            <w:r w:rsidRPr="007029CB">
              <w:rPr>
                <w:rFonts w:asciiTheme="minorHAnsi" w:hAnsiTheme="minorHAnsi"/>
                <w:b/>
                <w:bCs/>
              </w:rPr>
              <w:t>Justice and rights</w:t>
            </w:r>
          </w:p>
        </w:tc>
        <w:tc>
          <w:tcPr>
            <w:tcW w:w="7716" w:type="dxa"/>
          </w:tcPr>
          <w:p w14:paraId="640F444D" w14:textId="77777777" w:rsidR="009041C7" w:rsidRPr="007029CB" w:rsidRDefault="009041C7" w:rsidP="0049492D">
            <w:pPr>
              <w:pStyle w:val="ListParagraph"/>
              <w:numPr>
                <w:ilvl w:val="0"/>
                <w:numId w:val="2"/>
              </w:numPr>
              <w:spacing w:before="60" w:after="60" w:line="240" w:lineRule="auto"/>
              <w:ind w:left="374" w:hanging="357"/>
              <w:contextualSpacing w:val="0"/>
              <w:rPr>
                <w:rFonts w:eastAsia="Times New Roman" w:cs="Arial"/>
                <w:sz w:val="21"/>
                <w:szCs w:val="21"/>
                <w:lang w:eastAsia="en-AU"/>
              </w:rPr>
            </w:pPr>
            <w:r w:rsidRPr="007029CB">
              <w:rPr>
                <w:rFonts w:eastAsia="Times New Roman" w:cs="Arial"/>
                <w:sz w:val="21"/>
                <w:szCs w:val="21"/>
                <w:lang w:eastAsia="en-AU"/>
              </w:rPr>
              <w:t>The establishment of a reportable conduct scheme, and the inclusion of religious organisations, are both recommendations from the Royal Commission into Institutional Responses to Child Sexual Abuse (the Royal Commission).</w:t>
            </w:r>
          </w:p>
          <w:p w14:paraId="38BC3CFA" w14:textId="77777777" w:rsidR="009041C7" w:rsidRPr="007029CB" w:rsidRDefault="009041C7" w:rsidP="007B70DE">
            <w:pPr>
              <w:pStyle w:val="ListParagraph"/>
              <w:numPr>
                <w:ilvl w:val="0"/>
                <w:numId w:val="2"/>
              </w:numPr>
              <w:spacing w:before="60" w:after="60" w:line="240" w:lineRule="auto"/>
              <w:ind w:left="374" w:hanging="357"/>
              <w:contextualSpacing w:val="0"/>
              <w:rPr>
                <w:rFonts w:eastAsia="Times New Roman" w:cs="Arial"/>
                <w:sz w:val="21"/>
                <w:szCs w:val="21"/>
                <w:lang w:eastAsia="en-AU"/>
              </w:rPr>
            </w:pPr>
            <w:r w:rsidRPr="007029CB">
              <w:rPr>
                <w:rFonts w:eastAsia="Times New Roman" w:cs="Arial"/>
                <w:sz w:val="21"/>
                <w:szCs w:val="21"/>
                <w:lang w:eastAsia="en-AU"/>
              </w:rPr>
              <w:t>Justice and crime: the Reportable Conduct Scheme helps to safeguard all children by requiring organisations to report allegations or convictions of misconduct involving a child to the ACT Ombudsman, to ensure they are properly investigated and acted upon.</w:t>
            </w:r>
          </w:p>
          <w:p w14:paraId="287C1817" w14:textId="77777777" w:rsidR="009041C7" w:rsidRPr="007029CB" w:rsidRDefault="009041C7" w:rsidP="007B70DE">
            <w:pPr>
              <w:pStyle w:val="ListParagraph"/>
              <w:numPr>
                <w:ilvl w:val="0"/>
                <w:numId w:val="2"/>
              </w:numPr>
              <w:spacing w:before="60" w:after="60" w:line="240" w:lineRule="auto"/>
              <w:ind w:left="374" w:hanging="357"/>
              <w:contextualSpacing w:val="0"/>
              <w:rPr>
                <w:rFonts w:eastAsia="Times New Roman" w:cs="Arial"/>
                <w:sz w:val="21"/>
                <w:szCs w:val="21"/>
                <w:lang w:eastAsia="en-AU"/>
              </w:rPr>
            </w:pPr>
            <w:r w:rsidRPr="007029CB">
              <w:rPr>
                <w:rFonts w:eastAsia="Times New Roman" w:cs="Arial"/>
                <w:sz w:val="21"/>
                <w:szCs w:val="21"/>
                <w:lang w:eastAsia="en-AU"/>
              </w:rPr>
              <w:t>Community and individual health: the Reportable Conduct Scheme contributes to appropriately and effectively responding to allegations of child abuse with positive impacts on community and individual health, as it helps prevent child abuse which is traumatic and often leads to adverse outcomes well into adulthood.</w:t>
            </w:r>
          </w:p>
          <w:p w14:paraId="3BB4F8F5" w14:textId="77777777" w:rsidR="009041C7" w:rsidRPr="007029CB" w:rsidRDefault="009041C7">
            <w:pPr>
              <w:pStyle w:val="ListParagraph"/>
              <w:numPr>
                <w:ilvl w:val="0"/>
                <w:numId w:val="2"/>
              </w:numPr>
              <w:spacing w:before="60" w:after="60" w:line="240" w:lineRule="auto"/>
              <w:ind w:left="372" w:hanging="357"/>
              <w:contextualSpacing w:val="0"/>
              <w:rPr>
                <w:rFonts w:eastAsia="Times New Roman" w:cs="Arial"/>
                <w:sz w:val="21"/>
                <w:szCs w:val="21"/>
                <w:lang w:eastAsia="en-AU"/>
              </w:rPr>
            </w:pPr>
            <w:r w:rsidRPr="007029CB">
              <w:rPr>
                <w:rFonts w:eastAsia="Times New Roman" w:cs="Arial"/>
                <w:sz w:val="21"/>
                <w:szCs w:val="21"/>
                <w:lang w:eastAsia="en-AU"/>
              </w:rPr>
              <w:t xml:space="preserve">Human rights: this Bill supports the positive protection of the right to life, protection from torture and cruel, inhuman or degrading treatment, and the protection of children and young people, consistent with sections 9, 10, and 11 of the Human Rights Act. The Bill places reasonable limits on the right to privacy and reputation. </w:t>
            </w:r>
          </w:p>
          <w:p w14:paraId="28BF973D" w14:textId="0EF71ED8" w:rsidR="009041C7" w:rsidRPr="007029CB" w:rsidRDefault="009041C7">
            <w:pPr>
              <w:pStyle w:val="ListParagraph"/>
              <w:numPr>
                <w:ilvl w:val="0"/>
                <w:numId w:val="2"/>
              </w:numPr>
              <w:spacing w:before="60" w:after="60" w:line="240" w:lineRule="auto"/>
              <w:ind w:left="374" w:hanging="357"/>
              <w:contextualSpacing w:val="0"/>
              <w:rPr>
                <w:rFonts w:eastAsia="Times New Roman" w:cs="Arial"/>
                <w:sz w:val="21"/>
                <w:szCs w:val="21"/>
                <w:lang w:eastAsia="en-AU"/>
              </w:rPr>
            </w:pPr>
            <w:r w:rsidRPr="007029CB">
              <w:rPr>
                <w:rFonts w:eastAsia="Times New Roman" w:cs="Arial"/>
                <w:sz w:val="21"/>
                <w:szCs w:val="21"/>
                <w:lang w:eastAsia="en-AU"/>
              </w:rPr>
              <w:t>Gender; impacts on different age groups; disadvantaged and vulnerable: In its Inquiry, the Royal Commission heard that 63.6</w:t>
            </w:r>
            <w:r w:rsidR="00D34FF1" w:rsidRPr="007029CB">
              <w:rPr>
                <w:rFonts w:eastAsia="Times New Roman" w:cs="Arial"/>
                <w:sz w:val="21"/>
                <w:szCs w:val="21"/>
                <w:lang w:eastAsia="en-AU"/>
              </w:rPr>
              <w:t xml:space="preserve"> per cent </w:t>
            </w:r>
            <w:r w:rsidRPr="007029CB">
              <w:rPr>
                <w:rFonts w:eastAsia="Times New Roman" w:cs="Arial"/>
                <w:sz w:val="21"/>
                <w:szCs w:val="21"/>
                <w:lang w:eastAsia="en-AU"/>
              </w:rPr>
              <w:t>of survivors were male, that 93.8</w:t>
            </w:r>
            <w:r w:rsidR="00D34FF1" w:rsidRPr="007029CB">
              <w:rPr>
                <w:rFonts w:eastAsia="Times New Roman" w:cs="Arial"/>
                <w:sz w:val="21"/>
                <w:szCs w:val="21"/>
                <w:lang w:eastAsia="en-AU"/>
              </w:rPr>
              <w:t xml:space="preserve"> per cent </w:t>
            </w:r>
            <w:r w:rsidRPr="007029CB">
              <w:rPr>
                <w:rFonts w:eastAsia="Times New Roman" w:cs="Arial"/>
                <w:sz w:val="21"/>
                <w:szCs w:val="21"/>
                <w:lang w:eastAsia="en-AU"/>
              </w:rPr>
              <w:t xml:space="preserve">of survivors were abused by a male, and that more than half of survivors were between 10 and 14 when they were first abused. The Bill helps safeguard all children by requiring organisations to report allegations to ensure they are properly investigated and acted upon. </w:t>
            </w:r>
          </w:p>
        </w:tc>
      </w:tr>
    </w:tbl>
    <w:p w14:paraId="4A7C6229" w14:textId="77777777" w:rsidR="009041C7" w:rsidRPr="007029CB" w:rsidRDefault="009041C7" w:rsidP="00CE50C8">
      <w:pPr>
        <w:spacing w:before="120" w:after="120" w:line="240" w:lineRule="auto"/>
        <w:rPr>
          <w:rFonts w:asciiTheme="minorHAnsi" w:hAnsiTheme="minorHAnsi"/>
          <w:b/>
          <w:bCs/>
        </w:rPr>
      </w:pPr>
      <w:r w:rsidRPr="007029CB">
        <w:rPr>
          <w:rFonts w:asciiTheme="minorHAnsi" w:hAnsiTheme="minorHAns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7520"/>
      </w:tblGrid>
      <w:tr w:rsidR="008C071B" w:rsidRPr="00A144C6" w14:paraId="7BBA79F5" w14:textId="77777777" w:rsidTr="00C911F8">
        <w:trPr>
          <w:jc w:val="center"/>
        </w:trPr>
        <w:tc>
          <w:tcPr>
            <w:tcW w:w="1518" w:type="dxa"/>
            <w:shd w:val="clear" w:color="auto" w:fill="00B0F0"/>
          </w:tcPr>
          <w:p w14:paraId="20CEA82C" w14:textId="77777777" w:rsidR="009041C7" w:rsidRPr="007029CB" w:rsidRDefault="009041C7" w:rsidP="007029CB">
            <w:pPr>
              <w:spacing w:before="60" w:after="60" w:line="240" w:lineRule="auto"/>
              <w:rPr>
                <w:rFonts w:asciiTheme="minorHAnsi" w:hAnsiTheme="minorHAnsi"/>
              </w:rPr>
            </w:pPr>
            <w:r w:rsidRPr="007029CB">
              <w:rPr>
                <w:rFonts w:asciiTheme="minorHAnsi" w:hAnsiTheme="minorHAnsi"/>
                <w:b/>
                <w:bCs/>
              </w:rPr>
              <w:t>ACT Government Budget</w:t>
            </w:r>
          </w:p>
        </w:tc>
        <w:tc>
          <w:tcPr>
            <w:tcW w:w="7520" w:type="dxa"/>
          </w:tcPr>
          <w:p w14:paraId="33165B54" w14:textId="77777777" w:rsidR="009041C7" w:rsidRPr="007029CB" w:rsidRDefault="009041C7" w:rsidP="0049492D">
            <w:pPr>
              <w:numPr>
                <w:ilvl w:val="0"/>
                <w:numId w:val="2"/>
              </w:numPr>
              <w:spacing w:before="60" w:after="60" w:line="240" w:lineRule="auto"/>
              <w:ind w:left="357" w:hanging="357"/>
              <w:rPr>
                <w:rFonts w:asciiTheme="minorHAnsi" w:hAnsiTheme="minorHAnsi"/>
              </w:rPr>
            </w:pPr>
            <w:r w:rsidRPr="007029CB">
              <w:rPr>
                <w:rFonts w:asciiTheme="minorHAnsi" w:hAnsiTheme="minorHAnsi"/>
              </w:rPr>
              <w:t>The ACT Ombudsman will require additional resources to oversee an expanded scheme.  Funding for additional resources will be sought through a future budget process. This submission does not seek any appropriation which would have a budget impact.</w:t>
            </w:r>
          </w:p>
        </w:tc>
      </w:tr>
      <w:tr w:rsidR="008C071B" w:rsidRPr="00A144C6" w14:paraId="42E10185" w14:textId="77777777" w:rsidTr="00C911F8">
        <w:trPr>
          <w:jc w:val="center"/>
        </w:trPr>
        <w:tc>
          <w:tcPr>
            <w:tcW w:w="1518" w:type="dxa"/>
            <w:shd w:val="clear" w:color="auto" w:fill="00B0F0"/>
          </w:tcPr>
          <w:p w14:paraId="3BE5A10B" w14:textId="77777777" w:rsidR="009041C7" w:rsidRPr="007029CB" w:rsidRDefault="009041C7" w:rsidP="007029CB">
            <w:pPr>
              <w:spacing w:before="60" w:after="60" w:line="240" w:lineRule="auto"/>
              <w:rPr>
                <w:rFonts w:asciiTheme="minorHAnsi" w:hAnsiTheme="minorHAnsi"/>
                <w:b/>
              </w:rPr>
            </w:pPr>
            <w:r w:rsidRPr="007029CB">
              <w:rPr>
                <w:rFonts w:asciiTheme="minorHAnsi" w:hAnsiTheme="minorHAnsi"/>
                <w:b/>
              </w:rPr>
              <w:t>Productivity</w:t>
            </w:r>
          </w:p>
        </w:tc>
        <w:tc>
          <w:tcPr>
            <w:tcW w:w="7520" w:type="dxa"/>
          </w:tcPr>
          <w:p w14:paraId="735FF258" w14:textId="3DEF886D" w:rsidR="009041C7" w:rsidRPr="007029CB" w:rsidRDefault="009041C7" w:rsidP="007029CB">
            <w:pPr>
              <w:numPr>
                <w:ilvl w:val="0"/>
                <w:numId w:val="2"/>
              </w:numPr>
              <w:spacing w:before="60" w:after="60" w:line="240" w:lineRule="auto"/>
              <w:ind w:left="360"/>
              <w:rPr>
                <w:rFonts w:asciiTheme="minorHAnsi" w:hAnsiTheme="minorHAnsi"/>
              </w:rPr>
            </w:pPr>
            <w:r w:rsidRPr="007029CB">
              <w:rPr>
                <w:rFonts w:asciiTheme="minorHAnsi" w:hAnsiTheme="minorHAnsi"/>
              </w:rPr>
              <w:t>N</w:t>
            </w:r>
            <w:r w:rsidR="004958F1" w:rsidRPr="007029CB">
              <w:rPr>
                <w:rFonts w:asciiTheme="minorHAnsi" w:hAnsiTheme="minorHAnsi"/>
              </w:rPr>
              <w:t>o impact</w:t>
            </w:r>
          </w:p>
        </w:tc>
      </w:tr>
      <w:tr w:rsidR="008C071B" w:rsidRPr="00A144C6" w14:paraId="42C2DF88" w14:textId="77777777" w:rsidTr="00C911F8">
        <w:trPr>
          <w:jc w:val="center"/>
        </w:trPr>
        <w:tc>
          <w:tcPr>
            <w:tcW w:w="1518" w:type="dxa"/>
            <w:shd w:val="clear" w:color="auto" w:fill="00B0F0"/>
          </w:tcPr>
          <w:p w14:paraId="4D04265B" w14:textId="77777777" w:rsidR="009041C7" w:rsidRPr="007029CB" w:rsidRDefault="009041C7" w:rsidP="007029CB">
            <w:pPr>
              <w:spacing w:before="60" w:after="60" w:line="240" w:lineRule="auto"/>
              <w:rPr>
                <w:rFonts w:asciiTheme="minorHAnsi" w:hAnsiTheme="minorHAnsi"/>
                <w:b/>
              </w:rPr>
            </w:pPr>
            <w:r w:rsidRPr="007029CB">
              <w:rPr>
                <w:rFonts w:asciiTheme="minorHAnsi" w:hAnsiTheme="minorHAnsi"/>
                <w:b/>
              </w:rPr>
              <w:t>Investment</w:t>
            </w:r>
          </w:p>
        </w:tc>
        <w:tc>
          <w:tcPr>
            <w:tcW w:w="7520" w:type="dxa"/>
          </w:tcPr>
          <w:p w14:paraId="33403F23" w14:textId="2FE4CC7E" w:rsidR="009041C7" w:rsidRPr="007029CB" w:rsidRDefault="009041C7" w:rsidP="007029CB">
            <w:pPr>
              <w:numPr>
                <w:ilvl w:val="0"/>
                <w:numId w:val="2"/>
              </w:numPr>
              <w:spacing w:before="60" w:after="60" w:line="240" w:lineRule="auto"/>
              <w:ind w:left="360"/>
              <w:rPr>
                <w:rFonts w:asciiTheme="minorHAnsi" w:hAnsiTheme="minorHAnsi"/>
              </w:rPr>
            </w:pPr>
            <w:r w:rsidRPr="007029CB">
              <w:rPr>
                <w:rFonts w:asciiTheme="minorHAnsi" w:hAnsiTheme="minorHAnsi"/>
              </w:rPr>
              <w:t>N</w:t>
            </w:r>
            <w:r w:rsidR="004958F1" w:rsidRPr="007029CB">
              <w:rPr>
                <w:rFonts w:asciiTheme="minorHAnsi" w:hAnsiTheme="minorHAnsi"/>
              </w:rPr>
              <w:t>o impact</w:t>
            </w:r>
          </w:p>
        </w:tc>
      </w:tr>
      <w:tr w:rsidR="008C071B" w:rsidRPr="00A144C6" w14:paraId="250FE98A" w14:textId="77777777" w:rsidTr="00C911F8">
        <w:trPr>
          <w:jc w:val="center"/>
        </w:trPr>
        <w:tc>
          <w:tcPr>
            <w:tcW w:w="1518" w:type="dxa"/>
            <w:shd w:val="clear" w:color="auto" w:fill="00B0F0"/>
          </w:tcPr>
          <w:p w14:paraId="490638A0" w14:textId="77777777" w:rsidR="009041C7" w:rsidRPr="007029CB" w:rsidRDefault="009041C7" w:rsidP="007029CB">
            <w:pPr>
              <w:spacing w:before="60" w:after="60" w:line="240" w:lineRule="auto"/>
              <w:rPr>
                <w:rFonts w:asciiTheme="minorHAnsi" w:hAnsiTheme="minorHAnsi"/>
              </w:rPr>
            </w:pPr>
            <w:r w:rsidRPr="007029CB">
              <w:rPr>
                <w:rFonts w:asciiTheme="minorHAnsi" w:hAnsiTheme="minorHAnsi"/>
                <w:b/>
                <w:bCs/>
              </w:rPr>
              <w:t>Competition</w:t>
            </w:r>
          </w:p>
        </w:tc>
        <w:tc>
          <w:tcPr>
            <w:tcW w:w="7520" w:type="dxa"/>
          </w:tcPr>
          <w:p w14:paraId="0EB73243" w14:textId="0D205E9A" w:rsidR="009041C7" w:rsidRPr="007029CB" w:rsidRDefault="009041C7" w:rsidP="007029CB">
            <w:pPr>
              <w:numPr>
                <w:ilvl w:val="0"/>
                <w:numId w:val="2"/>
              </w:numPr>
              <w:spacing w:before="60" w:after="60" w:line="240" w:lineRule="auto"/>
              <w:ind w:left="360"/>
              <w:rPr>
                <w:rFonts w:asciiTheme="minorHAnsi" w:hAnsiTheme="minorHAnsi"/>
              </w:rPr>
            </w:pPr>
            <w:r w:rsidRPr="007029CB">
              <w:rPr>
                <w:rFonts w:asciiTheme="minorHAnsi" w:hAnsiTheme="minorHAnsi"/>
              </w:rPr>
              <w:t>N</w:t>
            </w:r>
            <w:r w:rsidR="004958F1" w:rsidRPr="007029CB">
              <w:rPr>
                <w:rFonts w:asciiTheme="minorHAnsi" w:hAnsiTheme="minorHAnsi"/>
              </w:rPr>
              <w:t>o impact</w:t>
            </w:r>
          </w:p>
        </w:tc>
      </w:tr>
    </w:tbl>
    <w:p w14:paraId="15C595C5" w14:textId="77777777" w:rsidR="00B41519" w:rsidRPr="007029CB" w:rsidRDefault="00B41519" w:rsidP="00CE50C8">
      <w:pPr>
        <w:spacing w:before="120" w:after="120" w:line="240" w:lineRule="auto"/>
        <w:rPr>
          <w:rFonts w:asciiTheme="minorHAnsi" w:hAnsiTheme="minorHAnsi"/>
          <w:b/>
          <w:bCs/>
        </w:rPr>
      </w:pPr>
      <w:r w:rsidRPr="007029CB">
        <w:rPr>
          <w:rFonts w:asciiTheme="minorHAnsi" w:hAnsiTheme="minorHAnsi"/>
          <w:b/>
          <w:bCs/>
        </w:rPr>
        <w:t>Environmental</w:t>
      </w:r>
    </w:p>
    <w:p w14:paraId="580F5339" w14:textId="77777777" w:rsidR="00B41519" w:rsidRPr="007029CB" w:rsidRDefault="00B41519" w:rsidP="00B41519">
      <w:pPr>
        <w:spacing w:after="160" w:line="259" w:lineRule="auto"/>
        <w:rPr>
          <w:rFonts w:asciiTheme="minorHAnsi" w:hAnsiTheme="minorHAnsi"/>
        </w:rPr>
      </w:pPr>
      <w:r w:rsidRPr="007029CB">
        <w:rPr>
          <w:rFonts w:asciiTheme="minorHAnsi" w:hAnsiTheme="minorHAnsi"/>
        </w:rPr>
        <w:t>Not applicable</w:t>
      </w:r>
    </w:p>
    <w:p w14:paraId="7D911056" w14:textId="0325391D" w:rsidR="009041C7" w:rsidRPr="007029CB" w:rsidRDefault="009041C7">
      <w:pPr>
        <w:spacing w:after="160" w:line="259" w:lineRule="auto"/>
        <w:rPr>
          <w:rFonts w:asciiTheme="minorHAnsi" w:hAnsiTheme="minorHAnsi"/>
        </w:rPr>
      </w:pPr>
      <w:bookmarkStart w:id="0" w:name="_GoBack"/>
      <w:bookmarkEnd w:id="0"/>
    </w:p>
    <w:sectPr w:rsidR="009041C7" w:rsidRPr="007029CB" w:rsidSect="00534E14">
      <w:footerReference w:type="default" r:id="rId8"/>
      <w:type w:val="continuous"/>
      <w:pgSz w:w="11906" w:h="16838"/>
      <w:pgMar w:top="1242" w:right="1440" w:bottom="993"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BC4A9E" w:rsidRDefault="00BC4A9E" w:rsidP="009041C7">
      <w:pPr>
        <w:spacing w:after="0" w:line="240" w:lineRule="auto"/>
      </w:pPr>
      <w:r>
        <w:separator/>
      </w:r>
    </w:p>
  </w:endnote>
  <w:endnote w:type="continuationSeparator" w:id="0">
    <w:p w14:paraId="559A4ACD" w14:textId="77777777" w:rsidR="00BC4A9E" w:rsidRDefault="00BC4A9E"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936812"/>
      <w:docPartObj>
        <w:docPartGallery w:val="Page Numbers (Bottom of Page)"/>
        <w:docPartUnique/>
      </w:docPartObj>
    </w:sdtPr>
    <w:sdtEndPr>
      <w:rPr>
        <w:noProof/>
      </w:rPr>
    </w:sdtEndPr>
    <w:sdtContent>
      <w:p w14:paraId="32318247" w14:textId="5EA246BC" w:rsidR="00160FE5" w:rsidRDefault="00160FE5">
        <w:pPr>
          <w:pStyle w:val="Footer"/>
          <w:jc w:val="center"/>
        </w:pPr>
        <w:r>
          <w:fldChar w:fldCharType="begin"/>
        </w:r>
        <w:r>
          <w:instrText xml:space="preserve"> PAGE   \* MERGEFORMAT </w:instrText>
        </w:r>
        <w:r>
          <w:fldChar w:fldCharType="separate"/>
        </w:r>
        <w:r w:rsidR="008B3F3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BC4A9E" w:rsidRDefault="00BC4A9E" w:rsidP="009041C7">
      <w:pPr>
        <w:spacing w:after="0" w:line="240" w:lineRule="auto"/>
      </w:pPr>
      <w:r>
        <w:separator/>
      </w:r>
    </w:p>
  </w:footnote>
  <w:footnote w:type="continuationSeparator" w:id="0">
    <w:p w14:paraId="4A30B665" w14:textId="77777777" w:rsidR="00BC4A9E" w:rsidRDefault="00BC4A9E"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6461B"/>
    <w:multiLevelType w:val="hybridMultilevel"/>
    <w:tmpl w:val="4058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7123D"/>
    <w:rsid w:val="00091628"/>
    <w:rsid w:val="000A4EED"/>
    <w:rsid w:val="00160FE5"/>
    <w:rsid w:val="00196E34"/>
    <w:rsid w:val="002E146C"/>
    <w:rsid w:val="002F15D9"/>
    <w:rsid w:val="00306B44"/>
    <w:rsid w:val="0038149F"/>
    <w:rsid w:val="00426BD2"/>
    <w:rsid w:val="0049492D"/>
    <w:rsid w:val="004958F1"/>
    <w:rsid w:val="004A6A8B"/>
    <w:rsid w:val="004D51BB"/>
    <w:rsid w:val="00534E14"/>
    <w:rsid w:val="005D0341"/>
    <w:rsid w:val="005E0582"/>
    <w:rsid w:val="006033C5"/>
    <w:rsid w:val="0065455C"/>
    <w:rsid w:val="007029CB"/>
    <w:rsid w:val="007B70DE"/>
    <w:rsid w:val="007E0AD7"/>
    <w:rsid w:val="00850B04"/>
    <w:rsid w:val="00872456"/>
    <w:rsid w:val="008B2545"/>
    <w:rsid w:val="008B3F3A"/>
    <w:rsid w:val="008C071B"/>
    <w:rsid w:val="008C4BC9"/>
    <w:rsid w:val="009041C7"/>
    <w:rsid w:val="00913FA9"/>
    <w:rsid w:val="00961470"/>
    <w:rsid w:val="009C24CB"/>
    <w:rsid w:val="00A144C6"/>
    <w:rsid w:val="00A41FC1"/>
    <w:rsid w:val="00A71DF3"/>
    <w:rsid w:val="00AC35A2"/>
    <w:rsid w:val="00B14155"/>
    <w:rsid w:val="00B41519"/>
    <w:rsid w:val="00B727F6"/>
    <w:rsid w:val="00BC4A9E"/>
    <w:rsid w:val="00C17089"/>
    <w:rsid w:val="00C911F8"/>
    <w:rsid w:val="00CE50C8"/>
    <w:rsid w:val="00CF5FA5"/>
    <w:rsid w:val="00D34FF1"/>
    <w:rsid w:val="00D848AA"/>
    <w:rsid w:val="00DC7E8B"/>
    <w:rsid w:val="00F32B7B"/>
    <w:rsid w:val="00F36E3A"/>
    <w:rsid w:val="00F548F5"/>
    <w:rsid w:val="00F65981"/>
    <w:rsid w:val="00FB3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914C0-2CE8-4624-AAB3-D892E6D82A10}">
  <ds:schemaRefs>
    <ds:schemaRef ds:uri="http://schemas.openxmlformats.org/officeDocument/2006/bibliography"/>
  </ds:schemaRefs>
</ds:datastoreItem>
</file>

<file path=customXml/itemProps2.xml><?xml version="1.0" encoding="utf-8"?>
<ds:datastoreItem xmlns:ds="http://schemas.openxmlformats.org/officeDocument/2006/customXml" ds:itemID="{0F7FAD8C-3F24-456B-919E-0B386157DEDB}"/>
</file>

<file path=customXml/itemProps3.xml><?xml version="1.0" encoding="utf-8"?>
<ds:datastoreItem xmlns:ds="http://schemas.openxmlformats.org/officeDocument/2006/customXml" ds:itemID="{E1093FA8-8FA3-44F6-A5A4-425E2DFEAC4B}"/>
</file>

<file path=customXml/itemProps4.xml><?xml version="1.0" encoding="utf-8"?>
<ds:datastoreItem xmlns:ds="http://schemas.openxmlformats.org/officeDocument/2006/customXml" ds:itemID="{07A33E85-20F1-4D47-A23D-0D298095EA20}"/>
</file>

<file path=docProps/app.xml><?xml version="1.0" encoding="utf-8"?>
<Properties xmlns="http://schemas.openxmlformats.org/officeDocument/2006/extended-properties" xmlns:vt="http://schemas.openxmlformats.org/officeDocument/2006/docPropsVTypes">
  <Template>Normal</Template>
  <TotalTime>11</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Triple Bottom Line Assessment</vt:lpstr>
    </vt:vector>
  </TitlesOfParts>
  <Company>ACT Government</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17/694 Triple Bottom Line Assessment</dc:title>
  <dc:subject/>
  <dc:creator>Thomas, Lachlan;CabinetOffice@act.gov.au</dc:creator>
  <cp:keywords/>
  <dc:description/>
  <cp:lastModifiedBy>Thomas, Lachlan</cp:lastModifiedBy>
  <cp:revision>8</cp:revision>
  <cp:lastPrinted>2018-06-18T05:47:00Z</cp:lastPrinted>
  <dcterms:created xsi:type="dcterms:W3CDTF">2018-06-18T05:50:00Z</dcterms:created>
  <dcterms:modified xsi:type="dcterms:W3CDTF">2018-07-04T00:28:00Z</dcterms:modified>
</cp:coreProperties>
</file>