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BBAAF" w14:textId="77777777" w:rsidR="00024B3B" w:rsidRPr="00966EB9" w:rsidRDefault="00024B3B" w:rsidP="0063212C">
      <w:pPr>
        <w:spacing w:line="240" w:lineRule="auto"/>
        <w:rPr>
          <w:rFonts w:asciiTheme="minorHAnsi" w:hAnsiTheme="minorHAnsi"/>
          <w:b/>
          <w:bCs/>
          <w:color w:val="000000" w:themeColor="text1"/>
        </w:rPr>
      </w:pPr>
      <w:bookmarkStart w:id="0" w:name="_GoBack"/>
      <w:bookmarkEnd w:id="0"/>
      <w:r w:rsidRPr="00966EB9">
        <w:rPr>
          <w:rFonts w:asciiTheme="minorHAnsi" w:hAnsiTheme="minorHAnsi"/>
          <w:b/>
          <w:bCs/>
          <w:color w:val="000000" w:themeColor="text1"/>
        </w:rPr>
        <w:t>Directorate:</w:t>
      </w:r>
      <w:r w:rsidRPr="00966EB9">
        <w:rPr>
          <w:rFonts w:asciiTheme="minorHAnsi" w:hAnsiTheme="minorHAnsi"/>
          <w:b/>
          <w:bCs/>
          <w:color w:val="000000" w:themeColor="text1"/>
        </w:rPr>
        <w:tab/>
        <w:t xml:space="preserve">Chief Minister, Treasury and Economic Development </w:t>
      </w:r>
    </w:p>
    <w:p w14:paraId="3A25B3CD" w14:textId="3FE88B5B" w:rsidR="00024B3B" w:rsidRPr="00966EB9" w:rsidRDefault="00024B3B" w:rsidP="0063212C">
      <w:pPr>
        <w:spacing w:line="240" w:lineRule="auto"/>
        <w:rPr>
          <w:rFonts w:asciiTheme="minorHAnsi" w:hAnsiTheme="minorHAnsi"/>
          <w:b/>
          <w:bCs/>
          <w:color w:val="000000" w:themeColor="text1"/>
        </w:rPr>
      </w:pPr>
      <w:r w:rsidRPr="00966EB9">
        <w:rPr>
          <w:rFonts w:asciiTheme="minorHAnsi" w:hAnsiTheme="minorHAnsi"/>
          <w:b/>
          <w:bCs/>
          <w:color w:val="000000" w:themeColor="text1"/>
        </w:rPr>
        <w:t xml:space="preserve">17/561 </w:t>
      </w:r>
      <w:r w:rsidR="00C912AA">
        <w:rPr>
          <w:rFonts w:asciiTheme="minorHAnsi" w:hAnsiTheme="minorHAnsi"/>
          <w:b/>
          <w:bCs/>
          <w:color w:val="000000" w:themeColor="text1"/>
        </w:rPr>
        <w:t>–</w:t>
      </w:r>
      <w:r w:rsidRPr="00966EB9">
        <w:rPr>
          <w:rFonts w:asciiTheme="minorHAnsi" w:hAnsiTheme="minorHAnsi"/>
          <w:b/>
          <w:bCs/>
          <w:color w:val="000000" w:themeColor="text1"/>
        </w:rPr>
        <w:t xml:space="preserve"> </w:t>
      </w:r>
      <w:r w:rsidR="00C912AA">
        <w:rPr>
          <w:rFonts w:asciiTheme="minorHAnsi" w:hAnsiTheme="minorHAnsi"/>
          <w:b/>
          <w:bCs/>
          <w:color w:val="000000" w:themeColor="text1"/>
        </w:rPr>
        <w:t xml:space="preserve">CBR </w:t>
      </w:r>
      <w:r w:rsidRPr="00966EB9">
        <w:rPr>
          <w:rFonts w:asciiTheme="minorHAnsi" w:hAnsiTheme="minorHAnsi"/>
          <w:b/>
          <w:bCs/>
          <w:color w:val="000000" w:themeColor="text1"/>
        </w:rPr>
        <w:t>Cycle Tourism Strategy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8"/>
      </w:tblGrid>
      <w:tr w:rsidR="00024B3B" w:rsidRPr="00966EB9" w14:paraId="79681A1B" w14:textId="77777777" w:rsidTr="001945FF">
        <w:trPr>
          <w:jc w:val="center"/>
        </w:trPr>
        <w:tc>
          <w:tcPr>
            <w:tcW w:w="9105" w:type="dxa"/>
          </w:tcPr>
          <w:p w14:paraId="536F8C59" w14:textId="77777777" w:rsidR="00024B3B" w:rsidRPr="000509B7" w:rsidRDefault="00024B3B" w:rsidP="0063212C">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Summary of Impacts</w:t>
            </w:r>
          </w:p>
        </w:tc>
      </w:tr>
      <w:tr w:rsidR="00024B3B" w:rsidRPr="00966EB9" w14:paraId="7C6E1E2C" w14:textId="77777777" w:rsidTr="001945FF">
        <w:trPr>
          <w:jc w:val="center"/>
        </w:trPr>
        <w:tc>
          <w:tcPr>
            <w:tcW w:w="9105" w:type="dxa"/>
          </w:tcPr>
          <w:p w14:paraId="29BE6D9A" w14:textId="77777777" w:rsidR="00024B3B" w:rsidRPr="00966EB9" w:rsidRDefault="00024B3B" w:rsidP="0063212C">
            <w:pPr>
              <w:spacing w:before="60" w:after="60" w:line="240" w:lineRule="auto"/>
              <w:rPr>
                <w:rFonts w:asciiTheme="minorHAnsi" w:hAnsiTheme="minorHAnsi"/>
                <w:color w:val="000000" w:themeColor="text1"/>
              </w:rPr>
            </w:pPr>
            <w:r w:rsidRPr="00966EB9">
              <w:rPr>
                <w:rFonts w:asciiTheme="minorHAnsi" w:hAnsiTheme="minorHAnsi"/>
                <w:color w:val="000000" w:themeColor="text1"/>
              </w:rPr>
              <w:t>The initiatives outlined in the Strategy offer multiple benefits to the ACT economy, including showcasing the destination’s competitive advantage, enhancement of infrastructure that also supports commuter cycling (preventative health, social and environmental benefits), and encouraging greater private sector investment in supporting services and products.</w:t>
            </w:r>
          </w:p>
          <w:p w14:paraId="097F8716" w14:textId="77777777" w:rsidR="00024B3B" w:rsidRPr="000509B7" w:rsidRDefault="00024B3B" w:rsidP="0063212C">
            <w:pPr>
              <w:spacing w:before="60" w:after="60" w:line="240" w:lineRule="auto"/>
              <w:rPr>
                <w:rFonts w:asciiTheme="minorHAnsi" w:hAnsiTheme="minorHAnsi"/>
                <w:color w:val="000000" w:themeColor="text1"/>
              </w:rPr>
            </w:pPr>
            <w:r w:rsidRPr="00966EB9">
              <w:rPr>
                <w:rFonts w:asciiTheme="minorHAnsi" w:hAnsiTheme="minorHAnsi"/>
                <w:color w:val="000000" w:themeColor="text1"/>
              </w:rPr>
              <w:t xml:space="preserve">The Strategy includes a number of initiatives that will generate positive social, environmental and economic outcomes for the ACT and region. The small number of impacts on the natural environment will be managed through </w:t>
            </w:r>
            <w:r w:rsidRPr="000509B7">
              <w:rPr>
                <w:rFonts w:asciiTheme="minorHAnsi" w:hAnsiTheme="minorHAnsi"/>
                <w:color w:val="000000" w:themeColor="text1"/>
              </w:rPr>
              <w:t>the development and implementation of guidelines for sustainable trail design, construction and maintenance.</w:t>
            </w:r>
          </w:p>
        </w:tc>
      </w:tr>
    </w:tbl>
    <w:p w14:paraId="27886D41" w14:textId="0843F47C" w:rsidR="00024B3B" w:rsidRPr="00966EB9" w:rsidRDefault="00024B3B" w:rsidP="009A03A0">
      <w:pPr>
        <w:spacing w:after="120"/>
        <w:rPr>
          <w:rFonts w:asciiTheme="minorHAnsi" w:hAnsiTheme="minorHAnsi"/>
          <w:i/>
          <w:color w:val="000000" w:themeColor="text1"/>
        </w:rPr>
      </w:pPr>
      <w:r w:rsidRPr="00966EB9">
        <w:rPr>
          <w:rFonts w:asciiTheme="minorHAnsi" w:hAnsiTheme="minorHAnsi"/>
          <w:i/>
          <w:color w:val="000000" w:themeColor="text1"/>
        </w:rPr>
        <w:t xml:space="preserve">Key to impacts: Red – negative, </w:t>
      </w:r>
      <w:r w:rsidR="004557F1" w:rsidRPr="00966EB9">
        <w:rPr>
          <w:rFonts w:asciiTheme="minorHAnsi" w:hAnsiTheme="minorHAnsi"/>
          <w:i/>
          <w:color w:val="000000" w:themeColor="text1"/>
        </w:rPr>
        <w:t>Blue</w:t>
      </w:r>
      <w:r w:rsidR="0055530B" w:rsidRPr="00966EB9">
        <w:rPr>
          <w:rFonts w:asciiTheme="minorHAnsi" w:hAnsiTheme="minorHAnsi"/>
          <w:i/>
          <w:color w:val="000000" w:themeColor="text1"/>
        </w:rPr>
        <w:t xml:space="preserve"> – neutral </w:t>
      </w:r>
      <w:r w:rsidRPr="00966EB9">
        <w:rPr>
          <w:rFonts w:asciiTheme="minorHAnsi" w:hAnsiTheme="minorHAnsi"/>
          <w:i/>
          <w:color w:val="000000" w:themeColor="text1"/>
        </w:rPr>
        <w:t>and Green</w:t>
      </w:r>
      <w:r w:rsidR="0055530B" w:rsidRPr="00966EB9">
        <w:rPr>
          <w:rFonts w:asciiTheme="minorHAnsi" w:hAnsiTheme="minorHAnsi"/>
          <w:i/>
          <w:color w:val="000000" w:themeColor="text1"/>
        </w:rPr>
        <w:t xml:space="preserve"> – positive</w:t>
      </w:r>
      <w:r w:rsidRPr="00966EB9">
        <w:rPr>
          <w:rFonts w:asciiTheme="minorHAnsi" w:hAnsiTheme="minorHAnsi"/>
          <w:i/>
          <w:color w:val="000000" w:themeColor="text1"/>
        </w:rPr>
        <w:t>.</w:t>
      </w:r>
    </w:p>
    <w:p w14:paraId="37D4266A" w14:textId="77777777" w:rsidR="00024B3B" w:rsidRPr="000509B7" w:rsidRDefault="00024B3B" w:rsidP="0063212C">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Social</w:t>
      </w:r>
    </w:p>
    <w:tbl>
      <w:tblPr>
        <w:tblStyle w:val="TableGrid"/>
        <w:tblW w:w="0" w:type="auto"/>
        <w:tblBorders>
          <w:bottom w:val="none" w:sz="0" w:space="0" w:color="auto"/>
        </w:tblBorders>
        <w:tblLook w:val="04A0" w:firstRow="1" w:lastRow="0" w:firstColumn="1" w:lastColumn="0" w:noHBand="0" w:noVBand="1"/>
      </w:tblPr>
      <w:tblGrid>
        <w:gridCol w:w="1555"/>
        <w:gridCol w:w="7461"/>
      </w:tblGrid>
      <w:tr w:rsidR="00024B3B" w:rsidRPr="00966EB9" w14:paraId="58D6D2B2" w14:textId="77777777" w:rsidTr="001945FF">
        <w:tc>
          <w:tcPr>
            <w:tcW w:w="1555" w:type="dxa"/>
            <w:shd w:val="clear" w:color="auto" w:fill="92D050"/>
          </w:tcPr>
          <w:p w14:paraId="60D27524" w14:textId="77777777" w:rsidR="00024B3B" w:rsidRPr="000509B7" w:rsidRDefault="00024B3B" w:rsidP="0063212C">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Community and Individual Health</w:t>
            </w:r>
          </w:p>
        </w:tc>
        <w:tc>
          <w:tcPr>
            <w:tcW w:w="7461" w:type="dxa"/>
          </w:tcPr>
          <w:p w14:paraId="04E4CE9B" w14:textId="77777777" w:rsidR="00024B3B" w:rsidRPr="000509B7" w:rsidRDefault="00024B3B" w:rsidP="0063212C">
            <w:pPr>
              <w:spacing w:before="60" w:after="60" w:line="240" w:lineRule="auto"/>
              <w:rPr>
                <w:rFonts w:asciiTheme="minorHAnsi" w:hAnsiTheme="minorHAnsi"/>
                <w:color w:val="000000" w:themeColor="text1"/>
              </w:rPr>
            </w:pPr>
            <w:r w:rsidRPr="000509B7">
              <w:rPr>
                <w:rFonts w:asciiTheme="minorHAnsi" w:hAnsiTheme="minorHAnsi"/>
                <w:color w:val="000000" w:themeColor="text1"/>
              </w:rPr>
              <w:t>The Strategy will improve community health and well-being outcomes by encouraging greater participation in physical activity and active travel.</w:t>
            </w:r>
          </w:p>
        </w:tc>
      </w:tr>
      <w:tr w:rsidR="00580B7F" w:rsidRPr="00966EB9" w14:paraId="7384716A" w14:textId="77777777" w:rsidTr="001945FF">
        <w:tc>
          <w:tcPr>
            <w:tcW w:w="1555" w:type="dxa"/>
            <w:shd w:val="clear" w:color="auto" w:fill="92D050"/>
          </w:tcPr>
          <w:p w14:paraId="3B466CC9" w14:textId="5B680F97" w:rsidR="00580B7F" w:rsidRPr="00966EB9" w:rsidRDefault="00580B7F" w:rsidP="0063212C">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Access to Social Networks and Community Activities</w:t>
            </w:r>
          </w:p>
        </w:tc>
        <w:tc>
          <w:tcPr>
            <w:tcW w:w="7461" w:type="dxa"/>
          </w:tcPr>
          <w:p w14:paraId="17C8201B" w14:textId="7784FCC8" w:rsidR="00580B7F" w:rsidRPr="000509B7" w:rsidRDefault="00580B7F" w:rsidP="0063212C">
            <w:pPr>
              <w:spacing w:before="60" w:after="60" w:line="240" w:lineRule="auto"/>
              <w:rPr>
                <w:rFonts w:asciiTheme="minorHAnsi" w:hAnsiTheme="minorHAnsi"/>
                <w:color w:val="000000" w:themeColor="text1"/>
              </w:rPr>
            </w:pPr>
            <w:r w:rsidRPr="00966EB9">
              <w:rPr>
                <w:rFonts w:asciiTheme="minorHAnsi" w:hAnsiTheme="minorHAnsi"/>
                <w:color w:val="000000" w:themeColor="text1"/>
              </w:rPr>
              <w:t>The Strategy will encourage more active and connected communities, providing increased opportunities for social interaction through participation in community-based events</w:t>
            </w:r>
            <w:r w:rsidRPr="000509B7">
              <w:rPr>
                <w:rFonts w:asciiTheme="minorHAnsi" w:hAnsiTheme="minorHAnsi"/>
                <w:color w:val="000000" w:themeColor="text1"/>
              </w:rPr>
              <w:t xml:space="preserve"> and use of volunteers.</w:t>
            </w:r>
          </w:p>
        </w:tc>
      </w:tr>
      <w:tr w:rsidR="00580B7F" w:rsidRPr="00966EB9" w14:paraId="57F9EFED" w14:textId="77777777" w:rsidTr="001945FF">
        <w:tc>
          <w:tcPr>
            <w:tcW w:w="1555" w:type="dxa"/>
            <w:shd w:val="clear" w:color="auto" w:fill="92D050"/>
          </w:tcPr>
          <w:p w14:paraId="57E98DC2" w14:textId="34BE8E4C" w:rsidR="00580B7F" w:rsidRPr="00966EB9" w:rsidRDefault="00580B7F" w:rsidP="0063212C">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Gender</w:t>
            </w:r>
          </w:p>
        </w:tc>
        <w:tc>
          <w:tcPr>
            <w:tcW w:w="7461" w:type="dxa"/>
          </w:tcPr>
          <w:p w14:paraId="35F01F9F" w14:textId="17F05383" w:rsidR="00580B7F" w:rsidRPr="00966EB9" w:rsidRDefault="00580B7F" w:rsidP="0063212C">
            <w:pPr>
              <w:spacing w:before="60" w:after="60" w:line="240" w:lineRule="auto"/>
              <w:rPr>
                <w:rFonts w:asciiTheme="minorHAnsi" w:hAnsiTheme="minorHAnsi"/>
                <w:color w:val="000000" w:themeColor="text1"/>
              </w:rPr>
            </w:pPr>
            <w:r w:rsidRPr="00966EB9">
              <w:rPr>
                <w:rFonts w:asciiTheme="minorHAnsi" w:hAnsiTheme="minorHAnsi"/>
                <w:color w:val="000000" w:themeColor="text1"/>
              </w:rPr>
              <w:t>The Strategy includes initiatives to specifically encourage and foster female participation in cycling activities and events.</w:t>
            </w:r>
          </w:p>
        </w:tc>
      </w:tr>
      <w:tr w:rsidR="00580B7F" w:rsidRPr="00966EB9" w14:paraId="670ACD14" w14:textId="77777777" w:rsidTr="00580B7F">
        <w:tc>
          <w:tcPr>
            <w:tcW w:w="1555" w:type="dxa"/>
            <w:tcBorders>
              <w:bottom w:val="single" w:sz="4" w:space="0" w:color="auto"/>
            </w:tcBorders>
            <w:shd w:val="clear" w:color="auto" w:fill="92D050"/>
          </w:tcPr>
          <w:p w14:paraId="7DD47A69" w14:textId="353BAA12" w:rsidR="00580B7F" w:rsidRPr="00966EB9" w:rsidRDefault="00580B7F" w:rsidP="0063212C">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Disability</w:t>
            </w:r>
          </w:p>
        </w:tc>
        <w:tc>
          <w:tcPr>
            <w:tcW w:w="7461" w:type="dxa"/>
            <w:tcBorders>
              <w:bottom w:val="single" w:sz="4" w:space="0" w:color="auto"/>
            </w:tcBorders>
          </w:tcPr>
          <w:p w14:paraId="5B6905A7" w14:textId="7AA6DBC0" w:rsidR="00580B7F" w:rsidRPr="000509B7" w:rsidRDefault="00580B7F" w:rsidP="0063212C">
            <w:pPr>
              <w:spacing w:before="60" w:after="60" w:line="240" w:lineRule="auto"/>
              <w:rPr>
                <w:rFonts w:asciiTheme="minorHAnsi" w:hAnsiTheme="minorHAnsi"/>
                <w:color w:val="000000" w:themeColor="text1"/>
              </w:rPr>
            </w:pPr>
            <w:r w:rsidRPr="00966EB9">
              <w:rPr>
                <w:rFonts w:asciiTheme="minorHAnsi" w:hAnsiTheme="minorHAnsi"/>
                <w:color w:val="000000" w:themeColor="text1"/>
              </w:rPr>
              <w:t>The Strategy includes actions to enable people with disability to participate in cycli</w:t>
            </w:r>
            <w:r w:rsidRPr="000509B7">
              <w:rPr>
                <w:rFonts w:asciiTheme="minorHAnsi" w:hAnsiTheme="minorHAnsi"/>
                <w:color w:val="000000" w:themeColor="text1"/>
              </w:rPr>
              <w:t>ng by improving supporting infrastructure and facilities.</w:t>
            </w:r>
          </w:p>
        </w:tc>
      </w:tr>
    </w:tbl>
    <w:p w14:paraId="16746ADF" w14:textId="77777777" w:rsidR="00024B3B" w:rsidRPr="00966EB9" w:rsidRDefault="00024B3B" w:rsidP="0063212C">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Economic</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18"/>
        <w:gridCol w:w="7498"/>
      </w:tblGrid>
      <w:tr w:rsidR="009A03A0" w:rsidRPr="00966EB9" w14:paraId="14C2E840" w14:textId="77777777" w:rsidTr="009A03A0">
        <w:trPr>
          <w:jc w:val="center"/>
        </w:trPr>
        <w:tc>
          <w:tcPr>
            <w:tcW w:w="1518" w:type="dxa"/>
            <w:shd w:val="clear" w:color="auto" w:fill="00B0F0"/>
          </w:tcPr>
          <w:p w14:paraId="0B34B386" w14:textId="77777777" w:rsidR="00024B3B" w:rsidRPr="000509B7" w:rsidRDefault="00024B3B" w:rsidP="0063212C">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ACT Government Budget</w:t>
            </w:r>
          </w:p>
        </w:tc>
        <w:tc>
          <w:tcPr>
            <w:tcW w:w="7498" w:type="dxa"/>
          </w:tcPr>
          <w:p w14:paraId="7FD7CC3B" w14:textId="77777777" w:rsidR="00024B3B" w:rsidRPr="000509B7" w:rsidRDefault="00024B3B" w:rsidP="0063212C">
            <w:pPr>
              <w:spacing w:before="60" w:after="60" w:line="240" w:lineRule="auto"/>
              <w:rPr>
                <w:rFonts w:asciiTheme="minorHAnsi" w:hAnsiTheme="minorHAnsi"/>
                <w:color w:val="000000" w:themeColor="text1"/>
              </w:rPr>
            </w:pPr>
            <w:r w:rsidRPr="000509B7">
              <w:rPr>
                <w:rFonts w:asciiTheme="minorHAnsi" w:hAnsiTheme="minorHAnsi"/>
                <w:color w:val="000000" w:themeColor="text1"/>
              </w:rPr>
              <w:t>Some actions in the Strategy would require budget funding.  These will be brought forward as budget bids at the appropriate time.</w:t>
            </w:r>
          </w:p>
        </w:tc>
      </w:tr>
      <w:tr w:rsidR="00024B3B" w:rsidRPr="00966EB9" w14:paraId="78A320DA" w14:textId="77777777" w:rsidTr="001945FF">
        <w:trPr>
          <w:jc w:val="center"/>
        </w:trPr>
        <w:tc>
          <w:tcPr>
            <w:tcW w:w="1518" w:type="dxa"/>
            <w:shd w:val="clear" w:color="auto" w:fill="92D050"/>
          </w:tcPr>
          <w:p w14:paraId="1454999F" w14:textId="77777777" w:rsidR="00024B3B" w:rsidRPr="00966EB9" w:rsidRDefault="00024B3B" w:rsidP="0063212C">
            <w:pPr>
              <w:shd w:val="clear" w:color="auto" w:fill="92D050"/>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Productivity and Innovation</w:t>
            </w:r>
          </w:p>
        </w:tc>
        <w:tc>
          <w:tcPr>
            <w:tcW w:w="7498" w:type="dxa"/>
          </w:tcPr>
          <w:p w14:paraId="0C962F59" w14:textId="77777777" w:rsidR="00024B3B" w:rsidRPr="000509B7" w:rsidRDefault="00024B3B" w:rsidP="0063212C">
            <w:pPr>
              <w:spacing w:before="60" w:after="60" w:line="240" w:lineRule="auto"/>
              <w:rPr>
                <w:rFonts w:asciiTheme="minorHAnsi" w:hAnsiTheme="minorHAnsi"/>
                <w:color w:val="000000" w:themeColor="text1"/>
              </w:rPr>
            </w:pPr>
            <w:r w:rsidRPr="000509B7">
              <w:rPr>
                <w:rFonts w:asciiTheme="minorHAnsi" w:hAnsiTheme="minorHAnsi"/>
                <w:color w:val="000000" w:themeColor="text1"/>
              </w:rPr>
              <w:t>Some actions in the Strategy will create opportunities for new and innovative commercial tourism offerings in the ACT and region.</w:t>
            </w:r>
          </w:p>
        </w:tc>
      </w:tr>
      <w:tr w:rsidR="00024B3B" w:rsidRPr="00966EB9" w14:paraId="44946E98" w14:textId="77777777" w:rsidTr="001945FF">
        <w:trPr>
          <w:jc w:val="center"/>
        </w:trPr>
        <w:tc>
          <w:tcPr>
            <w:tcW w:w="1518" w:type="dxa"/>
            <w:shd w:val="clear" w:color="auto" w:fill="92D050"/>
          </w:tcPr>
          <w:p w14:paraId="25303BE4" w14:textId="77777777" w:rsidR="00024B3B" w:rsidRPr="00966EB9" w:rsidRDefault="00024B3B" w:rsidP="0063212C">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Employment</w:t>
            </w:r>
          </w:p>
        </w:tc>
        <w:tc>
          <w:tcPr>
            <w:tcW w:w="7498" w:type="dxa"/>
          </w:tcPr>
          <w:p w14:paraId="4676547F" w14:textId="77777777" w:rsidR="00024B3B" w:rsidRPr="000509B7" w:rsidRDefault="00024B3B" w:rsidP="0063212C">
            <w:pPr>
              <w:spacing w:before="60" w:after="60" w:line="240" w:lineRule="auto"/>
              <w:rPr>
                <w:rFonts w:asciiTheme="minorHAnsi" w:hAnsiTheme="minorHAnsi"/>
                <w:color w:val="000000" w:themeColor="text1"/>
              </w:rPr>
            </w:pPr>
            <w:r w:rsidRPr="00966EB9">
              <w:rPr>
                <w:rFonts w:asciiTheme="minorHAnsi" w:hAnsiTheme="minorHAnsi"/>
                <w:color w:val="000000" w:themeColor="text1"/>
              </w:rPr>
              <w:t>The economic benefit assessment undertaken as part of the Strategy’s development estimates the growth of the ACT’s GDP to</w:t>
            </w:r>
            <w:r w:rsidRPr="000509B7">
              <w:rPr>
                <w:rFonts w:asciiTheme="minorHAnsi" w:hAnsiTheme="minorHAnsi"/>
                <w:color w:val="000000" w:themeColor="text1"/>
              </w:rPr>
              <w:t xml:space="preserve"> be around $3.6 million per year through the creation of new jobs in the retail, hospitality and accommodation sectors.  </w:t>
            </w:r>
          </w:p>
        </w:tc>
      </w:tr>
      <w:tr w:rsidR="00580B7F" w:rsidRPr="00966EB9" w14:paraId="36EFBBF1" w14:textId="77777777" w:rsidTr="001945FF">
        <w:trPr>
          <w:jc w:val="center"/>
        </w:trPr>
        <w:tc>
          <w:tcPr>
            <w:tcW w:w="1518" w:type="dxa"/>
            <w:shd w:val="clear" w:color="auto" w:fill="92D050"/>
          </w:tcPr>
          <w:p w14:paraId="5CBD9877" w14:textId="691AF643" w:rsidR="00580B7F" w:rsidRPr="00966EB9" w:rsidRDefault="00580B7F" w:rsidP="0063212C">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Investment and Economic Growth</w:t>
            </w:r>
          </w:p>
        </w:tc>
        <w:tc>
          <w:tcPr>
            <w:tcW w:w="7498" w:type="dxa"/>
          </w:tcPr>
          <w:p w14:paraId="708EF23B" w14:textId="12EC9A31" w:rsidR="00580B7F" w:rsidRPr="000509B7" w:rsidRDefault="00580B7F" w:rsidP="00F772BB">
            <w:pPr>
              <w:spacing w:before="60" w:after="60" w:line="240" w:lineRule="auto"/>
              <w:rPr>
                <w:rFonts w:asciiTheme="minorHAnsi" w:hAnsiTheme="minorHAnsi"/>
                <w:color w:val="000000" w:themeColor="text1"/>
              </w:rPr>
            </w:pPr>
            <w:r w:rsidRPr="00966EB9">
              <w:rPr>
                <w:rFonts w:asciiTheme="minorHAnsi" w:hAnsiTheme="minorHAnsi"/>
                <w:color w:val="000000" w:themeColor="text1"/>
              </w:rPr>
              <w:t>The economic benefit assessment undertaken as part of the Strategy’s development estimates the cumulat</w:t>
            </w:r>
            <w:r w:rsidRPr="000509B7">
              <w:rPr>
                <w:rFonts w:asciiTheme="minorHAnsi" w:hAnsiTheme="minorHAnsi"/>
                <w:color w:val="000000" w:themeColor="text1"/>
              </w:rPr>
              <w:t>ive economic contribution of cycle tourism by 2030 (based on a conservative estimate of overall growth of only 1.1</w:t>
            </w:r>
            <w:r w:rsidR="00F772BB">
              <w:rPr>
                <w:rFonts w:asciiTheme="minorHAnsi" w:hAnsiTheme="minorHAnsi"/>
                <w:color w:val="000000" w:themeColor="text1"/>
              </w:rPr>
              <w:t xml:space="preserve"> per cent</w:t>
            </w:r>
            <w:r w:rsidR="00F772BB" w:rsidRPr="000509B7">
              <w:rPr>
                <w:rFonts w:asciiTheme="minorHAnsi" w:hAnsiTheme="minorHAnsi"/>
                <w:color w:val="000000" w:themeColor="text1"/>
              </w:rPr>
              <w:t xml:space="preserve"> </w:t>
            </w:r>
            <w:r w:rsidRPr="000509B7">
              <w:rPr>
                <w:rFonts w:asciiTheme="minorHAnsi" w:hAnsiTheme="minorHAnsi"/>
                <w:color w:val="000000" w:themeColor="text1"/>
              </w:rPr>
              <w:t>in visitation) is likely to exceed $400 million.</w:t>
            </w:r>
          </w:p>
        </w:tc>
      </w:tr>
    </w:tbl>
    <w:p w14:paraId="7903E53B" w14:textId="77777777" w:rsidR="00024B3B" w:rsidRPr="00966EB9" w:rsidRDefault="00024B3B" w:rsidP="0063212C">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Environmental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12"/>
        <w:gridCol w:w="7504"/>
      </w:tblGrid>
      <w:tr w:rsidR="009A03A0" w:rsidRPr="00966EB9" w14:paraId="04A23EF2" w14:textId="77777777" w:rsidTr="009A03A0">
        <w:trPr>
          <w:jc w:val="center"/>
        </w:trPr>
        <w:tc>
          <w:tcPr>
            <w:tcW w:w="1512" w:type="dxa"/>
            <w:shd w:val="clear" w:color="auto" w:fill="00B0F0"/>
          </w:tcPr>
          <w:p w14:paraId="257E03B1" w14:textId="77777777" w:rsidR="00024B3B" w:rsidRPr="000509B7" w:rsidRDefault="00024B3B" w:rsidP="0063212C">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Landscape changes</w:t>
            </w:r>
          </w:p>
        </w:tc>
        <w:tc>
          <w:tcPr>
            <w:tcW w:w="7504" w:type="dxa"/>
          </w:tcPr>
          <w:p w14:paraId="6E606F7F" w14:textId="77777777" w:rsidR="00024B3B" w:rsidRPr="000509B7" w:rsidRDefault="00024B3B" w:rsidP="0063212C">
            <w:pPr>
              <w:spacing w:before="60" w:after="60" w:line="240" w:lineRule="auto"/>
              <w:rPr>
                <w:rFonts w:asciiTheme="minorHAnsi" w:hAnsiTheme="minorHAnsi"/>
                <w:color w:val="000000" w:themeColor="text1"/>
              </w:rPr>
            </w:pPr>
            <w:r w:rsidRPr="000509B7">
              <w:rPr>
                <w:rFonts w:asciiTheme="minorHAnsi" w:hAnsiTheme="minorHAnsi"/>
                <w:color w:val="000000" w:themeColor="text1"/>
              </w:rPr>
              <w:t>The strategy recommends the development of new trails in urban and regional areas of the ACT which will be subject to guidelines for the sustainable design, construction and maintenance of trails.</w:t>
            </w:r>
          </w:p>
        </w:tc>
      </w:tr>
      <w:tr w:rsidR="0046471C" w:rsidRPr="00966EB9" w14:paraId="40744138" w14:textId="77777777" w:rsidTr="0046471C">
        <w:trPr>
          <w:jc w:val="center"/>
        </w:trPr>
        <w:tc>
          <w:tcPr>
            <w:tcW w:w="1512" w:type="dxa"/>
            <w:shd w:val="clear" w:color="auto" w:fill="92D050"/>
          </w:tcPr>
          <w:p w14:paraId="66F3B20F" w14:textId="4CCA85F8" w:rsidR="0046471C" w:rsidRPr="00966EB9" w:rsidRDefault="0046471C" w:rsidP="0063212C">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Environmental Quality</w:t>
            </w:r>
          </w:p>
        </w:tc>
        <w:tc>
          <w:tcPr>
            <w:tcW w:w="7504" w:type="dxa"/>
          </w:tcPr>
          <w:p w14:paraId="2E02E768" w14:textId="27A2F300" w:rsidR="0046471C" w:rsidRPr="000509B7" w:rsidRDefault="0046471C" w:rsidP="0063212C">
            <w:pPr>
              <w:spacing w:before="60" w:after="60" w:line="240" w:lineRule="auto"/>
              <w:rPr>
                <w:rFonts w:asciiTheme="minorHAnsi" w:hAnsiTheme="minorHAnsi"/>
                <w:color w:val="000000" w:themeColor="text1"/>
              </w:rPr>
            </w:pPr>
            <w:r w:rsidRPr="00966EB9">
              <w:rPr>
                <w:rFonts w:asciiTheme="minorHAnsi" w:hAnsiTheme="minorHAnsi"/>
                <w:color w:val="000000" w:themeColor="text1"/>
              </w:rPr>
              <w:t>The strategy encourages greater participation of local communities in commuter cycling leading</w:t>
            </w:r>
            <w:r w:rsidRPr="000509B7">
              <w:rPr>
                <w:rFonts w:asciiTheme="minorHAnsi" w:hAnsiTheme="minorHAnsi"/>
                <w:color w:val="000000" w:themeColor="text1"/>
              </w:rPr>
              <w:t xml:space="preserve"> to a reduction in noise and air pollution.</w:t>
            </w:r>
          </w:p>
        </w:tc>
      </w:tr>
    </w:tbl>
    <w:p w14:paraId="5F05E365" w14:textId="1B63F2C8" w:rsidR="000509B7" w:rsidRDefault="000509B7">
      <w:pPr>
        <w:spacing w:after="160" w:line="259" w:lineRule="auto"/>
        <w:rPr>
          <w:rFonts w:asciiTheme="minorHAnsi" w:hAnsiTheme="minorHAnsi"/>
          <w:b/>
          <w:bCs/>
          <w:color w:val="000000" w:themeColor="text1"/>
        </w:rPr>
      </w:pPr>
    </w:p>
    <w:sectPr w:rsidR="000509B7" w:rsidSect="00A80730">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6461B"/>
    <w:multiLevelType w:val="hybridMultilevel"/>
    <w:tmpl w:val="31DE6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7"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601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509B7"/>
    <w:rsid w:val="0006131B"/>
    <w:rsid w:val="00091628"/>
    <w:rsid w:val="000C2F9A"/>
    <w:rsid w:val="000C3FD2"/>
    <w:rsid w:val="000E6A5B"/>
    <w:rsid w:val="0012116E"/>
    <w:rsid w:val="001945FF"/>
    <w:rsid w:val="00282429"/>
    <w:rsid w:val="002B5F53"/>
    <w:rsid w:val="002C5063"/>
    <w:rsid w:val="002E146C"/>
    <w:rsid w:val="002F15D9"/>
    <w:rsid w:val="0038149F"/>
    <w:rsid w:val="00383CBB"/>
    <w:rsid w:val="0039154F"/>
    <w:rsid w:val="003D50B9"/>
    <w:rsid w:val="003E4F03"/>
    <w:rsid w:val="00425BD9"/>
    <w:rsid w:val="00426BD2"/>
    <w:rsid w:val="00433827"/>
    <w:rsid w:val="00446767"/>
    <w:rsid w:val="004557F1"/>
    <w:rsid w:val="00455889"/>
    <w:rsid w:val="0046471C"/>
    <w:rsid w:val="004D51BB"/>
    <w:rsid w:val="004E4513"/>
    <w:rsid w:val="004F72CA"/>
    <w:rsid w:val="005151F6"/>
    <w:rsid w:val="00534E14"/>
    <w:rsid w:val="0054331A"/>
    <w:rsid w:val="0055530B"/>
    <w:rsid w:val="005613E4"/>
    <w:rsid w:val="00575F46"/>
    <w:rsid w:val="00580319"/>
    <w:rsid w:val="00580B7F"/>
    <w:rsid w:val="00584E17"/>
    <w:rsid w:val="005B1E0D"/>
    <w:rsid w:val="005C4A84"/>
    <w:rsid w:val="005F446E"/>
    <w:rsid w:val="006033C5"/>
    <w:rsid w:val="0063051E"/>
    <w:rsid w:val="0063212C"/>
    <w:rsid w:val="0065455C"/>
    <w:rsid w:val="00654652"/>
    <w:rsid w:val="00663B63"/>
    <w:rsid w:val="006657D8"/>
    <w:rsid w:val="006B7146"/>
    <w:rsid w:val="007104EA"/>
    <w:rsid w:val="007400D4"/>
    <w:rsid w:val="0074403C"/>
    <w:rsid w:val="00764D79"/>
    <w:rsid w:val="007B44D5"/>
    <w:rsid w:val="007C07EE"/>
    <w:rsid w:val="007E0AD7"/>
    <w:rsid w:val="008232E2"/>
    <w:rsid w:val="00850B04"/>
    <w:rsid w:val="008A50E6"/>
    <w:rsid w:val="008B2545"/>
    <w:rsid w:val="008B3320"/>
    <w:rsid w:val="008B6CEE"/>
    <w:rsid w:val="008C071B"/>
    <w:rsid w:val="008C4BC9"/>
    <w:rsid w:val="008D2C42"/>
    <w:rsid w:val="009041C7"/>
    <w:rsid w:val="00913FA9"/>
    <w:rsid w:val="0095779D"/>
    <w:rsid w:val="00961470"/>
    <w:rsid w:val="00966EB9"/>
    <w:rsid w:val="009A03A0"/>
    <w:rsid w:val="009A2EF2"/>
    <w:rsid w:val="009B0DDD"/>
    <w:rsid w:val="009B1C1D"/>
    <w:rsid w:val="009B4E96"/>
    <w:rsid w:val="009C24CB"/>
    <w:rsid w:val="00A41FC1"/>
    <w:rsid w:val="00A65C62"/>
    <w:rsid w:val="00A71DF3"/>
    <w:rsid w:val="00A80730"/>
    <w:rsid w:val="00AC35A2"/>
    <w:rsid w:val="00B00DC1"/>
    <w:rsid w:val="00B41519"/>
    <w:rsid w:val="00B52E5E"/>
    <w:rsid w:val="00B727F6"/>
    <w:rsid w:val="00B75835"/>
    <w:rsid w:val="00B86D1B"/>
    <w:rsid w:val="00B9178A"/>
    <w:rsid w:val="00BB641E"/>
    <w:rsid w:val="00BC4A9E"/>
    <w:rsid w:val="00BF2A09"/>
    <w:rsid w:val="00C17089"/>
    <w:rsid w:val="00C2489F"/>
    <w:rsid w:val="00C271AE"/>
    <w:rsid w:val="00C53382"/>
    <w:rsid w:val="00C912AA"/>
    <w:rsid w:val="00CA2605"/>
    <w:rsid w:val="00CC41FF"/>
    <w:rsid w:val="00CD08E7"/>
    <w:rsid w:val="00CE50C8"/>
    <w:rsid w:val="00CF5FA5"/>
    <w:rsid w:val="00CF6227"/>
    <w:rsid w:val="00D02042"/>
    <w:rsid w:val="00D115C3"/>
    <w:rsid w:val="00D34FF1"/>
    <w:rsid w:val="00D677A2"/>
    <w:rsid w:val="00D848AA"/>
    <w:rsid w:val="00DB5B40"/>
    <w:rsid w:val="00DB7E9C"/>
    <w:rsid w:val="00E170A3"/>
    <w:rsid w:val="00E252F0"/>
    <w:rsid w:val="00EB2853"/>
    <w:rsid w:val="00EB64A6"/>
    <w:rsid w:val="00F32B7B"/>
    <w:rsid w:val="00F548F5"/>
    <w:rsid w:val="00F64C12"/>
    <w:rsid w:val="00F65981"/>
    <w:rsid w:val="00F772BB"/>
    <w:rsid w:val="00FA3109"/>
    <w:rsid w:val="00FB1845"/>
    <w:rsid w:val="00FE4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7166C-9572-4DB2-87B3-46C2F5F5B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C5ACE0-A342-4463-840A-264B68C9285F}">
  <ds:schemaRef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3D300AB-E953-4CB8-8D8C-AE30EEAE0E55}">
  <ds:schemaRefs>
    <ds:schemaRef ds:uri="http://schemas.microsoft.com/sharepoint/v3/contenttype/forms"/>
  </ds:schemaRefs>
</ds:datastoreItem>
</file>

<file path=customXml/itemProps4.xml><?xml version="1.0" encoding="utf-8"?>
<ds:datastoreItem xmlns:ds="http://schemas.openxmlformats.org/officeDocument/2006/customXml" ds:itemID="{10CC1A52-34B6-4AE0-B1F9-ED4D90D3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17-561 Triple Bottom Line Assessment</vt:lpstr>
    </vt:vector>
  </TitlesOfParts>
  <Company>ACT Government</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17-561 Triple Bottom Line Assessment</dc:title>
  <dc:subject/>
  <dc:creator>ACT Government</dc:creator>
  <cp:keywords/>
  <dc:description/>
  <cp:lastModifiedBy>Maniacherry, Ponnu</cp:lastModifiedBy>
  <cp:revision>61</cp:revision>
  <cp:lastPrinted>2018-05-29T07:24:00Z</cp:lastPrinted>
  <dcterms:created xsi:type="dcterms:W3CDTF">2018-05-14T23:19:00Z</dcterms:created>
  <dcterms:modified xsi:type="dcterms:W3CDTF">2018-07-11T03:06:00Z</dcterms:modified>
</cp:coreProperties>
</file>