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97" w:rsidRPr="00040AA2" w:rsidRDefault="00573097" w:rsidP="00573097">
      <w:pPr>
        <w:spacing w:after="160" w:line="259" w:lineRule="auto"/>
        <w:rPr>
          <w:rFonts w:ascii="Calibri" w:hAnsi="Calibri"/>
          <w:b/>
          <w:bCs/>
          <w:color w:val="000000"/>
          <w:sz w:val="20"/>
          <w:szCs w:val="20"/>
        </w:rPr>
      </w:pPr>
      <w:bookmarkStart w:id="0" w:name="_GoBack"/>
      <w:r w:rsidRPr="00040AA2">
        <w:rPr>
          <w:rFonts w:ascii="Calibri" w:hAnsi="Calibri"/>
          <w:b/>
          <w:bCs/>
          <w:color w:val="000000"/>
          <w:sz w:val="20"/>
          <w:szCs w:val="20"/>
        </w:rPr>
        <w:t>18-373 - Establishment of the Government position to the Legislative and Governance Forum on Gene technology on reviews of the Gene Technology Regulations and the review of the Gene Technology Scheme.</w:t>
      </w:r>
    </w:p>
    <w:bookmarkEnd w:id="0"/>
    <w:p w:rsidR="00573097" w:rsidRPr="00040AA2" w:rsidRDefault="00573097" w:rsidP="00573097">
      <w:pPr>
        <w:spacing w:after="120"/>
        <w:rPr>
          <w:rFonts w:ascii="Calibri" w:hAnsi="Calibri"/>
          <w:i/>
          <w:color w:val="000000"/>
          <w:sz w:val="20"/>
          <w:szCs w:val="20"/>
        </w:rPr>
      </w:pPr>
      <w:r w:rsidRPr="00040AA2">
        <w:rPr>
          <w:rFonts w:ascii="Calibri" w:hAnsi="Calibri"/>
          <w:i/>
          <w:color w:val="000000"/>
          <w:sz w:val="20"/>
          <w:szCs w:val="20"/>
        </w:rPr>
        <w:t xml:space="preserve">Key to impacts: Red – negative, </w:t>
      </w:r>
      <w:proofErr w:type="gramStart"/>
      <w:r w:rsidRPr="00040AA2">
        <w:rPr>
          <w:rFonts w:ascii="Calibri" w:hAnsi="Calibri"/>
          <w:i/>
          <w:color w:val="000000"/>
          <w:sz w:val="20"/>
          <w:szCs w:val="20"/>
        </w:rPr>
        <w:t>Blue</w:t>
      </w:r>
      <w:proofErr w:type="gramEnd"/>
      <w:r w:rsidRPr="00040AA2">
        <w:rPr>
          <w:rFonts w:ascii="Calibri" w:hAnsi="Calibri"/>
          <w:i/>
          <w:color w:val="000000"/>
          <w:sz w:val="20"/>
          <w:szCs w:val="20"/>
        </w:rPr>
        <w:t xml:space="preserve"> - neutral and Green - Positive.</w:t>
      </w:r>
    </w:p>
    <w:p w:rsidR="00573097" w:rsidRPr="00040AA2" w:rsidRDefault="00573097" w:rsidP="00573097">
      <w:pPr>
        <w:spacing w:after="0"/>
        <w:jc w:val="both"/>
        <w:rPr>
          <w:rFonts w:ascii="Calibri" w:hAnsi="Calibri"/>
          <w:b/>
          <w:bCs/>
          <w:color w:val="000000"/>
          <w:sz w:val="20"/>
          <w:szCs w:val="20"/>
        </w:rPr>
      </w:pPr>
      <w:r w:rsidRPr="00040AA2">
        <w:rPr>
          <w:rFonts w:ascii="Calibri" w:hAnsi="Calibri"/>
          <w:b/>
          <w:bCs/>
          <w:color w:val="000000"/>
          <w:sz w:val="20"/>
          <w:szCs w:val="2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0"/>
        <w:gridCol w:w="7516"/>
      </w:tblGrid>
      <w:tr w:rsidR="00573097" w:rsidRPr="00040AA2" w:rsidTr="00944488">
        <w:trPr>
          <w:jc w:val="center"/>
        </w:trPr>
        <w:tc>
          <w:tcPr>
            <w:tcW w:w="1526" w:type="dxa"/>
            <w:shd w:val="clear" w:color="auto" w:fill="92D050"/>
          </w:tcPr>
          <w:p w:rsidR="00573097" w:rsidRPr="00040AA2" w:rsidRDefault="00573097" w:rsidP="00944488">
            <w:pPr>
              <w:rPr>
                <w:rFonts w:ascii="Calibri" w:hAnsi="Calibri"/>
                <w:color w:val="000000"/>
                <w:sz w:val="20"/>
                <w:szCs w:val="20"/>
              </w:rPr>
            </w:pPr>
            <w:r w:rsidRPr="00040AA2">
              <w:rPr>
                <w:rFonts w:ascii="Calibri" w:hAnsi="Calibri"/>
                <w:b/>
                <w:bCs/>
                <w:color w:val="000000"/>
                <w:sz w:val="20"/>
                <w:szCs w:val="20"/>
              </w:rPr>
              <w:t>Justice and rights</w:t>
            </w:r>
          </w:p>
        </w:tc>
        <w:tc>
          <w:tcPr>
            <w:tcW w:w="7716" w:type="dxa"/>
            <w:shd w:val="clear" w:color="auto" w:fill="auto"/>
          </w:tcPr>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Technical Review will result in changes to Commonwealth legislation. It is possible that legislation changes will also result from the Scheme Review.</w:t>
            </w:r>
          </w:p>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It will be necessary to amend relevant ACT legislation so that it continues to mirror Commonwealth legislation and maintain consistency across jurisdictions for gene technology regulation.</w:t>
            </w:r>
          </w:p>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Regulation changes are intended to increase the clarity of the law in line with modern scientific practices.</w:t>
            </w:r>
          </w:p>
        </w:tc>
      </w:tr>
    </w:tbl>
    <w:p w:rsidR="00573097" w:rsidRPr="00040AA2" w:rsidRDefault="00573097" w:rsidP="00573097">
      <w:pPr>
        <w:spacing w:before="120" w:after="0"/>
        <w:jc w:val="both"/>
        <w:rPr>
          <w:rFonts w:ascii="Calibri" w:hAnsi="Calibri"/>
          <w:b/>
          <w:bCs/>
          <w:color w:val="000000"/>
          <w:sz w:val="20"/>
          <w:szCs w:val="20"/>
        </w:rPr>
      </w:pPr>
      <w:r w:rsidRPr="00040AA2">
        <w:rPr>
          <w:rFonts w:ascii="Calibri" w:hAnsi="Calibri"/>
          <w:b/>
          <w:bCs/>
          <w:color w:val="000000"/>
          <w:sz w:val="20"/>
          <w:szCs w:val="2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6"/>
        <w:gridCol w:w="7500"/>
      </w:tblGrid>
      <w:tr w:rsidR="00573097" w:rsidRPr="00040AA2" w:rsidTr="00944488">
        <w:trPr>
          <w:jc w:val="center"/>
        </w:trPr>
        <w:tc>
          <w:tcPr>
            <w:tcW w:w="1526" w:type="dxa"/>
            <w:shd w:val="clear" w:color="auto" w:fill="0070C0"/>
          </w:tcPr>
          <w:p w:rsidR="00573097" w:rsidRPr="00040AA2" w:rsidRDefault="00573097" w:rsidP="00944488">
            <w:pPr>
              <w:rPr>
                <w:rFonts w:ascii="Calibri" w:hAnsi="Calibri"/>
                <w:color w:val="000000"/>
                <w:sz w:val="20"/>
                <w:szCs w:val="20"/>
              </w:rPr>
            </w:pPr>
            <w:r w:rsidRPr="00040AA2">
              <w:rPr>
                <w:rFonts w:ascii="Calibri" w:hAnsi="Calibri"/>
                <w:b/>
                <w:bCs/>
                <w:color w:val="000000"/>
                <w:sz w:val="20"/>
                <w:szCs w:val="20"/>
              </w:rPr>
              <w:t>ACT Government Budget</w:t>
            </w:r>
          </w:p>
        </w:tc>
        <w:tc>
          <w:tcPr>
            <w:tcW w:w="7716" w:type="dxa"/>
            <w:shd w:val="clear" w:color="auto" w:fill="auto"/>
          </w:tcPr>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Nil direct short term impacts, however acceptance of the recommendations arising from the Scheme Review may later result in updated funding arrangements for the Scheme, and additional funding for the activities in the resulting work-plan.</w:t>
            </w:r>
          </w:p>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It is anticipated that any request for funding or cost-sharing from the Commonwealth will be calculated using pre-determined formulas from the Australian Health Ministers’ Advisory Council, and may not require individual business cases.</w:t>
            </w:r>
          </w:p>
        </w:tc>
      </w:tr>
      <w:tr w:rsidR="00573097" w:rsidRPr="00040AA2" w:rsidTr="00944488">
        <w:trPr>
          <w:jc w:val="center"/>
        </w:trPr>
        <w:tc>
          <w:tcPr>
            <w:tcW w:w="1526" w:type="dxa"/>
            <w:shd w:val="clear" w:color="auto" w:fill="92D050"/>
          </w:tcPr>
          <w:p w:rsidR="00573097" w:rsidRPr="00040AA2" w:rsidRDefault="00573097" w:rsidP="00944488">
            <w:pPr>
              <w:rPr>
                <w:rFonts w:ascii="Calibri" w:hAnsi="Calibri"/>
                <w:b/>
                <w:bCs/>
                <w:color w:val="000000"/>
                <w:sz w:val="20"/>
                <w:szCs w:val="20"/>
              </w:rPr>
            </w:pPr>
            <w:r w:rsidRPr="00040AA2">
              <w:rPr>
                <w:rFonts w:ascii="Calibri" w:hAnsi="Calibri"/>
                <w:b/>
                <w:bCs/>
                <w:color w:val="000000"/>
                <w:sz w:val="20"/>
                <w:szCs w:val="20"/>
              </w:rPr>
              <w:t>Productivity</w:t>
            </w:r>
          </w:p>
        </w:tc>
        <w:tc>
          <w:tcPr>
            <w:tcW w:w="7716" w:type="dxa"/>
            <w:shd w:val="clear" w:color="auto" w:fill="auto"/>
          </w:tcPr>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Clarifying legislation around Gene Technology activities and reducing regulatory burden is intended to reduce the stifling of innovation within our research institutions and businesses to develop better products through gene technology.</w:t>
            </w:r>
          </w:p>
        </w:tc>
      </w:tr>
      <w:tr w:rsidR="00573097" w:rsidRPr="00040AA2" w:rsidTr="00944488">
        <w:trPr>
          <w:jc w:val="center"/>
        </w:trPr>
        <w:tc>
          <w:tcPr>
            <w:tcW w:w="1526" w:type="dxa"/>
            <w:shd w:val="clear" w:color="auto" w:fill="92D050"/>
          </w:tcPr>
          <w:p w:rsidR="00573097" w:rsidRPr="00040AA2" w:rsidRDefault="00573097" w:rsidP="00944488">
            <w:pPr>
              <w:rPr>
                <w:rFonts w:ascii="Calibri" w:hAnsi="Calibri"/>
                <w:b/>
                <w:bCs/>
                <w:color w:val="000000"/>
                <w:sz w:val="20"/>
                <w:szCs w:val="20"/>
              </w:rPr>
            </w:pPr>
            <w:r w:rsidRPr="00040AA2">
              <w:rPr>
                <w:rFonts w:ascii="Calibri" w:hAnsi="Calibri"/>
                <w:b/>
                <w:bCs/>
                <w:color w:val="000000"/>
                <w:sz w:val="20"/>
                <w:szCs w:val="20"/>
              </w:rPr>
              <w:t>Investment</w:t>
            </w:r>
          </w:p>
        </w:tc>
        <w:tc>
          <w:tcPr>
            <w:tcW w:w="7716" w:type="dxa"/>
            <w:shd w:val="clear" w:color="auto" w:fill="auto"/>
          </w:tcPr>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Reducing regulatory burden is intended to reduce the stifling of innovation within our research institutions and businesses and allow them to develop better products through gene technology.</w:t>
            </w:r>
          </w:p>
        </w:tc>
      </w:tr>
    </w:tbl>
    <w:p w:rsidR="00573097" w:rsidRPr="00040AA2" w:rsidRDefault="00573097" w:rsidP="00573097">
      <w:pPr>
        <w:spacing w:before="120" w:after="0"/>
        <w:jc w:val="both"/>
        <w:rPr>
          <w:rFonts w:ascii="Calibri" w:hAnsi="Calibri"/>
          <w:b/>
          <w:bCs/>
          <w:color w:val="000000"/>
          <w:sz w:val="20"/>
          <w:szCs w:val="20"/>
        </w:rPr>
      </w:pPr>
      <w:r w:rsidRPr="00040AA2">
        <w:rPr>
          <w:rFonts w:ascii="Calibri" w:hAnsi="Calibri"/>
          <w:b/>
          <w:bCs/>
          <w:color w:val="000000"/>
          <w:sz w:val="20"/>
          <w:szCs w:val="20"/>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5"/>
        <w:gridCol w:w="7531"/>
      </w:tblGrid>
      <w:tr w:rsidR="00573097" w:rsidRPr="00040AA2" w:rsidTr="00944488">
        <w:trPr>
          <w:jc w:val="center"/>
        </w:trPr>
        <w:tc>
          <w:tcPr>
            <w:tcW w:w="1526" w:type="dxa"/>
            <w:shd w:val="clear" w:color="auto" w:fill="0070C0"/>
          </w:tcPr>
          <w:p w:rsidR="00573097" w:rsidRPr="00040AA2" w:rsidRDefault="00573097" w:rsidP="00944488">
            <w:pPr>
              <w:jc w:val="both"/>
              <w:rPr>
                <w:rFonts w:ascii="Calibri" w:hAnsi="Calibri"/>
                <w:color w:val="000000"/>
                <w:sz w:val="20"/>
                <w:szCs w:val="20"/>
              </w:rPr>
            </w:pPr>
          </w:p>
        </w:tc>
        <w:tc>
          <w:tcPr>
            <w:tcW w:w="7716" w:type="dxa"/>
          </w:tcPr>
          <w:p w:rsidR="00573097" w:rsidRPr="00040AA2" w:rsidRDefault="0057309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goal of Scheme Review is to ensure the Scheme continues to meet the legislated objectives of ensuring public and environmental safety through identifying and managing risks associated with gene technology and genetically modified organisms.</w:t>
            </w:r>
          </w:p>
        </w:tc>
      </w:tr>
    </w:tbl>
    <w:p w:rsidR="00EF244B" w:rsidRDefault="00EF244B"/>
    <w:sectPr w:rsidR="00EF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4FF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AC"/>
    <w:rsid w:val="00573097"/>
    <w:rsid w:val="008C4CAC"/>
    <w:rsid w:val="00DD1014"/>
    <w:rsid w:val="00EF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E1F84-7DD5-41B9-8463-62F3981F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097"/>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5D925-752F-49B5-872B-178A050D467E}">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CF2534C-2C5E-4073-A5EB-118F5FFAD698}">
  <ds:schemaRefs>
    <ds:schemaRef ds:uri="http://schemas.microsoft.com/sharepoint/v3/contenttype/forms"/>
  </ds:schemaRefs>
</ds:datastoreItem>
</file>

<file path=customXml/itemProps3.xml><?xml version="1.0" encoding="utf-8"?>
<ds:datastoreItem xmlns:ds="http://schemas.openxmlformats.org/officeDocument/2006/customXml" ds:itemID="{2706962E-8D85-4C60-9E94-9EBA2D0DA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18-373 - Establishment of the Government position to the Legislative and Governance Forum on Gene technology on reviews of the Gene Technology Regulations and the review of the Gene Technology Scheme.</dc:title>
  <dc:subject>18-373 - Establishment of the Government position to the Legislative and Governance Forum on Gene technology on reviews of the Gene Technology Regulations and the review of the Gene Technology Scheme.</dc:subject>
  <dc:creator>ACT Government</dc:creator>
  <cp:keywords/>
  <dc:description/>
  <cp:lastModifiedBy>Maniacherry, Ponnu</cp:lastModifiedBy>
  <cp:revision>3</cp:revision>
  <dcterms:created xsi:type="dcterms:W3CDTF">2018-09-24T04:34:00Z</dcterms:created>
  <dcterms:modified xsi:type="dcterms:W3CDTF">2018-09-28T01:38:00Z</dcterms:modified>
</cp:coreProperties>
</file>