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66C" w:rsidRPr="008A05CF" w:rsidRDefault="0085366C" w:rsidP="0085366C">
      <w:pPr>
        <w:spacing w:after="120"/>
        <w:rPr>
          <w:rFonts w:ascii="Calibri" w:hAnsi="Calibri"/>
          <w:b/>
          <w:bCs/>
          <w:color w:val="000000"/>
        </w:rPr>
      </w:pPr>
      <w:r w:rsidRPr="008A05CF">
        <w:rPr>
          <w:rFonts w:ascii="Calibri" w:hAnsi="Calibri"/>
          <w:b/>
          <w:bCs/>
          <w:color w:val="000000"/>
        </w:rPr>
        <w:t>18/443:  Government Response to the Molonglo Valley Strategic Assessment Audit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85366C" w:rsidRPr="00C82609" w:rsidTr="005442CD">
        <w:trPr>
          <w:jc w:val="center"/>
        </w:trPr>
        <w:tc>
          <w:tcPr>
            <w:tcW w:w="9105" w:type="dxa"/>
          </w:tcPr>
          <w:p w:rsidR="0085366C" w:rsidRPr="008A05CF" w:rsidRDefault="0085366C" w:rsidP="005442CD">
            <w:pPr>
              <w:spacing w:after="0"/>
              <w:jc w:val="both"/>
              <w:rPr>
                <w:rFonts w:ascii="Calibri" w:hAnsi="Calibri"/>
                <w:b/>
                <w:bCs/>
                <w:color w:val="000000"/>
              </w:rPr>
            </w:pPr>
            <w:r w:rsidRPr="008A05CF">
              <w:rPr>
                <w:rFonts w:ascii="Calibri" w:hAnsi="Calibri"/>
                <w:b/>
                <w:bCs/>
                <w:color w:val="000000"/>
              </w:rPr>
              <w:t>Summary of Impacts</w:t>
            </w:r>
          </w:p>
        </w:tc>
      </w:tr>
      <w:tr w:rsidR="0085366C" w:rsidRPr="00C82609" w:rsidTr="005442CD">
        <w:trPr>
          <w:jc w:val="center"/>
        </w:trPr>
        <w:tc>
          <w:tcPr>
            <w:tcW w:w="9105" w:type="dxa"/>
          </w:tcPr>
          <w:p w:rsidR="0085366C" w:rsidRPr="00C82609" w:rsidRDefault="0085366C" w:rsidP="005442CD">
            <w:pPr>
              <w:numPr>
                <w:ilvl w:val="0"/>
                <w:numId w:val="1"/>
              </w:numPr>
              <w:spacing w:before="120" w:after="0" w:line="240" w:lineRule="auto"/>
              <w:ind w:left="360"/>
              <w:rPr>
                <w:rFonts w:ascii="Calibri" w:hAnsi="Calibri" w:cs="Calibri"/>
                <w:color w:val="000000"/>
              </w:rPr>
            </w:pPr>
            <w:r w:rsidRPr="00C82609">
              <w:rPr>
                <w:rFonts w:ascii="Calibri" w:hAnsi="Calibri" w:cs="Calibri"/>
                <w:color w:val="000000"/>
              </w:rPr>
              <w:t xml:space="preserve">The proposal provides a Government Response to the findings of the Independent Audit of the Molonglo Valley Strategic Assessment, undertaken by the Commissioner for Sustainability and the Environment in accordance with the </w:t>
            </w:r>
            <w:r w:rsidRPr="00C82609">
              <w:rPr>
                <w:rFonts w:ascii="Calibri" w:hAnsi="Calibri" w:cs="Calibri"/>
                <w:i/>
                <w:color w:val="000000"/>
              </w:rPr>
              <w:t>Commissioner for Sustainability and the Environment Act 1993</w:t>
            </w:r>
            <w:r w:rsidRPr="00C82609">
              <w:rPr>
                <w:rFonts w:ascii="Calibri" w:hAnsi="Calibri" w:cs="Calibri"/>
                <w:color w:val="000000"/>
              </w:rPr>
              <w:t xml:space="preserve">. </w:t>
            </w:r>
          </w:p>
          <w:p w:rsidR="0085366C" w:rsidRPr="00C82609" w:rsidRDefault="0085366C" w:rsidP="005442CD">
            <w:pPr>
              <w:numPr>
                <w:ilvl w:val="0"/>
                <w:numId w:val="1"/>
              </w:numPr>
              <w:spacing w:before="120" w:after="0" w:line="240" w:lineRule="auto"/>
              <w:ind w:left="360"/>
              <w:rPr>
                <w:rFonts w:ascii="Calibri" w:hAnsi="Calibri"/>
                <w:color w:val="000000"/>
              </w:rPr>
            </w:pPr>
            <w:r w:rsidRPr="00C82609">
              <w:rPr>
                <w:rFonts w:ascii="Calibri" w:hAnsi="Calibri"/>
                <w:color w:val="000000"/>
              </w:rPr>
              <w:t xml:space="preserve">The Government Response will result in positive social, economic and environmental outcomes as it will ensure commitments under the strategic assessment are being met. </w:t>
            </w:r>
          </w:p>
          <w:p w:rsidR="0085366C" w:rsidRPr="00C82609" w:rsidRDefault="0085366C" w:rsidP="005442CD">
            <w:pPr>
              <w:numPr>
                <w:ilvl w:val="0"/>
                <w:numId w:val="1"/>
              </w:numPr>
              <w:spacing w:before="120" w:after="0" w:line="240" w:lineRule="auto"/>
              <w:ind w:left="360"/>
              <w:rPr>
                <w:rFonts w:ascii="Calibri" w:hAnsi="Calibri"/>
                <w:color w:val="000000"/>
              </w:rPr>
            </w:pPr>
            <w:r w:rsidRPr="00C82609">
              <w:rPr>
                <w:rFonts w:ascii="Calibri" w:hAnsi="Calibri"/>
                <w:color w:val="000000"/>
              </w:rPr>
              <w:t xml:space="preserve">There are no known implementation risks associated with the government response. </w:t>
            </w:r>
          </w:p>
        </w:tc>
      </w:tr>
    </w:tbl>
    <w:p w:rsidR="0085366C" w:rsidRPr="008A05CF" w:rsidRDefault="0085366C" w:rsidP="0085366C">
      <w:pPr>
        <w:spacing w:after="0"/>
        <w:rPr>
          <w:rFonts w:ascii="Calibri" w:hAnsi="Calibri"/>
          <w:i/>
          <w:color w:val="000000"/>
        </w:rPr>
      </w:pPr>
      <w:r w:rsidRPr="00C82609">
        <w:rPr>
          <w:rFonts w:ascii="Calibri" w:hAnsi="Calibri"/>
          <w:i/>
          <w:color w:val="000000"/>
        </w:rPr>
        <w:t xml:space="preserve">Key to impacts: Red – negative, </w:t>
      </w:r>
      <w:proofErr w:type="gramStart"/>
      <w:r w:rsidRPr="00C82609">
        <w:rPr>
          <w:rFonts w:ascii="Calibri" w:hAnsi="Calibri"/>
          <w:i/>
          <w:color w:val="000000"/>
        </w:rPr>
        <w:t>Blue</w:t>
      </w:r>
      <w:proofErr w:type="gramEnd"/>
      <w:r w:rsidRPr="00C82609">
        <w:rPr>
          <w:rFonts w:ascii="Calibri" w:hAnsi="Calibri"/>
          <w:i/>
          <w:color w:val="000000"/>
        </w:rPr>
        <w:t xml:space="preserve"> - neutral and Green - </w:t>
      </w:r>
      <w:r w:rsidRPr="008A05CF">
        <w:rPr>
          <w:rFonts w:ascii="Calibri" w:hAnsi="Calibri"/>
          <w:i/>
          <w:color w:val="000000"/>
        </w:rPr>
        <w:t>positive.</w:t>
      </w:r>
    </w:p>
    <w:p w:rsidR="0085366C" w:rsidRPr="00C82609" w:rsidRDefault="0085366C" w:rsidP="0085366C">
      <w:pPr>
        <w:spacing w:before="120" w:after="0"/>
        <w:jc w:val="both"/>
        <w:rPr>
          <w:rFonts w:ascii="Calibri" w:hAnsi="Calibri"/>
          <w:b/>
          <w:bCs/>
          <w:color w:val="000000"/>
        </w:rPr>
      </w:pPr>
      <w:r w:rsidRPr="00C82609">
        <w:rPr>
          <w:rFonts w:ascii="Calibri" w:hAnsi="Calibri"/>
          <w:b/>
          <w:bCs/>
          <w:color w:val="000000"/>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9"/>
        <w:gridCol w:w="7497"/>
      </w:tblGrid>
      <w:tr w:rsidR="0085366C" w:rsidRPr="00C82609" w:rsidTr="005442CD">
        <w:trPr>
          <w:jc w:val="center"/>
        </w:trPr>
        <w:tc>
          <w:tcPr>
            <w:tcW w:w="1526" w:type="dxa"/>
            <w:shd w:val="clear" w:color="auto" w:fill="00B0F0"/>
          </w:tcPr>
          <w:p w:rsidR="0085366C" w:rsidRPr="00C82609" w:rsidRDefault="0085366C" w:rsidP="005442CD">
            <w:pPr>
              <w:spacing w:after="0"/>
              <w:rPr>
                <w:rFonts w:ascii="Calibri" w:hAnsi="Calibri" w:cs="Calibri"/>
                <w:b/>
                <w:color w:val="000000"/>
              </w:rPr>
            </w:pPr>
            <w:r w:rsidRPr="00C82609">
              <w:rPr>
                <w:rFonts w:ascii="Calibri" w:hAnsi="Calibri" w:cs="Calibri"/>
                <w:b/>
                <w:color w:val="000000"/>
                <w:lang w:val="en-NZ"/>
              </w:rPr>
              <w:t xml:space="preserve">Access to social networks &amp; community activities </w:t>
            </w:r>
          </w:p>
        </w:tc>
        <w:tc>
          <w:tcPr>
            <w:tcW w:w="7716" w:type="dxa"/>
          </w:tcPr>
          <w:p w:rsidR="0085366C" w:rsidRPr="004A6D82" w:rsidRDefault="0085366C" w:rsidP="005442CD">
            <w:pPr>
              <w:numPr>
                <w:ilvl w:val="0"/>
                <w:numId w:val="1"/>
              </w:numPr>
              <w:spacing w:after="40" w:line="240" w:lineRule="auto"/>
              <w:ind w:left="360"/>
              <w:rPr>
                <w:rFonts w:ascii="Calibri" w:hAnsi="Calibri"/>
              </w:rPr>
            </w:pPr>
            <w:r w:rsidRPr="004A6D82">
              <w:rPr>
                <w:rFonts w:ascii="Calibri" w:hAnsi="Calibri"/>
              </w:rPr>
              <w:t>The proposed Government Response to the audit does not have any implications for access to social networks and community activities.</w:t>
            </w:r>
          </w:p>
        </w:tc>
      </w:tr>
      <w:tr w:rsidR="0085366C" w:rsidRPr="00C82609" w:rsidTr="005442CD">
        <w:trPr>
          <w:jc w:val="center"/>
        </w:trPr>
        <w:tc>
          <w:tcPr>
            <w:tcW w:w="1526" w:type="dxa"/>
            <w:shd w:val="clear" w:color="auto" w:fill="00B0F0"/>
          </w:tcPr>
          <w:p w:rsidR="0085366C" w:rsidRPr="00C82609" w:rsidRDefault="0085366C" w:rsidP="005442CD">
            <w:pPr>
              <w:spacing w:after="0"/>
              <w:jc w:val="both"/>
              <w:rPr>
                <w:rFonts w:ascii="Calibri" w:hAnsi="Calibri"/>
                <w:color w:val="000000"/>
              </w:rPr>
            </w:pPr>
            <w:r w:rsidRPr="00C82609">
              <w:rPr>
                <w:rFonts w:ascii="Calibri" w:hAnsi="Calibri"/>
                <w:b/>
                <w:bCs/>
                <w:color w:val="000000"/>
              </w:rPr>
              <w:t>Human rights</w:t>
            </w:r>
          </w:p>
        </w:tc>
        <w:tc>
          <w:tcPr>
            <w:tcW w:w="7716" w:type="dxa"/>
          </w:tcPr>
          <w:p w:rsidR="0085366C" w:rsidRPr="004A6D82" w:rsidRDefault="0085366C" w:rsidP="005442CD">
            <w:pPr>
              <w:numPr>
                <w:ilvl w:val="0"/>
                <w:numId w:val="1"/>
              </w:numPr>
              <w:spacing w:after="40" w:line="240" w:lineRule="auto"/>
              <w:ind w:left="360"/>
              <w:rPr>
                <w:rFonts w:ascii="Calibri" w:hAnsi="Calibri"/>
              </w:rPr>
            </w:pPr>
            <w:r w:rsidRPr="004A6D82">
              <w:rPr>
                <w:rFonts w:ascii="Calibri" w:hAnsi="Calibri"/>
              </w:rPr>
              <w:t xml:space="preserve">The proposed Government Response to the audit does not recommend any additional activities that would impact human rights. </w:t>
            </w:r>
          </w:p>
        </w:tc>
      </w:tr>
      <w:tr w:rsidR="0085366C" w:rsidRPr="00C82609" w:rsidTr="005442CD">
        <w:trPr>
          <w:jc w:val="center"/>
        </w:trPr>
        <w:tc>
          <w:tcPr>
            <w:tcW w:w="1526" w:type="dxa"/>
            <w:shd w:val="clear" w:color="auto" w:fill="00B0F0"/>
          </w:tcPr>
          <w:p w:rsidR="0085366C" w:rsidRPr="00C82609" w:rsidRDefault="0085366C" w:rsidP="005442CD">
            <w:pPr>
              <w:spacing w:after="0"/>
              <w:jc w:val="both"/>
              <w:rPr>
                <w:rFonts w:ascii="Calibri" w:hAnsi="Calibri"/>
                <w:color w:val="000000"/>
              </w:rPr>
            </w:pPr>
            <w:r w:rsidRPr="00C82609">
              <w:rPr>
                <w:rFonts w:ascii="Calibri" w:hAnsi="Calibri"/>
                <w:b/>
                <w:bCs/>
                <w:color w:val="000000"/>
              </w:rPr>
              <w:t>Indigenous and Multicultural</w:t>
            </w:r>
          </w:p>
        </w:tc>
        <w:tc>
          <w:tcPr>
            <w:tcW w:w="7716" w:type="dxa"/>
          </w:tcPr>
          <w:p w:rsidR="0085366C" w:rsidRPr="004A6D82" w:rsidRDefault="0085366C" w:rsidP="005442CD">
            <w:pPr>
              <w:numPr>
                <w:ilvl w:val="0"/>
                <w:numId w:val="1"/>
              </w:numPr>
              <w:spacing w:after="40" w:line="240" w:lineRule="auto"/>
              <w:ind w:left="360"/>
              <w:rPr>
                <w:rFonts w:ascii="Calibri" w:hAnsi="Calibri"/>
              </w:rPr>
            </w:pPr>
            <w:r w:rsidRPr="004A6D82">
              <w:rPr>
                <w:rFonts w:ascii="Calibri" w:hAnsi="Calibri"/>
              </w:rPr>
              <w:t>The Molonglo Valley strategic assessment relates to national protected matters. Indigenous policy matters were not considered in the audit as there were no national indigenous heritage matters in the Molonglo Valley strategic assessment area. The audit recommended Indigenous land management practices be incorporated into the strategic assessment implementation and the Government has agreed to this recommendation.</w:t>
            </w:r>
          </w:p>
        </w:tc>
      </w:tr>
    </w:tbl>
    <w:p w:rsidR="0085366C" w:rsidRPr="00C82609" w:rsidRDefault="0085366C" w:rsidP="0085366C">
      <w:pPr>
        <w:spacing w:before="120" w:after="0"/>
        <w:jc w:val="both"/>
        <w:rPr>
          <w:rFonts w:ascii="Calibri" w:hAnsi="Calibri"/>
          <w:b/>
          <w:bCs/>
          <w:color w:val="000000"/>
        </w:rPr>
      </w:pPr>
      <w:r w:rsidRPr="00C82609">
        <w:rPr>
          <w:rFonts w:ascii="Calibri" w:hAnsi="Calibri"/>
          <w:b/>
          <w:bCs/>
          <w:color w:val="000000"/>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8"/>
        <w:gridCol w:w="7498"/>
      </w:tblGrid>
      <w:tr w:rsidR="0085366C" w:rsidRPr="00C82609" w:rsidTr="005442CD">
        <w:trPr>
          <w:jc w:val="center"/>
        </w:trPr>
        <w:tc>
          <w:tcPr>
            <w:tcW w:w="1526" w:type="dxa"/>
            <w:shd w:val="clear" w:color="auto" w:fill="00B0F0"/>
          </w:tcPr>
          <w:p w:rsidR="0085366C" w:rsidRPr="00C82609" w:rsidRDefault="0085366C" w:rsidP="005442CD">
            <w:pPr>
              <w:spacing w:after="0"/>
              <w:jc w:val="both"/>
              <w:rPr>
                <w:rFonts w:ascii="Calibri" w:hAnsi="Calibri"/>
                <w:color w:val="000000"/>
              </w:rPr>
            </w:pPr>
            <w:r w:rsidRPr="00C82609">
              <w:rPr>
                <w:rFonts w:ascii="Calibri" w:hAnsi="Calibri"/>
                <w:b/>
                <w:bCs/>
                <w:color w:val="000000"/>
              </w:rPr>
              <w:t>ACT Government Budget</w:t>
            </w:r>
          </w:p>
        </w:tc>
        <w:tc>
          <w:tcPr>
            <w:tcW w:w="7716" w:type="dxa"/>
          </w:tcPr>
          <w:p w:rsidR="0085366C" w:rsidRPr="004A6D82" w:rsidRDefault="0085366C" w:rsidP="005442CD">
            <w:pPr>
              <w:numPr>
                <w:ilvl w:val="0"/>
                <w:numId w:val="1"/>
              </w:numPr>
              <w:spacing w:after="40" w:line="240" w:lineRule="auto"/>
              <w:ind w:left="360"/>
              <w:rPr>
                <w:rFonts w:ascii="Calibri" w:hAnsi="Calibri"/>
              </w:rPr>
            </w:pPr>
            <w:r w:rsidRPr="004A6D82">
              <w:rPr>
                <w:rFonts w:ascii="Calibri" w:hAnsi="Calibri"/>
              </w:rPr>
              <w:t xml:space="preserve">There are no financial implications associated with the government providing a response to the audit. The financial implications of delivering strategic assessment commitments are considered separately through the budget process. </w:t>
            </w:r>
          </w:p>
        </w:tc>
      </w:tr>
      <w:tr w:rsidR="0085366C" w:rsidRPr="00C82609" w:rsidTr="005442CD">
        <w:trPr>
          <w:jc w:val="center"/>
        </w:trPr>
        <w:tc>
          <w:tcPr>
            <w:tcW w:w="1526" w:type="dxa"/>
            <w:shd w:val="clear" w:color="auto" w:fill="92D050"/>
          </w:tcPr>
          <w:p w:rsidR="0085366C" w:rsidRPr="00C82609" w:rsidRDefault="0085366C" w:rsidP="005442CD">
            <w:pPr>
              <w:spacing w:after="0"/>
              <w:jc w:val="both"/>
              <w:rPr>
                <w:rFonts w:ascii="Calibri" w:hAnsi="Calibri"/>
                <w:color w:val="000000"/>
              </w:rPr>
            </w:pPr>
            <w:r w:rsidRPr="00C82609">
              <w:rPr>
                <w:rFonts w:ascii="Calibri" w:hAnsi="Calibri"/>
                <w:b/>
                <w:bCs/>
                <w:color w:val="000000"/>
              </w:rPr>
              <w:t>Productivity and innovation</w:t>
            </w:r>
          </w:p>
        </w:tc>
        <w:tc>
          <w:tcPr>
            <w:tcW w:w="7716" w:type="dxa"/>
          </w:tcPr>
          <w:p w:rsidR="0085366C" w:rsidRPr="004A6D82" w:rsidRDefault="0085366C" w:rsidP="005442CD">
            <w:pPr>
              <w:numPr>
                <w:ilvl w:val="0"/>
                <w:numId w:val="1"/>
              </w:numPr>
              <w:spacing w:after="40" w:line="240" w:lineRule="auto"/>
              <w:ind w:left="360"/>
              <w:rPr>
                <w:rFonts w:ascii="Calibri" w:hAnsi="Calibri"/>
              </w:rPr>
            </w:pPr>
            <w:r w:rsidRPr="004A6D82">
              <w:rPr>
                <w:rFonts w:ascii="Calibri" w:hAnsi="Calibri"/>
              </w:rPr>
              <w:t xml:space="preserve">The audit and Government Response provide an opportunity for the ACT Government to improve delivery of strategic assessments. </w:t>
            </w:r>
          </w:p>
          <w:p w:rsidR="0085366C" w:rsidRPr="004A6D82" w:rsidRDefault="0085366C" w:rsidP="005442CD">
            <w:pPr>
              <w:numPr>
                <w:ilvl w:val="0"/>
                <w:numId w:val="1"/>
              </w:numPr>
              <w:spacing w:after="40" w:line="240" w:lineRule="auto"/>
              <w:ind w:left="360"/>
              <w:rPr>
                <w:rFonts w:ascii="Calibri" w:hAnsi="Calibri"/>
              </w:rPr>
            </w:pPr>
            <w:r w:rsidRPr="004A6D82">
              <w:rPr>
                <w:rFonts w:ascii="Calibri" w:hAnsi="Calibri"/>
              </w:rPr>
              <w:t>The audit and Government Response highlight opportunities for improved performance and compliance, including highlighting opportunities to improve documentation and reporting.</w:t>
            </w:r>
          </w:p>
        </w:tc>
      </w:tr>
      <w:tr w:rsidR="0085366C" w:rsidRPr="00C82609" w:rsidTr="005442CD">
        <w:trPr>
          <w:jc w:val="center"/>
        </w:trPr>
        <w:tc>
          <w:tcPr>
            <w:tcW w:w="1526" w:type="dxa"/>
            <w:shd w:val="clear" w:color="auto" w:fill="92D050"/>
          </w:tcPr>
          <w:p w:rsidR="0085366C" w:rsidRPr="00C82609" w:rsidRDefault="0085366C" w:rsidP="005442CD">
            <w:pPr>
              <w:spacing w:after="0"/>
              <w:jc w:val="both"/>
              <w:rPr>
                <w:rFonts w:ascii="Calibri" w:hAnsi="Calibri"/>
                <w:color w:val="000000"/>
              </w:rPr>
            </w:pPr>
            <w:r w:rsidRPr="00C82609">
              <w:rPr>
                <w:rFonts w:ascii="Calibri" w:hAnsi="Calibri"/>
                <w:b/>
                <w:bCs/>
                <w:color w:val="000000"/>
              </w:rPr>
              <w:t>Investment and Economic Impacts</w:t>
            </w:r>
          </w:p>
        </w:tc>
        <w:tc>
          <w:tcPr>
            <w:tcW w:w="7716" w:type="dxa"/>
          </w:tcPr>
          <w:p w:rsidR="0085366C" w:rsidRPr="004A6D82" w:rsidRDefault="0085366C" w:rsidP="005442CD">
            <w:pPr>
              <w:numPr>
                <w:ilvl w:val="0"/>
                <w:numId w:val="1"/>
              </w:numPr>
              <w:spacing w:after="40" w:line="240" w:lineRule="auto"/>
              <w:ind w:left="360"/>
              <w:rPr>
                <w:rFonts w:ascii="Calibri" w:hAnsi="Calibri"/>
              </w:rPr>
            </w:pPr>
            <w:r w:rsidRPr="004A6D82">
              <w:rPr>
                <w:rFonts w:ascii="Calibri" w:hAnsi="Calibri"/>
              </w:rPr>
              <w:t xml:space="preserve">The implementation of Molonglo Valley strategic assessment commitments enables the ongoing delivery of the land release program. The audit and Government Response provide an opportunity to ensure commitments are implemented in a timely manner to facilitate urban </w:t>
            </w:r>
            <w:r>
              <w:rPr>
                <w:rFonts w:ascii="Calibri" w:hAnsi="Calibri"/>
              </w:rPr>
              <w:t>development in Molonglo Valley.</w:t>
            </w:r>
          </w:p>
        </w:tc>
      </w:tr>
    </w:tbl>
    <w:p w:rsidR="0085366C" w:rsidRPr="00C82609" w:rsidRDefault="0085366C" w:rsidP="0085366C">
      <w:pPr>
        <w:spacing w:before="120" w:after="0"/>
        <w:jc w:val="both"/>
        <w:rPr>
          <w:rFonts w:ascii="Calibri" w:hAnsi="Calibri"/>
          <w:b/>
          <w:bCs/>
          <w:color w:val="000000"/>
        </w:rPr>
      </w:pPr>
      <w:r w:rsidRPr="00C82609">
        <w:rPr>
          <w:rFonts w:ascii="Calibri" w:hAnsi="Calibri"/>
          <w:b/>
          <w:bCs/>
          <w:color w:val="000000"/>
        </w:rPr>
        <w:t>Environmental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5"/>
        <w:gridCol w:w="7491"/>
      </w:tblGrid>
      <w:tr w:rsidR="0085366C" w:rsidRPr="00C82609" w:rsidTr="005442CD">
        <w:trPr>
          <w:jc w:val="center"/>
        </w:trPr>
        <w:tc>
          <w:tcPr>
            <w:tcW w:w="1526" w:type="dxa"/>
            <w:shd w:val="clear" w:color="auto" w:fill="92D050"/>
          </w:tcPr>
          <w:p w:rsidR="0085366C" w:rsidRPr="00C82609" w:rsidRDefault="0085366C" w:rsidP="005442CD">
            <w:pPr>
              <w:spacing w:after="0"/>
              <w:jc w:val="both"/>
              <w:rPr>
                <w:rFonts w:ascii="Calibri" w:hAnsi="Calibri"/>
                <w:color w:val="000000"/>
              </w:rPr>
            </w:pPr>
            <w:r w:rsidRPr="00C82609">
              <w:rPr>
                <w:rFonts w:ascii="Calibri" w:hAnsi="Calibri"/>
                <w:b/>
                <w:bCs/>
                <w:color w:val="000000"/>
              </w:rPr>
              <w:t>Biodiversity</w:t>
            </w:r>
          </w:p>
        </w:tc>
        <w:tc>
          <w:tcPr>
            <w:tcW w:w="7716" w:type="dxa"/>
          </w:tcPr>
          <w:p w:rsidR="0085366C" w:rsidRPr="004A6D82" w:rsidRDefault="0085366C" w:rsidP="005442CD">
            <w:pPr>
              <w:numPr>
                <w:ilvl w:val="0"/>
                <w:numId w:val="1"/>
              </w:numPr>
              <w:spacing w:after="40" w:line="240" w:lineRule="auto"/>
              <w:ind w:left="360"/>
              <w:rPr>
                <w:rFonts w:ascii="Calibri" w:hAnsi="Calibri"/>
              </w:rPr>
            </w:pPr>
            <w:r w:rsidRPr="004A6D82">
              <w:rPr>
                <w:rFonts w:ascii="Calibri" w:hAnsi="Calibri"/>
              </w:rPr>
              <w:t>The Government Response to the audit highlights future activities that will help to improve biodiversity outcomes for Matters of National Environmental Significance (MNES).</w:t>
            </w:r>
          </w:p>
        </w:tc>
      </w:tr>
      <w:tr w:rsidR="0085366C" w:rsidRPr="00C82609" w:rsidTr="005442CD">
        <w:trPr>
          <w:jc w:val="center"/>
        </w:trPr>
        <w:tc>
          <w:tcPr>
            <w:tcW w:w="1526" w:type="dxa"/>
            <w:shd w:val="clear" w:color="auto" w:fill="00B0F0"/>
          </w:tcPr>
          <w:p w:rsidR="0085366C" w:rsidRPr="00C82609" w:rsidRDefault="0085366C" w:rsidP="005442CD">
            <w:pPr>
              <w:spacing w:after="0"/>
              <w:jc w:val="both"/>
              <w:rPr>
                <w:rFonts w:ascii="Calibri" w:hAnsi="Calibri"/>
                <w:color w:val="000000"/>
              </w:rPr>
            </w:pPr>
            <w:r w:rsidRPr="00C82609">
              <w:rPr>
                <w:rFonts w:ascii="Calibri" w:hAnsi="Calibri"/>
                <w:b/>
                <w:bCs/>
                <w:color w:val="000000"/>
              </w:rPr>
              <w:t>Heritage</w:t>
            </w:r>
          </w:p>
        </w:tc>
        <w:tc>
          <w:tcPr>
            <w:tcW w:w="7716" w:type="dxa"/>
          </w:tcPr>
          <w:p w:rsidR="0085366C" w:rsidRPr="004A6D82" w:rsidRDefault="0085366C" w:rsidP="005442CD">
            <w:pPr>
              <w:numPr>
                <w:ilvl w:val="0"/>
                <w:numId w:val="1"/>
              </w:numPr>
              <w:spacing w:after="40" w:line="240" w:lineRule="auto"/>
              <w:ind w:left="360"/>
              <w:rPr>
                <w:rFonts w:ascii="Calibri" w:hAnsi="Calibri"/>
              </w:rPr>
            </w:pPr>
            <w:r w:rsidRPr="004A6D82">
              <w:rPr>
                <w:rFonts w:ascii="Calibri" w:hAnsi="Calibri"/>
              </w:rPr>
              <w:t xml:space="preserve">The Government Response to the audit has no impacts on heritage. </w:t>
            </w:r>
          </w:p>
        </w:tc>
      </w:tr>
      <w:tr w:rsidR="0085366C" w:rsidRPr="00C82609" w:rsidTr="005442CD">
        <w:trPr>
          <w:jc w:val="center"/>
        </w:trPr>
        <w:tc>
          <w:tcPr>
            <w:tcW w:w="1526" w:type="dxa"/>
            <w:shd w:val="clear" w:color="auto" w:fill="92D050"/>
          </w:tcPr>
          <w:p w:rsidR="0085366C" w:rsidRPr="00C82609" w:rsidRDefault="0085366C" w:rsidP="005442CD">
            <w:pPr>
              <w:spacing w:after="0"/>
              <w:jc w:val="both"/>
              <w:rPr>
                <w:rFonts w:ascii="Calibri" w:hAnsi="Calibri"/>
                <w:color w:val="000000"/>
              </w:rPr>
            </w:pPr>
            <w:r w:rsidRPr="00C82609">
              <w:rPr>
                <w:rFonts w:ascii="Calibri" w:hAnsi="Calibri"/>
                <w:b/>
                <w:bCs/>
                <w:color w:val="000000"/>
              </w:rPr>
              <w:t>Environmental quality</w:t>
            </w:r>
          </w:p>
        </w:tc>
        <w:tc>
          <w:tcPr>
            <w:tcW w:w="7716" w:type="dxa"/>
          </w:tcPr>
          <w:p w:rsidR="0085366C" w:rsidRPr="004A6D82" w:rsidRDefault="0085366C" w:rsidP="005442CD">
            <w:pPr>
              <w:numPr>
                <w:ilvl w:val="0"/>
                <w:numId w:val="1"/>
              </w:numPr>
              <w:spacing w:after="40" w:line="240" w:lineRule="auto"/>
              <w:ind w:left="360"/>
              <w:rPr>
                <w:rFonts w:ascii="Calibri" w:hAnsi="Calibri"/>
              </w:rPr>
            </w:pPr>
            <w:r w:rsidRPr="004A6D82">
              <w:rPr>
                <w:rFonts w:ascii="Calibri" w:hAnsi="Calibri"/>
              </w:rPr>
              <w:t>Opportunity to improve the delivery of strategic assessment commitments which will result in improved outcomes for MNES.</w:t>
            </w:r>
          </w:p>
        </w:tc>
      </w:tr>
    </w:tbl>
    <w:p w:rsidR="00AC016A" w:rsidRDefault="00AC016A">
      <w:bookmarkStart w:id="0" w:name="_GoBack"/>
      <w:bookmarkEnd w:id="0"/>
    </w:p>
    <w:sectPr w:rsidR="00AC0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66C"/>
    <w:rsid w:val="0085366C"/>
    <w:rsid w:val="00AC01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57109-0541-4D5A-9F9C-1B68D430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66C"/>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ECF39-1958-43EB-99B2-E03FC0B58C95}"/>
</file>

<file path=customXml/itemProps2.xml><?xml version="1.0" encoding="utf-8"?>
<ds:datastoreItem xmlns:ds="http://schemas.openxmlformats.org/officeDocument/2006/customXml" ds:itemID="{78ACDF35-E644-4DE2-8FB9-BB4D2A66B35D}"/>
</file>

<file path=customXml/itemProps3.xml><?xml version="1.0" encoding="utf-8"?>
<ds:datastoreItem xmlns:ds="http://schemas.openxmlformats.org/officeDocument/2006/customXml" ds:itemID="{4821C771-50EA-444D-BD2D-84D6AEA7D563}"/>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Morris, Dorena</cp:lastModifiedBy>
  <cp:revision>1</cp:revision>
  <dcterms:created xsi:type="dcterms:W3CDTF">2018-11-21T23:14:00Z</dcterms:created>
  <dcterms:modified xsi:type="dcterms:W3CDTF">2018-11-21T23:15:00Z</dcterms:modified>
</cp:coreProperties>
</file>