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2802B304" w:rsidR="005E69BD" w:rsidRPr="001628EB" w:rsidRDefault="008965D8">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46C53486">
                <wp:simplePos x="0" y="0"/>
                <wp:positionH relativeFrom="margin">
                  <wp:align>right</wp:align>
                </wp:positionH>
                <wp:positionV relativeFrom="paragraph">
                  <wp:posOffset>1499235</wp:posOffset>
                </wp:positionV>
                <wp:extent cx="5162550" cy="2766060"/>
                <wp:effectExtent l="0" t="0" r="0" b="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62550" cy="2766060"/>
                        </a:xfrm>
                        <a:prstGeom prst="rect">
                          <a:avLst/>
                        </a:prstGeom>
                        <a:noFill/>
                        <a:ln w="6350">
                          <a:noFill/>
                        </a:ln>
                      </wps:spPr>
                      <wps:txbx>
                        <w:txbxContent>
                          <w:p w14:paraId="1FC37179" w14:textId="5758D75F" w:rsidR="00F939BC" w:rsidRDefault="008965D8" w:rsidP="00D17F50">
                            <w:pPr>
                              <w:pStyle w:val="Title"/>
                              <w:spacing w:after="0"/>
                            </w:pPr>
                            <w:bookmarkStart w:id="0" w:name="_Toc106719373"/>
                            <w:bookmarkStart w:id="1" w:name="_Toc130374247"/>
                            <w:r>
                              <w:t>Complaints Handling Policy</w:t>
                            </w:r>
                            <w:bookmarkEnd w:id="0"/>
                            <w:r w:rsidR="00515256">
                              <w:t xml:space="preserve"> and </w:t>
                            </w:r>
                            <w:r w:rsidR="00B8059F">
                              <w:t>Procedures</w:t>
                            </w:r>
                            <w:bookmarkEnd w:id="1"/>
                          </w:p>
                          <w:p w14:paraId="6B887E2D" w14:textId="556B8E91" w:rsidR="00F939BC" w:rsidRPr="00F939BC" w:rsidRDefault="00B8059F" w:rsidP="00D17F50">
                            <w:pPr>
                              <w:pStyle w:val="Subtitle"/>
                              <w:jc w:val="left"/>
                            </w:pPr>
                            <w:r>
                              <w:t>October</w:t>
                            </w:r>
                            <w:r w:rsidR="008965D8">
                              <w:t xml:space="preserve"> 2022</w:t>
                            </w:r>
                          </w:p>
                          <w:p w14:paraId="67F06E80" w14:textId="7613A4C5" w:rsidR="00F939BC" w:rsidRPr="00222C35" w:rsidRDefault="00F939BC" w:rsidP="00D17F50">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alt="&quot;&quot;" style="position:absolute;margin-left:355.3pt;margin-top:118.05pt;width:406.5pt;height:217.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" filled="f" stroked="f" strokeweight=".5pt">
                <v:textbox>
                  <w:txbxContent>
                    <w:p w14:paraId="1FC37179" w14:textId="5758D75F" w:rsidR="00F939BC" w:rsidRDefault="008965D8" w:rsidP="00D17F50">
                      <w:pPr>
                        <w:pStyle w:val="Title"/>
                        <w:spacing w:after="0"/>
                      </w:pPr>
                      <w:bookmarkStart w:id="2" w:name="_Toc106719373"/>
                      <w:bookmarkStart w:id="3" w:name="_Toc130374247"/>
                      <w:r>
                        <w:t>Complaints Handling Policy</w:t>
                      </w:r>
                      <w:bookmarkEnd w:id="2"/>
                      <w:r w:rsidR="00515256">
                        <w:t xml:space="preserve"> and </w:t>
                      </w:r>
                      <w:r w:rsidR="00B8059F">
                        <w:t>Procedures</w:t>
                      </w:r>
                      <w:bookmarkEnd w:id="3"/>
                    </w:p>
                    <w:p w14:paraId="6B887E2D" w14:textId="556B8E91" w:rsidR="00F939BC" w:rsidRPr="00F939BC" w:rsidRDefault="00B8059F" w:rsidP="00D17F50">
                      <w:pPr>
                        <w:pStyle w:val="Subtitle"/>
                        <w:jc w:val="left"/>
                      </w:pPr>
                      <w:r>
                        <w:t>October</w:t>
                      </w:r>
                      <w:r w:rsidR="008965D8">
                        <w:t xml:space="preserve"> 2022</w:t>
                      </w:r>
                    </w:p>
                    <w:p w14:paraId="67F06E80" w14:textId="7613A4C5" w:rsidR="00F939BC" w:rsidRPr="00222C35" w:rsidRDefault="00F939BC" w:rsidP="00D17F50">
                      <w:pPr>
                        <w:pStyle w:val="IntroParagraph"/>
                        <w:spacing w:before="0" w:after="0"/>
                        <w:rPr>
                          <w:color w:val="FFFFFF" w:themeColor="background1"/>
                        </w:rPr>
                      </w:pPr>
                    </w:p>
                  </w:txbxContent>
                </v:textbox>
                <w10:wrap anchorx="margin"/>
              </v:shape>
            </w:pict>
          </mc:Fallback>
        </mc:AlternateContent>
      </w:r>
      <w:r w:rsidR="00D33CD9">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4BD63ECF">
                <wp:simplePos x="0" y="0"/>
                <wp:positionH relativeFrom="column">
                  <wp:posOffset>-51435</wp:posOffset>
                </wp:positionH>
                <wp:positionV relativeFrom="paragraph">
                  <wp:posOffset>8962390</wp:posOffset>
                </wp:positionV>
                <wp:extent cx="5080000" cy="457200"/>
                <wp:effectExtent l="0" t="0" r="0"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62BCB732" w:rsidR="00222C35" w:rsidRPr="00825C83" w:rsidRDefault="003D3C80" w:rsidP="008F4C1C">
                            <w:pPr>
                              <w:pStyle w:val="Directoratename"/>
                            </w:pPr>
                            <w:r>
                              <w:t>Chief Minister, Treasury and Economic Development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6A46" id="Text Box 25" o:spid="_x0000_s1027" type="#_x0000_t202" alt="&quot;&quot;" style="position:absolute;margin-left:-4.05pt;margin-top:705.7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m9FwIAADM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" filled="f" stroked="f" strokeweight=".5pt">
                <v:textbox>
                  <w:txbxContent>
                    <w:p w14:paraId="6216E613" w14:textId="62BCB732" w:rsidR="00222C35" w:rsidRPr="00825C83" w:rsidRDefault="003D3C80" w:rsidP="008F4C1C">
                      <w:pPr>
                        <w:pStyle w:val="Directoratename"/>
                      </w:pPr>
                      <w:r>
                        <w:t>Chief Minister, Treasury and Economic Development Directorate</w:t>
                      </w:r>
                    </w:p>
                  </w:txbxContent>
                </v:textbox>
              </v:shape>
            </w:pict>
          </mc:Fallback>
        </mc:AlternateContent>
      </w:r>
      <w:r w:rsidR="00825C83">
        <w:rPr>
          <w:noProof/>
        </w:rPr>
        <w:drawing>
          <wp:anchor distT="0" distB="0" distL="114300" distR="114300" simplePos="0" relativeHeight="251657215" behindDoc="1" locked="0" layoutInCell="1" allowOverlap="1" wp14:anchorId="7838AA5C" wp14:editId="7CFDA268">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r w:rsidR="008E3B95">
        <w:rPr>
          <w:noProof/>
          <w:color w:val="000000" w:themeColor="text1"/>
        </w:rPr>
        <w:drawing>
          <wp:anchor distT="0" distB="0" distL="114300" distR="114300" simplePos="0" relativeHeight="251658240" behindDoc="0" locked="0" layoutInCell="1" allowOverlap="1" wp14:anchorId="61CEEF2A" wp14:editId="75346FE6">
            <wp:simplePos x="0" y="0"/>
            <wp:positionH relativeFrom="margin">
              <wp:align>left</wp:align>
            </wp:positionH>
            <wp:positionV relativeFrom="paragraph">
              <wp:posOffset>187325</wp:posOffset>
            </wp:positionV>
            <wp:extent cx="1753235" cy="89979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4" w:name="OLE_LINK2"/>
      <w:bookmarkEnd w:id="4"/>
      <w:r w:rsidR="005E69BD">
        <w:br w:type="page"/>
      </w:r>
    </w:p>
    <w:p w14:paraId="2926E197" w14:textId="77777777" w:rsidR="009266DD" w:rsidRDefault="009266DD" w:rsidP="00C6673A">
      <w:pPr>
        <w:pStyle w:val="Heading1"/>
        <w:sectPr w:rsidR="009266DD" w:rsidSect="00F51125">
          <w:headerReference w:type="even" r:id="rId14"/>
          <w:footerReference w:type="even" r:id="rId15"/>
          <w:footerReference w:type="default" r:id="rId16"/>
          <w:type w:val="continuous"/>
          <w:pgSz w:w="11907" w:h="16840" w:code="9"/>
          <w:pgMar w:top="1134" w:right="1134" w:bottom="1701" w:left="1134" w:header="567" w:footer="254" w:gutter="0"/>
          <w:cols w:num="2" w:space="720"/>
          <w:titlePg/>
          <w:docGrid w:linePitch="299"/>
        </w:sectPr>
      </w:pPr>
    </w:p>
    <w:bookmarkStart w:id="5" w:name="_Toc404852028" w:displacedByCustomXml="next"/>
    <w:bookmarkStart w:id="6" w:name="_Toc504793566" w:displacedByCustomXml="next"/>
    <w:bookmarkStart w:id="7" w:name="_Toc504793197" w:displacedByCustomXml="next"/>
    <w:bookmarkStart w:id="8" w:name="_Toc451834187" w:displacedByCustomXml="next"/>
    <w:bookmarkStart w:id="9" w:name="_Toc449418505" w:displacedByCustomXml="next"/>
    <w:sdt>
      <w:sdtPr>
        <w:rPr>
          <w:rFonts w:ascii="Calibri" w:eastAsia="Times New Roman" w:hAnsi="Calibri" w:cs="Times New Roman"/>
          <w:color w:val="auto"/>
          <w:sz w:val="22"/>
          <w:szCs w:val="20"/>
          <w:lang w:val="en-AU"/>
        </w:rPr>
        <w:id w:val="-1474207703"/>
        <w:docPartObj>
          <w:docPartGallery w:val="Table of Contents"/>
          <w:docPartUnique/>
        </w:docPartObj>
      </w:sdtPr>
      <w:sdtEndPr>
        <w:rPr>
          <w:b/>
          <w:bCs/>
          <w:noProof/>
        </w:rPr>
      </w:sdtEndPr>
      <w:sdtContent>
        <w:p w14:paraId="39FD5D04" w14:textId="77777777" w:rsidR="0005636C" w:rsidRDefault="000068FE" w:rsidP="00C6673A">
          <w:pPr>
            <w:pStyle w:val="TOCHeading"/>
            <w:rPr>
              <w:noProof/>
            </w:rPr>
          </w:pPr>
          <w:r>
            <w:t>Contents</w:t>
          </w:r>
          <w:r>
            <w:fldChar w:fldCharType="begin"/>
          </w:r>
          <w:r>
            <w:instrText xml:space="preserve"> TOC \o "1-3" \h \z \u </w:instrText>
          </w:r>
          <w:r>
            <w:fldChar w:fldCharType="separate"/>
          </w:r>
        </w:p>
        <w:p w14:paraId="47E64821" w14:textId="2EF6D0EC" w:rsidR="0005636C" w:rsidRDefault="00094588">
          <w:pPr>
            <w:pStyle w:val="TOC1"/>
            <w:tabs>
              <w:tab w:val="right" w:leader="dot" w:pos="9629"/>
            </w:tabs>
            <w:rPr>
              <w:rFonts w:asciiTheme="minorHAnsi" w:eastAsiaTheme="minorEastAsia" w:hAnsiTheme="minorHAnsi" w:cstheme="minorBidi"/>
              <w:noProof/>
              <w:szCs w:val="22"/>
              <w:lang w:eastAsia="en-AU"/>
            </w:rPr>
          </w:pPr>
          <w:hyperlink r:id="rId17" w:anchor="_Toc130374247" w:history="1">
            <w:r w:rsidR="0005636C" w:rsidRPr="00114FEA">
              <w:rPr>
                <w:rStyle w:val="Hyperlink"/>
                <w:noProof/>
              </w:rPr>
              <w:t>Complaints Handling Policy and Procedures</w:t>
            </w:r>
            <w:r w:rsidR="0005636C">
              <w:rPr>
                <w:noProof/>
                <w:webHidden/>
              </w:rPr>
              <w:tab/>
            </w:r>
            <w:r w:rsidR="0005636C">
              <w:rPr>
                <w:noProof/>
                <w:webHidden/>
              </w:rPr>
              <w:fldChar w:fldCharType="begin"/>
            </w:r>
            <w:r w:rsidR="0005636C">
              <w:rPr>
                <w:noProof/>
                <w:webHidden/>
              </w:rPr>
              <w:instrText xml:space="preserve"> PAGEREF _Toc130374247 \h </w:instrText>
            </w:r>
            <w:r w:rsidR="0005636C">
              <w:rPr>
                <w:noProof/>
                <w:webHidden/>
              </w:rPr>
            </w:r>
            <w:r w:rsidR="0005636C">
              <w:rPr>
                <w:noProof/>
                <w:webHidden/>
              </w:rPr>
              <w:fldChar w:fldCharType="separate"/>
            </w:r>
            <w:r w:rsidR="0005636C">
              <w:rPr>
                <w:noProof/>
                <w:webHidden/>
              </w:rPr>
              <w:t>1</w:t>
            </w:r>
            <w:r w:rsidR="0005636C">
              <w:rPr>
                <w:noProof/>
                <w:webHidden/>
              </w:rPr>
              <w:fldChar w:fldCharType="end"/>
            </w:r>
          </w:hyperlink>
        </w:p>
        <w:p w14:paraId="686A067B" w14:textId="57190787" w:rsidR="0005636C" w:rsidRDefault="00094588">
          <w:pPr>
            <w:pStyle w:val="TOC1"/>
            <w:tabs>
              <w:tab w:val="right" w:leader="dot" w:pos="9629"/>
            </w:tabs>
            <w:rPr>
              <w:rFonts w:asciiTheme="minorHAnsi" w:eastAsiaTheme="minorEastAsia" w:hAnsiTheme="minorHAnsi" w:cstheme="minorBidi"/>
              <w:noProof/>
              <w:szCs w:val="22"/>
              <w:lang w:eastAsia="en-AU"/>
            </w:rPr>
          </w:pPr>
          <w:hyperlink w:anchor="_Toc130374248" w:history="1">
            <w:r w:rsidR="0005636C" w:rsidRPr="00114FEA">
              <w:rPr>
                <w:rStyle w:val="Hyperlink"/>
                <w:noProof/>
              </w:rPr>
              <w:t>Introduction</w:t>
            </w:r>
            <w:r w:rsidR="0005636C">
              <w:rPr>
                <w:noProof/>
                <w:webHidden/>
              </w:rPr>
              <w:tab/>
            </w:r>
            <w:r w:rsidR="0005636C">
              <w:rPr>
                <w:noProof/>
                <w:webHidden/>
              </w:rPr>
              <w:fldChar w:fldCharType="begin"/>
            </w:r>
            <w:r w:rsidR="0005636C">
              <w:rPr>
                <w:noProof/>
                <w:webHidden/>
              </w:rPr>
              <w:instrText xml:space="preserve"> PAGEREF _Toc130374248 \h </w:instrText>
            </w:r>
            <w:r w:rsidR="0005636C">
              <w:rPr>
                <w:noProof/>
                <w:webHidden/>
              </w:rPr>
            </w:r>
            <w:r w:rsidR="0005636C">
              <w:rPr>
                <w:noProof/>
                <w:webHidden/>
              </w:rPr>
              <w:fldChar w:fldCharType="separate"/>
            </w:r>
            <w:r w:rsidR="0005636C">
              <w:rPr>
                <w:noProof/>
                <w:webHidden/>
              </w:rPr>
              <w:t>3</w:t>
            </w:r>
            <w:r w:rsidR="0005636C">
              <w:rPr>
                <w:noProof/>
                <w:webHidden/>
              </w:rPr>
              <w:fldChar w:fldCharType="end"/>
            </w:r>
          </w:hyperlink>
        </w:p>
        <w:p w14:paraId="46879D7C" w14:textId="4064389D" w:rsidR="0005636C" w:rsidRDefault="00094588">
          <w:pPr>
            <w:pStyle w:val="TOC2"/>
            <w:tabs>
              <w:tab w:val="left" w:pos="880"/>
              <w:tab w:val="right" w:leader="dot" w:pos="9629"/>
            </w:tabs>
            <w:rPr>
              <w:rFonts w:asciiTheme="minorHAnsi" w:eastAsiaTheme="minorEastAsia" w:hAnsiTheme="minorHAnsi" w:cstheme="minorBidi"/>
              <w:noProof/>
              <w:szCs w:val="22"/>
              <w:lang w:eastAsia="en-AU"/>
            </w:rPr>
          </w:pPr>
          <w:hyperlink w:anchor="_Toc130374249" w:history="1">
            <w:r w:rsidR="0005636C" w:rsidRPr="00114FEA">
              <w:rPr>
                <w:rStyle w:val="Hyperlink"/>
                <w:noProof/>
              </w:rPr>
              <w:t>1.1</w:t>
            </w:r>
            <w:r w:rsidR="0005636C">
              <w:rPr>
                <w:rFonts w:asciiTheme="minorHAnsi" w:eastAsiaTheme="minorEastAsia" w:hAnsiTheme="minorHAnsi" w:cstheme="minorBidi"/>
                <w:noProof/>
                <w:szCs w:val="22"/>
                <w:lang w:eastAsia="en-AU"/>
              </w:rPr>
              <w:tab/>
            </w:r>
            <w:r w:rsidR="0005636C" w:rsidRPr="00114FEA">
              <w:rPr>
                <w:rStyle w:val="Hyperlink"/>
                <w:noProof/>
              </w:rPr>
              <w:t>Purpose</w:t>
            </w:r>
            <w:r w:rsidR="0005636C">
              <w:rPr>
                <w:noProof/>
                <w:webHidden/>
              </w:rPr>
              <w:tab/>
            </w:r>
            <w:r w:rsidR="0005636C">
              <w:rPr>
                <w:noProof/>
                <w:webHidden/>
              </w:rPr>
              <w:fldChar w:fldCharType="begin"/>
            </w:r>
            <w:r w:rsidR="0005636C">
              <w:rPr>
                <w:noProof/>
                <w:webHidden/>
              </w:rPr>
              <w:instrText xml:space="preserve"> PAGEREF _Toc130374249 \h </w:instrText>
            </w:r>
            <w:r w:rsidR="0005636C">
              <w:rPr>
                <w:noProof/>
                <w:webHidden/>
              </w:rPr>
            </w:r>
            <w:r w:rsidR="0005636C">
              <w:rPr>
                <w:noProof/>
                <w:webHidden/>
              </w:rPr>
              <w:fldChar w:fldCharType="separate"/>
            </w:r>
            <w:r w:rsidR="0005636C">
              <w:rPr>
                <w:noProof/>
                <w:webHidden/>
              </w:rPr>
              <w:t>3</w:t>
            </w:r>
            <w:r w:rsidR="0005636C">
              <w:rPr>
                <w:noProof/>
                <w:webHidden/>
              </w:rPr>
              <w:fldChar w:fldCharType="end"/>
            </w:r>
          </w:hyperlink>
        </w:p>
        <w:p w14:paraId="5BB1811A" w14:textId="42A2276D" w:rsidR="0005636C" w:rsidRDefault="00094588">
          <w:pPr>
            <w:pStyle w:val="TOC2"/>
            <w:tabs>
              <w:tab w:val="left" w:pos="880"/>
              <w:tab w:val="right" w:leader="dot" w:pos="9629"/>
            </w:tabs>
            <w:rPr>
              <w:rFonts w:asciiTheme="minorHAnsi" w:eastAsiaTheme="minorEastAsia" w:hAnsiTheme="minorHAnsi" w:cstheme="minorBidi"/>
              <w:noProof/>
              <w:szCs w:val="22"/>
              <w:lang w:eastAsia="en-AU"/>
            </w:rPr>
          </w:pPr>
          <w:hyperlink w:anchor="_Toc130374250" w:history="1">
            <w:r w:rsidR="0005636C" w:rsidRPr="00114FEA">
              <w:rPr>
                <w:rStyle w:val="Hyperlink"/>
                <w:noProof/>
              </w:rPr>
              <w:t>1.2</w:t>
            </w:r>
            <w:r w:rsidR="0005636C">
              <w:rPr>
                <w:rFonts w:asciiTheme="minorHAnsi" w:eastAsiaTheme="minorEastAsia" w:hAnsiTheme="minorHAnsi" w:cstheme="minorBidi"/>
                <w:noProof/>
                <w:szCs w:val="22"/>
                <w:lang w:eastAsia="en-AU"/>
              </w:rPr>
              <w:tab/>
            </w:r>
            <w:r w:rsidR="0005636C" w:rsidRPr="00114FEA">
              <w:rPr>
                <w:rStyle w:val="Hyperlink"/>
                <w:noProof/>
              </w:rPr>
              <w:t>Scope</w:t>
            </w:r>
            <w:r w:rsidR="0005636C">
              <w:rPr>
                <w:noProof/>
                <w:webHidden/>
              </w:rPr>
              <w:tab/>
            </w:r>
            <w:r w:rsidR="0005636C">
              <w:rPr>
                <w:noProof/>
                <w:webHidden/>
              </w:rPr>
              <w:fldChar w:fldCharType="begin"/>
            </w:r>
            <w:r w:rsidR="0005636C">
              <w:rPr>
                <w:noProof/>
                <w:webHidden/>
              </w:rPr>
              <w:instrText xml:space="preserve"> PAGEREF _Toc130374250 \h </w:instrText>
            </w:r>
            <w:r w:rsidR="0005636C">
              <w:rPr>
                <w:noProof/>
                <w:webHidden/>
              </w:rPr>
            </w:r>
            <w:r w:rsidR="0005636C">
              <w:rPr>
                <w:noProof/>
                <w:webHidden/>
              </w:rPr>
              <w:fldChar w:fldCharType="separate"/>
            </w:r>
            <w:r w:rsidR="0005636C">
              <w:rPr>
                <w:noProof/>
                <w:webHidden/>
              </w:rPr>
              <w:t>3</w:t>
            </w:r>
            <w:r w:rsidR="0005636C">
              <w:rPr>
                <w:noProof/>
                <w:webHidden/>
              </w:rPr>
              <w:fldChar w:fldCharType="end"/>
            </w:r>
          </w:hyperlink>
        </w:p>
        <w:p w14:paraId="43B2A13B" w14:textId="3B3FD735" w:rsidR="0005636C" w:rsidRDefault="00094588">
          <w:pPr>
            <w:pStyle w:val="TOC3"/>
            <w:tabs>
              <w:tab w:val="right" w:leader="dot" w:pos="9629"/>
            </w:tabs>
            <w:rPr>
              <w:rFonts w:asciiTheme="minorHAnsi" w:eastAsiaTheme="minorEastAsia" w:hAnsiTheme="minorHAnsi" w:cstheme="minorBidi"/>
              <w:noProof/>
              <w:szCs w:val="22"/>
              <w:lang w:eastAsia="en-AU"/>
            </w:rPr>
          </w:pPr>
          <w:hyperlink w:anchor="_Toc130374251" w:history="1">
            <w:r w:rsidR="0005636C" w:rsidRPr="00114FEA">
              <w:rPr>
                <w:rStyle w:val="Hyperlink"/>
                <w:noProof/>
                <w:lang w:eastAsia="ja-JP"/>
              </w:rPr>
              <w:t>Out of scope</w:t>
            </w:r>
            <w:r w:rsidR="0005636C">
              <w:rPr>
                <w:noProof/>
                <w:webHidden/>
              </w:rPr>
              <w:tab/>
            </w:r>
            <w:r w:rsidR="0005636C">
              <w:rPr>
                <w:noProof/>
                <w:webHidden/>
              </w:rPr>
              <w:fldChar w:fldCharType="begin"/>
            </w:r>
            <w:r w:rsidR="0005636C">
              <w:rPr>
                <w:noProof/>
                <w:webHidden/>
              </w:rPr>
              <w:instrText xml:space="preserve"> PAGEREF _Toc130374251 \h </w:instrText>
            </w:r>
            <w:r w:rsidR="0005636C">
              <w:rPr>
                <w:noProof/>
                <w:webHidden/>
              </w:rPr>
            </w:r>
            <w:r w:rsidR="0005636C">
              <w:rPr>
                <w:noProof/>
                <w:webHidden/>
              </w:rPr>
              <w:fldChar w:fldCharType="separate"/>
            </w:r>
            <w:r w:rsidR="0005636C">
              <w:rPr>
                <w:noProof/>
                <w:webHidden/>
              </w:rPr>
              <w:t>3</w:t>
            </w:r>
            <w:r w:rsidR="0005636C">
              <w:rPr>
                <w:noProof/>
                <w:webHidden/>
              </w:rPr>
              <w:fldChar w:fldCharType="end"/>
            </w:r>
          </w:hyperlink>
        </w:p>
        <w:p w14:paraId="36E025A8" w14:textId="7DB9D668" w:rsidR="0005636C" w:rsidRDefault="00094588">
          <w:pPr>
            <w:pStyle w:val="TOC1"/>
            <w:tabs>
              <w:tab w:val="right" w:leader="dot" w:pos="9629"/>
            </w:tabs>
            <w:rPr>
              <w:rFonts w:asciiTheme="minorHAnsi" w:eastAsiaTheme="minorEastAsia" w:hAnsiTheme="minorHAnsi" w:cstheme="minorBidi"/>
              <w:noProof/>
              <w:szCs w:val="22"/>
              <w:lang w:eastAsia="en-AU"/>
            </w:rPr>
          </w:pPr>
          <w:hyperlink w:anchor="_Toc130374252" w:history="1">
            <w:r w:rsidR="0005636C" w:rsidRPr="00114FEA">
              <w:rPr>
                <w:rStyle w:val="Hyperlink"/>
                <w:noProof/>
              </w:rPr>
              <w:t>Complaint Management</w:t>
            </w:r>
            <w:r w:rsidR="0005636C" w:rsidRPr="00114FEA">
              <w:rPr>
                <w:rStyle w:val="Hyperlink"/>
                <w:noProof/>
                <w:spacing w:val="-3"/>
              </w:rPr>
              <w:t xml:space="preserve"> </w:t>
            </w:r>
            <w:r w:rsidR="0005636C" w:rsidRPr="00114FEA">
              <w:rPr>
                <w:rStyle w:val="Hyperlink"/>
                <w:noProof/>
              </w:rPr>
              <w:t>Procedures</w:t>
            </w:r>
            <w:r w:rsidR="0005636C">
              <w:rPr>
                <w:noProof/>
                <w:webHidden/>
              </w:rPr>
              <w:tab/>
            </w:r>
            <w:r w:rsidR="0005636C">
              <w:rPr>
                <w:noProof/>
                <w:webHidden/>
              </w:rPr>
              <w:fldChar w:fldCharType="begin"/>
            </w:r>
            <w:r w:rsidR="0005636C">
              <w:rPr>
                <w:noProof/>
                <w:webHidden/>
              </w:rPr>
              <w:instrText xml:space="preserve"> PAGEREF _Toc130374252 \h </w:instrText>
            </w:r>
            <w:r w:rsidR="0005636C">
              <w:rPr>
                <w:noProof/>
                <w:webHidden/>
              </w:rPr>
            </w:r>
            <w:r w:rsidR="0005636C">
              <w:rPr>
                <w:noProof/>
                <w:webHidden/>
              </w:rPr>
              <w:fldChar w:fldCharType="separate"/>
            </w:r>
            <w:r w:rsidR="0005636C">
              <w:rPr>
                <w:noProof/>
                <w:webHidden/>
              </w:rPr>
              <w:t>5</w:t>
            </w:r>
            <w:r w:rsidR="0005636C">
              <w:rPr>
                <w:noProof/>
                <w:webHidden/>
              </w:rPr>
              <w:fldChar w:fldCharType="end"/>
            </w:r>
          </w:hyperlink>
        </w:p>
        <w:p w14:paraId="501173F9" w14:textId="49EA3020" w:rsidR="0005636C" w:rsidRDefault="00094588">
          <w:pPr>
            <w:pStyle w:val="TOC2"/>
            <w:tabs>
              <w:tab w:val="left" w:pos="880"/>
              <w:tab w:val="right" w:leader="dot" w:pos="9629"/>
            </w:tabs>
            <w:rPr>
              <w:rFonts w:asciiTheme="minorHAnsi" w:eastAsiaTheme="minorEastAsia" w:hAnsiTheme="minorHAnsi" w:cstheme="minorBidi"/>
              <w:noProof/>
              <w:szCs w:val="22"/>
              <w:lang w:eastAsia="en-AU"/>
            </w:rPr>
          </w:pPr>
          <w:hyperlink w:anchor="_Toc130374253" w:history="1">
            <w:r w:rsidR="0005636C" w:rsidRPr="00114FEA">
              <w:rPr>
                <w:rStyle w:val="Hyperlink"/>
                <w:noProof/>
              </w:rPr>
              <w:t>2.1</w:t>
            </w:r>
            <w:r w:rsidR="0005636C">
              <w:rPr>
                <w:rFonts w:asciiTheme="minorHAnsi" w:eastAsiaTheme="minorEastAsia" w:hAnsiTheme="minorHAnsi" w:cstheme="minorBidi"/>
                <w:noProof/>
                <w:szCs w:val="22"/>
                <w:lang w:eastAsia="en-AU"/>
              </w:rPr>
              <w:tab/>
            </w:r>
            <w:r w:rsidR="0005636C" w:rsidRPr="00114FEA">
              <w:rPr>
                <w:rStyle w:val="Hyperlink"/>
                <w:noProof/>
              </w:rPr>
              <w:t>Making a Complaint, or Raising a Concern</w:t>
            </w:r>
            <w:r w:rsidR="0005636C">
              <w:rPr>
                <w:noProof/>
                <w:webHidden/>
              </w:rPr>
              <w:tab/>
            </w:r>
            <w:r w:rsidR="0005636C">
              <w:rPr>
                <w:noProof/>
                <w:webHidden/>
              </w:rPr>
              <w:fldChar w:fldCharType="begin"/>
            </w:r>
            <w:r w:rsidR="0005636C">
              <w:rPr>
                <w:noProof/>
                <w:webHidden/>
              </w:rPr>
              <w:instrText xml:space="preserve"> PAGEREF _Toc130374253 \h </w:instrText>
            </w:r>
            <w:r w:rsidR="0005636C">
              <w:rPr>
                <w:noProof/>
                <w:webHidden/>
              </w:rPr>
            </w:r>
            <w:r w:rsidR="0005636C">
              <w:rPr>
                <w:noProof/>
                <w:webHidden/>
              </w:rPr>
              <w:fldChar w:fldCharType="separate"/>
            </w:r>
            <w:r w:rsidR="0005636C">
              <w:rPr>
                <w:noProof/>
                <w:webHidden/>
              </w:rPr>
              <w:t>5</w:t>
            </w:r>
            <w:r w:rsidR="0005636C">
              <w:rPr>
                <w:noProof/>
                <w:webHidden/>
              </w:rPr>
              <w:fldChar w:fldCharType="end"/>
            </w:r>
          </w:hyperlink>
        </w:p>
        <w:p w14:paraId="489AFE69" w14:textId="2A746537" w:rsidR="0005636C" w:rsidRDefault="00094588">
          <w:pPr>
            <w:pStyle w:val="TOC2"/>
            <w:tabs>
              <w:tab w:val="left" w:pos="880"/>
              <w:tab w:val="right" w:leader="dot" w:pos="9629"/>
            </w:tabs>
            <w:rPr>
              <w:rFonts w:asciiTheme="minorHAnsi" w:eastAsiaTheme="minorEastAsia" w:hAnsiTheme="minorHAnsi" w:cstheme="minorBidi"/>
              <w:noProof/>
              <w:szCs w:val="22"/>
              <w:lang w:eastAsia="en-AU"/>
            </w:rPr>
          </w:pPr>
          <w:hyperlink w:anchor="_Toc130374254" w:history="1">
            <w:r w:rsidR="0005636C" w:rsidRPr="00114FEA">
              <w:rPr>
                <w:rStyle w:val="Hyperlink"/>
                <w:noProof/>
              </w:rPr>
              <w:t>2.2.</w:t>
            </w:r>
            <w:r w:rsidR="0005636C">
              <w:rPr>
                <w:rFonts w:asciiTheme="minorHAnsi" w:eastAsiaTheme="minorEastAsia" w:hAnsiTheme="minorHAnsi" w:cstheme="minorBidi"/>
                <w:noProof/>
                <w:szCs w:val="22"/>
                <w:lang w:eastAsia="en-AU"/>
              </w:rPr>
              <w:tab/>
            </w:r>
            <w:r w:rsidR="0005636C" w:rsidRPr="00114FEA">
              <w:rPr>
                <w:rStyle w:val="Hyperlink"/>
                <w:noProof/>
                <w:spacing w:val="-4"/>
              </w:rPr>
              <w:t xml:space="preserve">Triage of </w:t>
            </w:r>
            <w:r w:rsidR="0005636C" w:rsidRPr="00114FEA">
              <w:rPr>
                <w:rStyle w:val="Hyperlink"/>
                <w:noProof/>
                <w:spacing w:val="-2"/>
              </w:rPr>
              <w:t>Complaint</w:t>
            </w:r>
            <w:r w:rsidR="0005636C">
              <w:rPr>
                <w:noProof/>
                <w:webHidden/>
              </w:rPr>
              <w:tab/>
            </w:r>
            <w:r w:rsidR="0005636C">
              <w:rPr>
                <w:noProof/>
                <w:webHidden/>
              </w:rPr>
              <w:fldChar w:fldCharType="begin"/>
            </w:r>
            <w:r w:rsidR="0005636C">
              <w:rPr>
                <w:noProof/>
                <w:webHidden/>
              </w:rPr>
              <w:instrText xml:space="preserve"> PAGEREF _Toc130374254 \h </w:instrText>
            </w:r>
            <w:r w:rsidR="0005636C">
              <w:rPr>
                <w:noProof/>
                <w:webHidden/>
              </w:rPr>
            </w:r>
            <w:r w:rsidR="0005636C">
              <w:rPr>
                <w:noProof/>
                <w:webHidden/>
              </w:rPr>
              <w:fldChar w:fldCharType="separate"/>
            </w:r>
            <w:r w:rsidR="0005636C">
              <w:rPr>
                <w:noProof/>
                <w:webHidden/>
              </w:rPr>
              <w:t>5</w:t>
            </w:r>
            <w:r w:rsidR="0005636C">
              <w:rPr>
                <w:noProof/>
                <w:webHidden/>
              </w:rPr>
              <w:fldChar w:fldCharType="end"/>
            </w:r>
          </w:hyperlink>
        </w:p>
        <w:p w14:paraId="7D1ECBA5" w14:textId="52F4D53C" w:rsidR="0005636C" w:rsidRDefault="00094588">
          <w:pPr>
            <w:pStyle w:val="TOC3"/>
            <w:tabs>
              <w:tab w:val="left" w:pos="1320"/>
              <w:tab w:val="right" w:leader="dot" w:pos="9629"/>
            </w:tabs>
            <w:rPr>
              <w:rFonts w:asciiTheme="minorHAnsi" w:eastAsiaTheme="minorEastAsia" w:hAnsiTheme="minorHAnsi" w:cstheme="minorBidi"/>
              <w:noProof/>
              <w:szCs w:val="22"/>
              <w:lang w:eastAsia="en-AU"/>
            </w:rPr>
          </w:pPr>
          <w:hyperlink w:anchor="_Toc130374255" w:history="1">
            <w:r w:rsidR="0005636C" w:rsidRPr="00114FEA">
              <w:rPr>
                <w:rStyle w:val="Hyperlink"/>
                <w:noProof/>
              </w:rPr>
              <w:t>2.2.1</w:t>
            </w:r>
            <w:r w:rsidR="0005636C">
              <w:rPr>
                <w:rFonts w:asciiTheme="minorHAnsi" w:eastAsiaTheme="minorEastAsia" w:hAnsiTheme="minorHAnsi" w:cstheme="minorBidi"/>
                <w:noProof/>
                <w:szCs w:val="22"/>
                <w:lang w:eastAsia="en-AU"/>
              </w:rPr>
              <w:tab/>
            </w:r>
            <w:r w:rsidR="0005636C" w:rsidRPr="00114FEA">
              <w:rPr>
                <w:rStyle w:val="Hyperlink"/>
                <w:noProof/>
              </w:rPr>
              <w:t>Acknowledging</w:t>
            </w:r>
            <w:r w:rsidR="0005636C" w:rsidRPr="00114FEA">
              <w:rPr>
                <w:rStyle w:val="Hyperlink"/>
                <w:noProof/>
                <w:spacing w:val="-9"/>
              </w:rPr>
              <w:t xml:space="preserve"> receipt of </w:t>
            </w:r>
            <w:r w:rsidR="0005636C" w:rsidRPr="00114FEA">
              <w:rPr>
                <w:rStyle w:val="Hyperlink"/>
                <w:noProof/>
              </w:rPr>
              <w:t>a</w:t>
            </w:r>
            <w:r w:rsidR="0005636C" w:rsidRPr="00114FEA">
              <w:rPr>
                <w:rStyle w:val="Hyperlink"/>
                <w:noProof/>
                <w:spacing w:val="-8"/>
              </w:rPr>
              <w:t xml:space="preserve"> </w:t>
            </w:r>
            <w:r w:rsidR="0005636C" w:rsidRPr="00114FEA">
              <w:rPr>
                <w:rStyle w:val="Hyperlink"/>
                <w:noProof/>
              </w:rPr>
              <w:t>complaint</w:t>
            </w:r>
            <w:r w:rsidR="0005636C">
              <w:rPr>
                <w:noProof/>
                <w:webHidden/>
              </w:rPr>
              <w:tab/>
            </w:r>
            <w:r w:rsidR="0005636C">
              <w:rPr>
                <w:noProof/>
                <w:webHidden/>
              </w:rPr>
              <w:fldChar w:fldCharType="begin"/>
            </w:r>
            <w:r w:rsidR="0005636C">
              <w:rPr>
                <w:noProof/>
                <w:webHidden/>
              </w:rPr>
              <w:instrText xml:space="preserve"> PAGEREF _Toc130374255 \h </w:instrText>
            </w:r>
            <w:r w:rsidR="0005636C">
              <w:rPr>
                <w:noProof/>
                <w:webHidden/>
              </w:rPr>
            </w:r>
            <w:r w:rsidR="0005636C">
              <w:rPr>
                <w:noProof/>
                <w:webHidden/>
              </w:rPr>
              <w:fldChar w:fldCharType="separate"/>
            </w:r>
            <w:r w:rsidR="0005636C">
              <w:rPr>
                <w:noProof/>
                <w:webHidden/>
              </w:rPr>
              <w:t>6</w:t>
            </w:r>
            <w:r w:rsidR="0005636C">
              <w:rPr>
                <w:noProof/>
                <w:webHidden/>
              </w:rPr>
              <w:fldChar w:fldCharType="end"/>
            </w:r>
          </w:hyperlink>
        </w:p>
        <w:p w14:paraId="2177806A" w14:textId="6E99A63D" w:rsidR="0005636C" w:rsidRDefault="00094588">
          <w:pPr>
            <w:pStyle w:val="TOC3"/>
            <w:tabs>
              <w:tab w:val="left" w:pos="1320"/>
              <w:tab w:val="right" w:leader="dot" w:pos="9629"/>
            </w:tabs>
            <w:rPr>
              <w:rFonts w:asciiTheme="minorHAnsi" w:eastAsiaTheme="minorEastAsia" w:hAnsiTheme="minorHAnsi" w:cstheme="minorBidi"/>
              <w:noProof/>
              <w:szCs w:val="22"/>
              <w:lang w:eastAsia="en-AU"/>
            </w:rPr>
          </w:pPr>
          <w:hyperlink w:anchor="_Toc130374256" w:history="1">
            <w:r w:rsidR="0005636C" w:rsidRPr="00114FEA">
              <w:rPr>
                <w:rStyle w:val="Hyperlink"/>
                <w:noProof/>
              </w:rPr>
              <w:t>2.2.2</w:t>
            </w:r>
            <w:r w:rsidR="0005636C">
              <w:rPr>
                <w:rFonts w:asciiTheme="minorHAnsi" w:eastAsiaTheme="minorEastAsia" w:hAnsiTheme="minorHAnsi" w:cstheme="minorBidi"/>
                <w:noProof/>
                <w:szCs w:val="22"/>
                <w:lang w:eastAsia="en-AU"/>
              </w:rPr>
              <w:tab/>
            </w:r>
            <w:r w:rsidR="0005636C" w:rsidRPr="00114FEA">
              <w:rPr>
                <w:rStyle w:val="Hyperlink"/>
                <w:noProof/>
              </w:rPr>
              <w:t>Registering</w:t>
            </w:r>
            <w:r w:rsidR="0005636C" w:rsidRPr="00114FEA">
              <w:rPr>
                <w:rStyle w:val="Hyperlink"/>
                <w:noProof/>
                <w:spacing w:val="-7"/>
              </w:rPr>
              <w:t xml:space="preserve"> </w:t>
            </w:r>
            <w:r w:rsidR="0005636C" w:rsidRPr="00114FEA">
              <w:rPr>
                <w:rStyle w:val="Hyperlink"/>
                <w:noProof/>
                <w:spacing w:val="1"/>
              </w:rPr>
              <w:t>a</w:t>
            </w:r>
            <w:r w:rsidR="0005636C" w:rsidRPr="00114FEA">
              <w:rPr>
                <w:rStyle w:val="Hyperlink"/>
                <w:noProof/>
                <w:spacing w:val="-5"/>
              </w:rPr>
              <w:t xml:space="preserve"> </w:t>
            </w:r>
            <w:r w:rsidR="0005636C" w:rsidRPr="00114FEA">
              <w:rPr>
                <w:rStyle w:val="Hyperlink"/>
                <w:noProof/>
              </w:rPr>
              <w:t>complaint</w:t>
            </w:r>
            <w:r w:rsidR="0005636C">
              <w:rPr>
                <w:noProof/>
                <w:webHidden/>
              </w:rPr>
              <w:tab/>
            </w:r>
            <w:r w:rsidR="0005636C">
              <w:rPr>
                <w:noProof/>
                <w:webHidden/>
              </w:rPr>
              <w:fldChar w:fldCharType="begin"/>
            </w:r>
            <w:r w:rsidR="0005636C">
              <w:rPr>
                <w:noProof/>
                <w:webHidden/>
              </w:rPr>
              <w:instrText xml:space="preserve"> PAGEREF _Toc130374256 \h </w:instrText>
            </w:r>
            <w:r w:rsidR="0005636C">
              <w:rPr>
                <w:noProof/>
                <w:webHidden/>
              </w:rPr>
            </w:r>
            <w:r w:rsidR="0005636C">
              <w:rPr>
                <w:noProof/>
                <w:webHidden/>
              </w:rPr>
              <w:fldChar w:fldCharType="separate"/>
            </w:r>
            <w:r w:rsidR="0005636C">
              <w:rPr>
                <w:noProof/>
                <w:webHidden/>
              </w:rPr>
              <w:t>6</w:t>
            </w:r>
            <w:r w:rsidR="0005636C">
              <w:rPr>
                <w:noProof/>
                <w:webHidden/>
              </w:rPr>
              <w:fldChar w:fldCharType="end"/>
            </w:r>
          </w:hyperlink>
        </w:p>
        <w:p w14:paraId="00862593" w14:textId="748DD792" w:rsidR="0005636C" w:rsidRDefault="00094588">
          <w:pPr>
            <w:pStyle w:val="TOC3"/>
            <w:tabs>
              <w:tab w:val="right" w:leader="dot" w:pos="9629"/>
            </w:tabs>
            <w:rPr>
              <w:rFonts w:asciiTheme="minorHAnsi" w:eastAsiaTheme="minorEastAsia" w:hAnsiTheme="minorHAnsi" w:cstheme="minorBidi"/>
              <w:noProof/>
              <w:szCs w:val="22"/>
              <w:lang w:eastAsia="en-AU"/>
            </w:rPr>
          </w:pPr>
          <w:hyperlink w:anchor="_Toc130374257" w:history="1">
            <w:r w:rsidR="0005636C" w:rsidRPr="00114FEA">
              <w:rPr>
                <w:rStyle w:val="Hyperlink"/>
                <w:noProof/>
              </w:rPr>
              <w:t>2.2.3</w:t>
            </w:r>
            <w:r w:rsidR="00241F2C">
              <w:rPr>
                <w:rStyle w:val="Hyperlink"/>
                <w:noProof/>
              </w:rPr>
              <w:t xml:space="preserve">       </w:t>
            </w:r>
            <w:r w:rsidR="0005636C" w:rsidRPr="00114FEA">
              <w:rPr>
                <w:rStyle w:val="Hyperlink"/>
                <w:noProof/>
              </w:rPr>
              <w:t xml:space="preserve"> </w:t>
            </w:r>
            <w:r w:rsidR="00241F2C">
              <w:rPr>
                <w:rStyle w:val="Hyperlink"/>
                <w:noProof/>
              </w:rPr>
              <w:t xml:space="preserve"> </w:t>
            </w:r>
            <w:r w:rsidR="0005636C" w:rsidRPr="00114FEA">
              <w:rPr>
                <w:rStyle w:val="Hyperlink"/>
                <w:noProof/>
              </w:rPr>
              <w:t>Referral of complaint</w:t>
            </w:r>
            <w:r w:rsidR="0005636C">
              <w:rPr>
                <w:noProof/>
                <w:webHidden/>
              </w:rPr>
              <w:tab/>
            </w:r>
            <w:r w:rsidR="0005636C">
              <w:rPr>
                <w:noProof/>
                <w:webHidden/>
              </w:rPr>
              <w:fldChar w:fldCharType="begin"/>
            </w:r>
            <w:r w:rsidR="0005636C">
              <w:rPr>
                <w:noProof/>
                <w:webHidden/>
              </w:rPr>
              <w:instrText xml:space="preserve"> PAGEREF _Toc130374257 \h </w:instrText>
            </w:r>
            <w:r w:rsidR="0005636C">
              <w:rPr>
                <w:noProof/>
                <w:webHidden/>
              </w:rPr>
            </w:r>
            <w:r w:rsidR="0005636C">
              <w:rPr>
                <w:noProof/>
                <w:webHidden/>
              </w:rPr>
              <w:fldChar w:fldCharType="separate"/>
            </w:r>
            <w:r w:rsidR="0005636C">
              <w:rPr>
                <w:noProof/>
                <w:webHidden/>
              </w:rPr>
              <w:t>6</w:t>
            </w:r>
            <w:r w:rsidR="0005636C">
              <w:rPr>
                <w:noProof/>
                <w:webHidden/>
              </w:rPr>
              <w:fldChar w:fldCharType="end"/>
            </w:r>
          </w:hyperlink>
        </w:p>
        <w:p w14:paraId="355C1B52" w14:textId="16C2B2EA" w:rsidR="0005636C" w:rsidRDefault="00094588">
          <w:pPr>
            <w:pStyle w:val="TOC2"/>
            <w:tabs>
              <w:tab w:val="left" w:pos="880"/>
              <w:tab w:val="right" w:leader="dot" w:pos="9629"/>
            </w:tabs>
            <w:rPr>
              <w:rFonts w:asciiTheme="minorHAnsi" w:eastAsiaTheme="minorEastAsia" w:hAnsiTheme="minorHAnsi" w:cstheme="minorBidi"/>
              <w:noProof/>
              <w:szCs w:val="22"/>
              <w:lang w:eastAsia="en-AU"/>
            </w:rPr>
          </w:pPr>
          <w:hyperlink w:anchor="_Toc130374258" w:history="1">
            <w:r w:rsidR="0005636C" w:rsidRPr="00114FEA">
              <w:rPr>
                <w:rStyle w:val="Hyperlink"/>
                <w:noProof/>
              </w:rPr>
              <w:t>2.3</w:t>
            </w:r>
            <w:r w:rsidR="0005636C">
              <w:rPr>
                <w:rFonts w:asciiTheme="minorHAnsi" w:eastAsiaTheme="minorEastAsia" w:hAnsiTheme="minorHAnsi" w:cstheme="minorBidi"/>
                <w:noProof/>
                <w:szCs w:val="22"/>
                <w:lang w:eastAsia="en-AU"/>
              </w:rPr>
              <w:tab/>
            </w:r>
            <w:r w:rsidR="0005636C" w:rsidRPr="00114FEA">
              <w:rPr>
                <w:rStyle w:val="Hyperlink"/>
                <w:noProof/>
              </w:rPr>
              <w:t>Complaint Handling – Assessment and Response</w:t>
            </w:r>
            <w:r w:rsidR="0005636C">
              <w:rPr>
                <w:noProof/>
                <w:webHidden/>
              </w:rPr>
              <w:tab/>
            </w:r>
            <w:r w:rsidR="0005636C">
              <w:rPr>
                <w:noProof/>
                <w:webHidden/>
              </w:rPr>
              <w:fldChar w:fldCharType="begin"/>
            </w:r>
            <w:r w:rsidR="0005636C">
              <w:rPr>
                <w:noProof/>
                <w:webHidden/>
              </w:rPr>
              <w:instrText xml:space="preserve"> PAGEREF _Toc130374258 \h </w:instrText>
            </w:r>
            <w:r w:rsidR="0005636C">
              <w:rPr>
                <w:noProof/>
                <w:webHidden/>
              </w:rPr>
            </w:r>
            <w:r w:rsidR="0005636C">
              <w:rPr>
                <w:noProof/>
                <w:webHidden/>
              </w:rPr>
              <w:fldChar w:fldCharType="separate"/>
            </w:r>
            <w:r w:rsidR="0005636C">
              <w:rPr>
                <w:noProof/>
                <w:webHidden/>
              </w:rPr>
              <w:t>6</w:t>
            </w:r>
            <w:r w:rsidR="0005636C">
              <w:rPr>
                <w:noProof/>
                <w:webHidden/>
              </w:rPr>
              <w:fldChar w:fldCharType="end"/>
            </w:r>
          </w:hyperlink>
        </w:p>
        <w:p w14:paraId="2990E4FE" w14:textId="223A0954" w:rsidR="0005636C" w:rsidRDefault="00094588">
          <w:pPr>
            <w:pStyle w:val="TOC3"/>
            <w:tabs>
              <w:tab w:val="right" w:leader="dot" w:pos="9629"/>
            </w:tabs>
            <w:rPr>
              <w:rFonts w:asciiTheme="minorHAnsi" w:eastAsiaTheme="minorEastAsia" w:hAnsiTheme="minorHAnsi" w:cstheme="minorBidi"/>
              <w:noProof/>
              <w:szCs w:val="22"/>
              <w:lang w:eastAsia="en-AU"/>
            </w:rPr>
          </w:pPr>
          <w:hyperlink w:anchor="_Toc130374259" w:history="1">
            <w:r w:rsidR="0005636C" w:rsidRPr="00114FEA">
              <w:rPr>
                <w:rStyle w:val="Hyperlink"/>
                <w:noProof/>
              </w:rPr>
              <w:t xml:space="preserve">2.3.1 </w:t>
            </w:r>
            <w:r w:rsidR="00241F2C">
              <w:rPr>
                <w:rStyle w:val="Hyperlink"/>
                <w:noProof/>
              </w:rPr>
              <w:t xml:space="preserve">        </w:t>
            </w:r>
            <w:r w:rsidR="0005636C" w:rsidRPr="00114FEA">
              <w:rPr>
                <w:rStyle w:val="Hyperlink"/>
                <w:noProof/>
              </w:rPr>
              <w:t>General handling</w:t>
            </w:r>
            <w:r w:rsidR="0005636C">
              <w:rPr>
                <w:noProof/>
                <w:webHidden/>
              </w:rPr>
              <w:tab/>
            </w:r>
            <w:r w:rsidR="0005636C">
              <w:rPr>
                <w:noProof/>
                <w:webHidden/>
              </w:rPr>
              <w:fldChar w:fldCharType="begin"/>
            </w:r>
            <w:r w:rsidR="0005636C">
              <w:rPr>
                <w:noProof/>
                <w:webHidden/>
              </w:rPr>
              <w:instrText xml:space="preserve"> PAGEREF _Toc130374259 \h </w:instrText>
            </w:r>
            <w:r w:rsidR="0005636C">
              <w:rPr>
                <w:noProof/>
                <w:webHidden/>
              </w:rPr>
            </w:r>
            <w:r w:rsidR="0005636C">
              <w:rPr>
                <w:noProof/>
                <w:webHidden/>
              </w:rPr>
              <w:fldChar w:fldCharType="separate"/>
            </w:r>
            <w:r w:rsidR="0005636C">
              <w:rPr>
                <w:noProof/>
                <w:webHidden/>
              </w:rPr>
              <w:t>6</w:t>
            </w:r>
            <w:r w:rsidR="0005636C">
              <w:rPr>
                <w:noProof/>
                <w:webHidden/>
              </w:rPr>
              <w:fldChar w:fldCharType="end"/>
            </w:r>
          </w:hyperlink>
        </w:p>
        <w:p w14:paraId="36ADBF33" w14:textId="03DA2BB2" w:rsidR="0005636C" w:rsidRDefault="00094588">
          <w:pPr>
            <w:pStyle w:val="TOC3"/>
            <w:tabs>
              <w:tab w:val="left" w:pos="1320"/>
              <w:tab w:val="right" w:leader="dot" w:pos="9629"/>
            </w:tabs>
            <w:rPr>
              <w:rFonts w:asciiTheme="minorHAnsi" w:eastAsiaTheme="minorEastAsia" w:hAnsiTheme="minorHAnsi" w:cstheme="minorBidi"/>
              <w:noProof/>
              <w:szCs w:val="22"/>
              <w:lang w:eastAsia="en-AU"/>
            </w:rPr>
          </w:pPr>
          <w:hyperlink w:anchor="_Toc130374260" w:history="1">
            <w:r w:rsidR="0005636C" w:rsidRPr="00114FEA">
              <w:rPr>
                <w:rStyle w:val="Hyperlink"/>
                <w:noProof/>
              </w:rPr>
              <w:t>2.3.1.</w:t>
            </w:r>
            <w:r w:rsidR="0005636C">
              <w:rPr>
                <w:rFonts w:asciiTheme="minorHAnsi" w:eastAsiaTheme="minorEastAsia" w:hAnsiTheme="minorHAnsi" w:cstheme="minorBidi"/>
                <w:noProof/>
                <w:szCs w:val="22"/>
                <w:lang w:eastAsia="en-AU"/>
              </w:rPr>
              <w:tab/>
            </w:r>
            <w:r w:rsidR="0005636C" w:rsidRPr="00114FEA">
              <w:rPr>
                <w:rStyle w:val="Hyperlink"/>
                <w:noProof/>
              </w:rPr>
              <w:t>Assessment of the Complaint</w:t>
            </w:r>
            <w:r w:rsidR="0005636C">
              <w:rPr>
                <w:noProof/>
                <w:webHidden/>
              </w:rPr>
              <w:tab/>
            </w:r>
            <w:r w:rsidR="0005636C">
              <w:rPr>
                <w:noProof/>
                <w:webHidden/>
              </w:rPr>
              <w:fldChar w:fldCharType="begin"/>
            </w:r>
            <w:r w:rsidR="0005636C">
              <w:rPr>
                <w:noProof/>
                <w:webHidden/>
              </w:rPr>
              <w:instrText xml:space="preserve"> PAGEREF _Toc130374260 \h </w:instrText>
            </w:r>
            <w:r w:rsidR="0005636C">
              <w:rPr>
                <w:noProof/>
                <w:webHidden/>
              </w:rPr>
            </w:r>
            <w:r w:rsidR="0005636C">
              <w:rPr>
                <w:noProof/>
                <w:webHidden/>
              </w:rPr>
              <w:fldChar w:fldCharType="separate"/>
            </w:r>
            <w:r w:rsidR="0005636C">
              <w:rPr>
                <w:noProof/>
                <w:webHidden/>
              </w:rPr>
              <w:t>7</w:t>
            </w:r>
            <w:r w:rsidR="0005636C">
              <w:rPr>
                <w:noProof/>
                <w:webHidden/>
              </w:rPr>
              <w:fldChar w:fldCharType="end"/>
            </w:r>
          </w:hyperlink>
        </w:p>
        <w:p w14:paraId="428CDE55" w14:textId="537E195C" w:rsidR="0005636C" w:rsidRDefault="00094588">
          <w:pPr>
            <w:pStyle w:val="TOC3"/>
            <w:tabs>
              <w:tab w:val="left" w:pos="1320"/>
              <w:tab w:val="right" w:leader="dot" w:pos="9629"/>
            </w:tabs>
            <w:rPr>
              <w:rFonts w:asciiTheme="minorHAnsi" w:eastAsiaTheme="minorEastAsia" w:hAnsiTheme="minorHAnsi" w:cstheme="minorBidi"/>
              <w:noProof/>
              <w:szCs w:val="22"/>
              <w:lang w:eastAsia="en-AU"/>
            </w:rPr>
          </w:pPr>
          <w:hyperlink w:anchor="_Toc130374261" w:history="1">
            <w:r w:rsidR="0005636C" w:rsidRPr="00114FEA">
              <w:rPr>
                <w:rStyle w:val="Hyperlink"/>
                <w:noProof/>
              </w:rPr>
              <w:t>2.3.2</w:t>
            </w:r>
            <w:r w:rsidR="0005636C">
              <w:rPr>
                <w:rFonts w:asciiTheme="minorHAnsi" w:eastAsiaTheme="minorEastAsia" w:hAnsiTheme="minorHAnsi" w:cstheme="minorBidi"/>
                <w:noProof/>
                <w:szCs w:val="22"/>
                <w:lang w:eastAsia="en-AU"/>
              </w:rPr>
              <w:tab/>
            </w:r>
            <w:r w:rsidR="0005636C" w:rsidRPr="00114FEA">
              <w:rPr>
                <w:rStyle w:val="Hyperlink"/>
                <w:noProof/>
              </w:rPr>
              <w:t>Advising</w:t>
            </w:r>
            <w:r w:rsidR="0005636C" w:rsidRPr="00114FEA">
              <w:rPr>
                <w:rStyle w:val="Hyperlink"/>
                <w:noProof/>
                <w:spacing w:val="-5"/>
              </w:rPr>
              <w:t xml:space="preserve"> </w:t>
            </w:r>
            <w:r w:rsidR="0005636C" w:rsidRPr="00114FEA">
              <w:rPr>
                <w:rStyle w:val="Hyperlink"/>
                <w:noProof/>
              </w:rPr>
              <w:t>the</w:t>
            </w:r>
            <w:r w:rsidR="0005636C" w:rsidRPr="00114FEA">
              <w:rPr>
                <w:rStyle w:val="Hyperlink"/>
                <w:noProof/>
                <w:spacing w:val="-1"/>
              </w:rPr>
              <w:t xml:space="preserve"> </w:t>
            </w:r>
            <w:r w:rsidR="0005636C" w:rsidRPr="00114FEA">
              <w:rPr>
                <w:rStyle w:val="Hyperlink"/>
                <w:noProof/>
              </w:rPr>
              <w:t>outcome</w:t>
            </w:r>
            <w:r w:rsidR="0005636C" w:rsidRPr="00114FEA">
              <w:rPr>
                <w:rStyle w:val="Hyperlink"/>
                <w:noProof/>
                <w:spacing w:val="-3"/>
              </w:rPr>
              <w:t xml:space="preserve"> </w:t>
            </w:r>
            <w:r w:rsidR="0005636C" w:rsidRPr="00114FEA">
              <w:rPr>
                <w:rStyle w:val="Hyperlink"/>
                <w:noProof/>
                <w:spacing w:val="-1"/>
              </w:rPr>
              <w:t>and</w:t>
            </w:r>
            <w:r w:rsidR="0005636C" w:rsidRPr="00114FEA">
              <w:rPr>
                <w:rStyle w:val="Hyperlink"/>
                <w:noProof/>
                <w:spacing w:val="-3"/>
              </w:rPr>
              <w:t xml:space="preserve"> </w:t>
            </w:r>
            <w:r w:rsidR="0005636C" w:rsidRPr="00114FEA">
              <w:rPr>
                <w:rStyle w:val="Hyperlink"/>
                <w:noProof/>
              </w:rPr>
              <w:t>rights</w:t>
            </w:r>
            <w:r w:rsidR="0005636C" w:rsidRPr="00114FEA">
              <w:rPr>
                <w:rStyle w:val="Hyperlink"/>
                <w:noProof/>
                <w:spacing w:val="-1"/>
              </w:rPr>
              <w:t xml:space="preserve"> </w:t>
            </w:r>
            <w:r w:rsidR="0005636C" w:rsidRPr="00114FEA">
              <w:rPr>
                <w:rStyle w:val="Hyperlink"/>
                <w:noProof/>
              </w:rPr>
              <w:t>for review</w:t>
            </w:r>
            <w:r w:rsidR="0005636C">
              <w:rPr>
                <w:noProof/>
                <w:webHidden/>
              </w:rPr>
              <w:tab/>
            </w:r>
            <w:r w:rsidR="0005636C">
              <w:rPr>
                <w:noProof/>
                <w:webHidden/>
              </w:rPr>
              <w:fldChar w:fldCharType="begin"/>
            </w:r>
            <w:r w:rsidR="0005636C">
              <w:rPr>
                <w:noProof/>
                <w:webHidden/>
              </w:rPr>
              <w:instrText xml:space="preserve"> PAGEREF _Toc130374261 \h </w:instrText>
            </w:r>
            <w:r w:rsidR="0005636C">
              <w:rPr>
                <w:noProof/>
                <w:webHidden/>
              </w:rPr>
            </w:r>
            <w:r w:rsidR="0005636C">
              <w:rPr>
                <w:noProof/>
                <w:webHidden/>
              </w:rPr>
              <w:fldChar w:fldCharType="separate"/>
            </w:r>
            <w:r w:rsidR="0005636C">
              <w:rPr>
                <w:noProof/>
                <w:webHidden/>
              </w:rPr>
              <w:t>8</w:t>
            </w:r>
            <w:r w:rsidR="0005636C">
              <w:rPr>
                <w:noProof/>
                <w:webHidden/>
              </w:rPr>
              <w:fldChar w:fldCharType="end"/>
            </w:r>
          </w:hyperlink>
        </w:p>
        <w:p w14:paraId="313A3A19" w14:textId="592B376C" w:rsidR="0005636C" w:rsidRDefault="00094588">
          <w:pPr>
            <w:pStyle w:val="TOC2"/>
            <w:tabs>
              <w:tab w:val="left" w:pos="880"/>
              <w:tab w:val="right" w:leader="dot" w:pos="9629"/>
            </w:tabs>
            <w:rPr>
              <w:rFonts w:asciiTheme="minorHAnsi" w:eastAsiaTheme="minorEastAsia" w:hAnsiTheme="minorHAnsi" w:cstheme="minorBidi"/>
              <w:noProof/>
              <w:szCs w:val="22"/>
              <w:lang w:eastAsia="en-AU"/>
            </w:rPr>
          </w:pPr>
          <w:hyperlink w:anchor="_Toc130374262" w:history="1">
            <w:r w:rsidR="0005636C" w:rsidRPr="00114FEA">
              <w:rPr>
                <w:rStyle w:val="Hyperlink"/>
                <w:noProof/>
              </w:rPr>
              <w:t>2.4</w:t>
            </w:r>
            <w:r w:rsidR="0005636C">
              <w:rPr>
                <w:rFonts w:asciiTheme="minorHAnsi" w:eastAsiaTheme="minorEastAsia" w:hAnsiTheme="minorHAnsi" w:cstheme="minorBidi"/>
                <w:noProof/>
                <w:szCs w:val="22"/>
                <w:lang w:eastAsia="en-AU"/>
              </w:rPr>
              <w:tab/>
            </w:r>
            <w:r w:rsidR="0005636C" w:rsidRPr="00114FEA">
              <w:rPr>
                <w:rStyle w:val="Hyperlink"/>
                <w:noProof/>
              </w:rPr>
              <w:t>Closing the Complaint</w:t>
            </w:r>
            <w:r w:rsidR="0005636C">
              <w:rPr>
                <w:noProof/>
                <w:webHidden/>
              </w:rPr>
              <w:tab/>
            </w:r>
            <w:r w:rsidR="0005636C">
              <w:rPr>
                <w:noProof/>
                <w:webHidden/>
              </w:rPr>
              <w:fldChar w:fldCharType="begin"/>
            </w:r>
            <w:r w:rsidR="0005636C">
              <w:rPr>
                <w:noProof/>
                <w:webHidden/>
              </w:rPr>
              <w:instrText xml:space="preserve"> PAGEREF _Toc130374262 \h </w:instrText>
            </w:r>
            <w:r w:rsidR="0005636C">
              <w:rPr>
                <w:noProof/>
                <w:webHidden/>
              </w:rPr>
            </w:r>
            <w:r w:rsidR="0005636C">
              <w:rPr>
                <w:noProof/>
                <w:webHidden/>
              </w:rPr>
              <w:fldChar w:fldCharType="separate"/>
            </w:r>
            <w:r w:rsidR="0005636C">
              <w:rPr>
                <w:noProof/>
                <w:webHidden/>
              </w:rPr>
              <w:t>9</w:t>
            </w:r>
            <w:r w:rsidR="0005636C">
              <w:rPr>
                <w:noProof/>
                <w:webHidden/>
              </w:rPr>
              <w:fldChar w:fldCharType="end"/>
            </w:r>
          </w:hyperlink>
        </w:p>
        <w:p w14:paraId="21D3950B" w14:textId="707471A5" w:rsidR="0005636C" w:rsidRDefault="00094588">
          <w:pPr>
            <w:pStyle w:val="TOC2"/>
            <w:tabs>
              <w:tab w:val="right" w:leader="dot" w:pos="9629"/>
            </w:tabs>
            <w:rPr>
              <w:rFonts w:asciiTheme="minorHAnsi" w:eastAsiaTheme="minorEastAsia" w:hAnsiTheme="minorHAnsi" w:cstheme="minorBidi"/>
              <w:noProof/>
              <w:szCs w:val="22"/>
              <w:lang w:eastAsia="en-AU"/>
            </w:rPr>
          </w:pPr>
          <w:hyperlink w:anchor="_Toc130374263" w:history="1">
            <w:r w:rsidR="0005636C" w:rsidRPr="00114FEA">
              <w:rPr>
                <w:rStyle w:val="Hyperlink"/>
                <w:noProof/>
              </w:rPr>
              <w:t xml:space="preserve">2.5 </w:t>
            </w:r>
            <w:r w:rsidR="00241F2C">
              <w:rPr>
                <w:rStyle w:val="Hyperlink"/>
                <w:noProof/>
              </w:rPr>
              <w:t xml:space="preserve">       </w:t>
            </w:r>
            <w:r w:rsidR="0005636C" w:rsidRPr="00114FEA">
              <w:rPr>
                <w:rStyle w:val="Hyperlink"/>
                <w:noProof/>
              </w:rPr>
              <w:t>Reporting and analysis of lessons learned</w:t>
            </w:r>
            <w:r w:rsidR="0005636C">
              <w:rPr>
                <w:noProof/>
                <w:webHidden/>
              </w:rPr>
              <w:tab/>
            </w:r>
            <w:r w:rsidR="0005636C">
              <w:rPr>
                <w:noProof/>
                <w:webHidden/>
              </w:rPr>
              <w:fldChar w:fldCharType="begin"/>
            </w:r>
            <w:r w:rsidR="0005636C">
              <w:rPr>
                <w:noProof/>
                <w:webHidden/>
              </w:rPr>
              <w:instrText xml:space="preserve"> PAGEREF _Toc130374263 \h </w:instrText>
            </w:r>
            <w:r w:rsidR="0005636C">
              <w:rPr>
                <w:noProof/>
                <w:webHidden/>
              </w:rPr>
            </w:r>
            <w:r w:rsidR="0005636C">
              <w:rPr>
                <w:noProof/>
                <w:webHidden/>
              </w:rPr>
              <w:fldChar w:fldCharType="separate"/>
            </w:r>
            <w:r w:rsidR="0005636C">
              <w:rPr>
                <w:noProof/>
                <w:webHidden/>
              </w:rPr>
              <w:t>10</w:t>
            </w:r>
            <w:r w:rsidR="0005636C">
              <w:rPr>
                <w:noProof/>
                <w:webHidden/>
              </w:rPr>
              <w:fldChar w:fldCharType="end"/>
            </w:r>
          </w:hyperlink>
        </w:p>
        <w:p w14:paraId="4D09972B" w14:textId="21DD3706" w:rsidR="0005636C" w:rsidRDefault="00094588">
          <w:pPr>
            <w:pStyle w:val="TOC1"/>
            <w:tabs>
              <w:tab w:val="right" w:leader="dot" w:pos="9629"/>
            </w:tabs>
            <w:rPr>
              <w:rFonts w:asciiTheme="minorHAnsi" w:eastAsiaTheme="minorEastAsia" w:hAnsiTheme="minorHAnsi" w:cstheme="minorBidi"/>
              <w:noProof/>
              <w:szCs w:val="22"/>
              <w:lang w:eastAsia="en-AU"/>
            </w:rPr>
          </w:pPr>
          <w:hyperlink w:anchor="_Toc130374264" w:history="1">
            <w:r w:rsidR="0005636C" w:rsidRPr="00114FEA">
              <w:rPr>
                <w:rStyle w:val="Hyperlink"/>
                <w:noProof/>
              </w:rPr>
              <w:t>Definitions/Glossary</w:t>
            </w:r>
            <w:r w:rsidR="0005636C">
              <w:rPr>
                <w:noProof/>
                <w:webHidden/>
              </w:rPr>
              <w:tab/>
            </w:r>
            <w:r w:rsidR="0005636C">
              <w:rPr>
                <w:noProof/>
                <w:webHidden/>
              </w:rPr>
              <w:fldChar w:fldCharType="begin"/>
            </w:r>
            <w:r w:rsidR="0005636C">
              <w:rPr>
                <w:noProof/>
                <w:webHidden/>
              </w:rPr>
              <w:instrText xml:space="preserve"> PAGEREF _Toc130374264 \h </w:instrText>
            </w:r>
            <w:r w:rsidR="0005636C">
              <w:rPr>
                <w:noProof/>
                <w:webHidden/>
              </w:rPr>
            </w:r>
            <w:r w:rsidR="0005636C">
              <w:rPr>
                <w:noProof/>
                <w:webHidden/>
              </w:rPr>
              <w:fldChar w:fldCharType="separate"/>
            </w:r>
            <w:r w:rsidR="0005636C">
              <w:rPr>
                <w:noProof/>
                <w:webHidden/>
              </w:rPr>
              <w:t>10</w:t>
            </w:r>
            <w:r w:rsidR="0005636C">
              <w:rPr>
                <w:noProof/>
                <w:webHidden/>
              </w:rPr>
              <w:fldChar w:fldCharType="end"/>
            </w:r>
          </w:hyperlink>
        </w:p>
        <w:p w14:paraId="03F9341A" w14:textId="6E9A356B" w:rsidR="0005636C" w:rsidRDefault="00094588">
          <w:pPr>
            <w:pStyle w:val="TOC1"/>
            <w:tabs>
              <w:tab w:val="right" w:leader="dot" w:pos="9629"/>
            </w:tabs>
            <w:rPr>
              <w:rFonts w:asciiTheme="minorHAnsi" w:eastAsiaTheme="minorEastAsia" w:hAnsiTheme="minorHAnsi" w:cstheme="minorBidi"/>
              <w:noProof/>
              <w:szCs w:val="22"/>
              <w:lang w:eastAsia="en-AU"/>
            </w:rPr>
          </w:pPr>
          <w:hyperlink w:anchor="_Toc130374265" w:history="1">
            <w:r w:rsidR="0005636C" w:rsidRPr="00114FEA">
              <w:rPr>
                <w:rStyle w:val="Hyperlink"/>
                <w:noProof/>
              </w:rPr>
              <w:t>Attachment A – Complaints Handling Workflow</w:t>
            </w:r>
            <w:r w:rsidR="0005636C">
              <w:rPr>
                <w:noProof/>
                <w:webHidden/>
              </w:rPr>
              <w:tab/>
            </w:r>
            <w:r w:rsidR="0005636C">
              <w:rPr>
                <w:noProof/>
                <w:webHidden/>
              </w:rPr>
              <w:fldChar w:fldCharType="begin"/>
            </w:r>
            <w:r w:rsidR="0005636C">
              <w:rPr>
                <w:noProof/>
                <w:webHidden/>
              </w:rPr>
              <w:instrText xml:space="preserve"> PAGEREF _Toc130374265 \h </w:instrText>
            </w:r>
            <w:r w:rsidR="0005636C">
              <w:rPr>
                <w:noProof/>
                <w:webHidden/>
              </w:rPr>
            </w:r>
            <w:r w:rsidR="0005636C">
              <w:rPr>
                <w:noProof/>
                <w:webHidden/>
              </w:rPr>
              <w:fldChar w:fldCharType="separate"/>
            </w:r>
            <w:r w:rsidR="0005636C">
              <w:rPr>
                <w:noProof/>
                <w:webHidden/>
              </w:rPr>
              <w:t>11</w:t>
            </w:r>
            <w:r w:rsidR="0005636C">
              <w:rPr>
                <w:noProof/>
                <w:webHidden/>
              </w:rPr>
              <w:fldChar w:fldCharType="end"/>
            </w:r>
          </w:hyperlink>
        </w:p>
        <w:p w14:paraId="33BEF340" w14:textId="3F86B684" w:rsidR="000068FE" w:rsidRDefault="000068FE" w:rsidP="000068FE">
          <w:pPr>
            <w:sectPr w:rsidR="000068FE" w:rsidSect="001723F7">
              <w:type w:val="continuous"/>
              <w:pgSz w:w="11907" w:h="16840" w:code="9"/>
              <w:pgMar w:top="1134" w:right="1134" w:bottom="1702" w:left="1134" w:header="567" w:footer="254" w:gutter="0"/>
              <w:cols w:space="720"/>
              <w:docGrid w:linePitch="299"/>
            </w:sectPr>
          </w:pPr>
          <w:r>
            <w:rPr>
              <w:b/>
              <w:bCs/>
              <w:noProof/>
            </w:rPr>
            <w:fldChar w:fldCharType="end"/>
          </w:r>
        </w:p>
      </w:sdtContent>
    </w:sdt>
    <w:p w14:paraId="36A7EB4E" w14:textId="26E8BD6E" w:rsidR="003D3C80" w:rsidRDefault="003D3C80" w:rsidP="00C6673A">
      <w:pPr>
        <w:pStyle w:val="Heading1"/>
      </w:pPr>
      <w:bookmarkStart w:id="10" w:name="_Toc130374248"/>
      <w:r w:rsidRPr="00EF456E">
        <w:lastRenderedPageBreak/>
        <w:t>Introduction</w:t>
      </w:r>
      <w:bookmarkEnd w:id="10"/>
      <w:bookmarkEnd w:id="5"/>
    </w:p>
    <w:p w14:paraId="78264D1C" w14:textId="77777777" w:rsidR="00B11C29" w:rsidRDefault="00B11C29" w:rsidP="00B11C29">
      <w:bookmarkStart w:id="11" w:name="_Toc401240027"/>
      <w:bookmarkStart w:id="12" w:name="_Toc404852029"/>
      <w:bookmarkStart w:id="13" w:name="_Toc106719377"/>
      <w:r>
        <w:t>The Chief Minister, Treasury and Economic Development Directorate (CMTEDD) is committed to providing high quality, professional services, and policy advice to the ACT Government, and through it, to the people of Canberra.</w:t>
      </w:r>
    </w:p>
    <w:p w14:paraId="70691A71" w14:textId="77777777" w:rsidR="00B11C29" w:rsidRDefault="00B11C29" w:rsidP="00B11C29">
      <w:pPr>
        <w:spacing w:before="120" w:after="120"/>
      </w:pPr>
      <w:r>
        <w:t>CMTEDD considers compliments or complaints as a way of both assessing and improving our performance. We will respond to requests for advice, and prepare responses to all correspondence, in a courteous and timely manner.</w:t>
      </w:r>
    </w:p>
    <w:p w14:paraId="0B2847C8" w14:textId="77777777" w:rsidR="00B11C29" w:rsidRDefault="00B11C29" w:rsidP="00B11C29">
      <w:pPr>
        <w:pStyle w:val="Heading2"/>
        <w:numPr>
          <w:ilvl w:val="1"/>
          <w:numId w:val="44"/>
        </w:numPr>
        <w:tabs>
          <w:tab w:val="num" w:pos="1800"/>
        </w:tabs>
        <w:ind w:left="709" w:hanging="709"/>
      </w:pPr>
      <w:bookmarkStart w:id="14" w:name="_Toc130374249"/>
      <w:r>
        <w:t>Purpose</w:t>
      </w:r>
      <w:bookmarkEnd w:id="11"/>
      <w:bookmarkEnd w:id="12"/>
      <w:bookmarkEnd w:id="14"/>
    </w:p>
    <w:p w14:paraId="23567855" w14:textId="002F8945" w:rsidR="00B11C29" w:rsidRDefault="00B11C29" w:rsidP="00B11C29">
      <w:r>
        <w:t>The Complaints Handling Policy and Procedure document (this document) reflects CMTEDD’s commitment to providing an accessible and transparent complaint and feedback process. This document is designed to provide assurance for people who are interacting with CMTEDD that they will be treated fairly, and that all complaints</w:t>
      </w:r>
      <w:r w:rsidR="00F96326">
        <w:t xml:space="preserve"> and feedback</w:t>
      </w:r>
      <w:r>
        <w:t xml:space="preserve"> will be managed in accordance with the workflow at </w:t>
      </w:r>
      <w:r>
        <w:rPr>
          <w:b/>
          <w:bCs/>
        </w:rPr>
        <w:t>Attachment A</w:t>
      </w:r>
      <w:r>
        <w:t xml:space="preserve">. </w:t>
      </w:r>
    </w:p>
    <w:p w14:paraId="475322F4" w14:textId="77777777" w:rsidR="00B11C29" w:rsidRDefault="00B11C29" w:rsidP="00B11C29">
      <w:pPr>
        <w:pStyle w:val="Heading2"/>
      </w:pPr>
      <w:bookmarkStart w:id="15" w:name="_Toc404852030"/>
      <w:bookmarkStart w:id="16" w:name="_Toc130374250"/>
      <w:r>
        <w:t>1.2</w:t>
      </w:r>
      <w:r>
        <w:tab/>
        <w:t>Scope</w:t>
      </w:r>
      <w:bookmarkEnd w:id="15"/>
      <w:bookmarkEnd w:id="16"/>
    </w:p>
    <w:p w14:paraId="5B70CED2" w14:textId="77777777" w:rsidR="00B11C29" w:rsidRDefault="00B11C29" w:rsidP="00B11C29">
      <w:pPr>
        <w:rPr>
          <w:lang w:eastAsia="ja-JP"/>
        </w:rPr>
      </w:pPr>
      <w:r>
        <w:rPr>
          <w:lang w:eastAsia="ja-JP"/>
        </w:rPr>
        <w:t xml:space="preserve">This document applies to all complaints and positive or negative feedback from the public made to CMTEDD about our services or staff except for matters related to Access Canberra or ACT Revenue Office. </w:t>
      </w:r>
    </w:p>
    <w:p w14:paraId="23485166" w14:textId="77777777" w:rsidR="00B11C29" w:rsidRDefault="00B11C29" w:rsidP="00B11C29">
      <w:pPr>
        <w:pStyle w:val="Heading3"/>
        <w:rPr>
          <w:lang w:eastAsia="ja-JP"/>
        </w:rPr>
      </w:pPr>
      <w:bookmarkStart w:id="17" w:name="1.__About_JACS"/>
      <w:bookmarkStart w:id="18" w:name="4.__Our_Clients_and_Stakeholders"/>
      <w:bookmarkStart w:id="19" w:name="6.__Purpose"/>
      <w:bookmarkStart w:id="20" w:name="6.2__Who_is_a_Complainant?"/>
      <w:bookmarkStart w:id="21" w:name="7.__Complaints_JACS_Cannot_Investigate"/>
      <w:bookmarkStart w:id="22" w:name="7.1_What_outcome_are_you_seeking_to_achi"/>
      <w:bookmarkStart w:id="23" w:name="Complaint_Management_Procedures"/>
      <w:bookmarkStart w:id="24" w:name="_Toc130374251"/>
      <w:bookmarkStart w:id="25" w:name="_Toc404852031"/>
      <w:bookmarkEnd w:id="13"/>
      <w:bookmarkEnd w:id="17"/>
      <w:bookmarkEnd w:id="18"/>
      <w:bookmarkEnd w:id="19"/>
      <w:bookmarkEnd w:id="20"/>
      <w:bookmarkEnd w:id="21"/>
      <w:bookmarkEnd w:id="22"/>
      <w:bookmarkEnd w:id="23"/>
      <w:bookmarkEnd w:id="9"/>
      <w:bookmarkEnd w:id="8"/>
      <w:bookmarkEnd w:id="7"/>
      <w:bookmarkEnd w:id="6"/>
      <w:r>
        <w:rPr>
          <w:lang w:eastAsia="ja-JP"/>
        </w:rPr>
        <w:t>Out of scope</w:t>
      </w:r>
      <w:bookmarkEnd w:id="24"/>
    </w:p>
    <w:p w14:paraId="28678269" w14:textId="77777777" w:rsidR="00B11C29" w:rsidRDefault="00B11C29" w:rsidP="00B11C29">
      <w:r>
        <w:t>While all complaints and feedback will receive an acknowledgement of receipt, the following situations may require application of other processes particularly when:</w:t>
      </w:r>
    </w:p>
    <w:p w14:paraId="2602AD25" w14:textId="77777777" w:rsidR="00B11C29" w:rsidRDefault="00B11C29" w:rsidP="00B11C29">
      <w:pPr>
        <w:pStyle w:val="DotPoint"/>
        <w:numPr>
          <w:ilvl w:val="0"/>
          <w:numId w:val="45"/>
        </w:numPr>
        <w:rPr>
          <w:sz w:val="22"/>
          <w:szCs w:val="22"/>
        </w:rPr>
      </w:pPr>
      <w:r>
        <w:rPr>
          <w:spacing w:val="-6"/>
          <w:sz w:val="22"/>
          <w:szCs w:val="22"/>
        </w:rPr>
        <w:t xml:space="preserve">CMTEDD </w:t>
      </w:r>
      <w:r>
        <w:rPr>
          <w:sz w:val="22"/>
          <w:szCs w:val="22"/>
        </w:rPr>
        <w:t>is</w:t>
      </w:r>
      <w:r>
        <w:rPr>
          <w:spacing w:val="-6"/>
          <w:sz w:val="22"/>
          <w:szCs w:val="22"/>
        </w:rPr>
        <w:t xml:space="preserve"> </w:t>
      </w:r>
      <w:r>
        <w:rPr>
          <w:sz w:val="22"/>
          <w:szCs w:val="22"/>
        </w:rPr>
        <w:t>not</w:t>
      </w:r>
      <w:r>
        <w:rPr>
          <w:spacing w:val="-6"/>
          <w:sz w:val="22"/>
          <w:szCs w:val="22"/>
        </w:rPr>
        <w:t xml:space="preserve"> </w:t>
      </w:r>
      <w:r>
        <w:rPr>
          <w:sz w:val="22"/>
          <w:szCs w:val="22"/>
        </w:rPr>
        <w:t>responsible</w:t>
      </w:r>
      <w:r>
        <w:rPr>
          <w:spacing w:val="-6"/>
          <w:sz w:val="22"/>
          <w:szCs w:val="22"/>
        </w:rPr>
        <w:t xml:space="preserve"> </w:t>
      </w:r>
      <w:r>
        <w:rPr>
          <w:sz w:val="22"/>
          <w:szCs w:val="22"/>
        </w:rPr>
        <w:t>for</w:t>
      </w:r>
      <w:r>
        <w:rPr>
          <w:spacing w:val="-6"/>
          <w:sz w:val="22"/>
          <w:szCs w:val="22"/>
        </w:rPr>
        <w:t xml:space="preserve"> the </w:t>
      </w:r>
      <w:r>
        <w:rPr>
          <w:sz w:val="22"/>
          <w:szCs w:val="22"/>
        </w:rPr>
        <w:t>subject of</w:t>
      </w:r>
      <w:r>
        <w:rPr>
          <w:spacing w:val="-6"/>
          <w:sz w:val="22"/>
          <w:szCs w:val="22"/>
        </w:rPr>
        <w:t xml:space="preserve"> </w:t>
      </w:r>
      <w:r>
        <w:rPr>
          <w:sz w:val="22"/>
          <w:szCs w:val="22"/>
        </w:rPr>
        <w:t>the</w:t>
      </w:r>
      <w:r>
        <w:rPr>
          <w:spacing w:val="-6"/>
          <w:sz w:val="22"/>
          <w:szCs w:val="22"/>
        </w:rPr>
        <w:t xml:space="preserve"> </w:t>
      </w:r>
      <w:r>
        <w:rPr>
          <w:sz w:val="22"/>
          <w:szCs w:val="22"/>
        </w:rPr>
        <w:t>complaint (e.g., another Directorate is responsible).</w:t>
      </w:r>
    </w:p>
    <w:p w14:paraId="4FB9245B" w14:textId="77777777" w:rsidR="00B11C29" w:rsidRDefault="00B11C29" w:rsidP="00B11C29">
      <w:pPr>
        <w:pStyle w:val="DotPoint"/>
        <w:numPr>
          <w:ilvl w:val="0"/>
          <w:numId w:val="45"/>
        </w:numPr>
        <w:rPr>
          <w:sz w:val="22"/>
          <w:szCs w:val="22"/>
        </w:rPr>
      </w:pPr>
      <w:r>
        <w:rPr>
          <w:spacing w:val="-6"/>
          <w:sz w:val="22"/>
          <w:szCs w:val="22"/>
        </w:rPr>
        <w:t>The complaint is more</w:t>
      </w:r>
      <w:r>
        <w:rPr>
          <w:spacing w:val="-7"/>
          <w:sz w:val="22"/>
          <w:szCs w:val="22"/>
        </w:rPr>
        <w:t xml:space="preserve"> </w:t>
      </w:r>
      <w:r>
        <w:rPr>
          <w:sz w:val="22"/>
          <w:szCs w:val="22"/>
        </w:rPr>
        <w:t>appropriately</w:t>
      </w:r>
      <w:r>
        <w:rPr>
          <w:spacing w:val="-4"/>
          <w:sz w:val="22"/>
          <w:szCs w:val="22"/>
        </w:rPr>
        <w:t xml:space="preserve"> </w:t>
      </w:r>
      <w:r>
        <w:rPr>
          <w:sz w:val="22"/>
          <w:szCs w:val="22"/>
        </w:rPr>
        <w:t>investigated</w:t>
      </w:r>
      <w:r>
        <w:rPr>
          <w:spacing w:val="-5"/>
          <w:sz w:val="22"/>
          <w:szCs w:val="22"/>
        </w:rPr>
        <w:t xml:space="preserve"> </w:t>
      </w:r>
      <w:r>
        <w:rPr>
          <w:sz w:val="22"/>
          <w:szCs w:val="22"/>
        </w:rPr>
        <w:t>by</w:t>
      </w:r>
      <w:r>
        <w:rPr>
          <w:spacing w:val="-4"/>
          <w:sz w:val="22"/>
          <w:szCs w:val="22"/>
        </w:rPr>
        <w:t xml:space="preserve"> </w:t>
      </w:r>
      <w:r>
        <w:rPr>
          <w:sz w:val="22"/>
          <w:szCs w:val="22"/>
        </w:rPr>
        <w:t>another</w:t>
      </w:r>
      <w:r>
        <w:rPr>
          <w:spacing w:val="-6"/>
          <w:sz w:val="22"/>
          <w:szCs w:val="22"/>
        </w:rPr>
        <w:t xml:space="preserve"> </w:t>
      </w:r>
      <w:r>
        <w:rPr>
          <w:sz w:val="22"/>
          <w:szCs w:val="22"/>
        </w:rPr>
        <w:t>body</w:t>
      </w:r>
      <w:r>
        <w:rPr>
          <w:spacing w:val="-4"/>
          <w:sz w:val="22"/>
          <w:szCs w:val="22"/>
        </w:rPr>
        <w:t xml:space="preserve"> (e.g., </w:t>
      </w:r>
      <w:r>
        <w:rPr>
          <w:sz w:val="22"/>
          <w:szCs w:val="22"/>
        </w:rPr>
        <w:t>such</w:t>
      </w:r>
      <w:r>
        <w:rPr>
          <w:spacing w:val="-5"/>
          <w:sz w:val="22"/>
          <w:szCs w:val="22"/>
        </w:rPr>
        <w:t xml:space="preserve"> </w:t>
      </w:r>
      <w:r>
        <w:rPr>
          <w:sz w:val="22"/>
          <w:szCs w:val="22"/>
        </w:rPr>
        <w:t>as</w:t>
      </w:r>
      <w:r>
        <w:rPr>
          <w:spacing w:val="-6"/>
          <w:sz w:val="22"/>
          <w:szCs w:val="22"/>
        </w:rPr>
        <w:t xml:space="preserve"> </w:t>
      </w:r>
      <w:r>
        <w:rPr>
          <w:sz w:val="22"/>
          <w:szCs w:val="22"/>
        </w:rPr>
        <w:t>ACT</w:t>
      </w:r>
      <w:r>
        <w:rPr>
          <w:spacing w:val="-6"/>
          <w:sz w:val="22"/>
          <w:szCs w:val="22"/>
        </w:rPr>
        <w:t xml:space="preserve"> </w:t>
      </w:r>
      <w:r>
        <w:rPr>
          <w:sz w:val="22"/>
          <w:szCs w:val="22"/>
        </w:rPr>
        <w:t>Policing).</w:t>
      </w:r>
    </w:p>
    <w:p w14:paraId="0CB48E94" w14:textId="77777777" w:rsidR="00B11C29" w:rsidRDefault="00B11C29" w:rsidP="00B11C29">
      <w:pPr>
        <w:pStyle w:val="DotPoint"/>
        <w:numPr>
          <w:ilvl w:val="0"/>
          <w:numId w:val="45"/>
        </w:numPr>
        <w:rPr>
          <w:sz w:val="22"/>
          <w:szCs w:val="22"/>
        </w:rPr>
      </w:pPr>
      <w:r>
        <w:rPr>
          <w:sz w:val="22"/>
          <w:szCs w:val="22"/>
        </w:rPr>
        <w:t>The complaint relates to legislation that</w:t>
      </w:r>
      <w:r>
        <w:rPr>
          <w:spacing w:val="-7"/>
          <w:sz w:val="22"/>
          <w:szCs w:val="22"/>
        </w:rPr>
        <w:t xml:space="preserve"> </w:t>
      </w:r>
      <w:r>
        <w:rPr>
          <w:sz w:val="22"/>
          <w:szCs w:val="22"/>
        </w:rPr>
        <w:t>establishes</w:t>
      </w:r>
      <w:r>
        <w:rPr>
          <w:spacing w:val="-8"/>
          <w:sz w:val="22"/>
          <w:szCs w:val="22"/>
        </w:rPr>
        <w:t xml:space="preserve"> </w:t>
      </w:r>
      <w:r>
        <w:rPr>
          <w:sz w:val="22"/>
          <w:szCs w:val="22"/>
        </w:rPr>
        <w:t>a</w:t>
      </w:r>
      <w:r>
        <w:rPr>
          <w:spacing w:val="-6"/>
          <w:sz w:val="22"/>
          <w:szCs w:val="22"/>
        </w:rPr>
        <w:t xml:space="preserve"> </w:t>
      </w:r>
      <w:r>
        <w:rPr>
          <w:sz w:val="22"/>
          <w:szCs w:val="22"/>
        </w:rPr>
        <w:t>different</w:t>
      </w:r>
      <w:r>
        <w:rPr>
          <w:spacing w:val="-7"/>
          <w:sz w:val="22"/>
          <w:szCs w:val="22"/>
        </w:rPr>
        <w:t xml:space="preserve"> </w:t>
      </w:r>
      <w:r>
        <w:rPr>
          <w:sz w:val="22"/>
          <w:szCs w:val="22"/>
        </w:rPr>
        <w:t>mechanism</w:t>
      </w:r>
      <w:r>
        <w:rPr>
          <w:spacing w:val="-8"/>
          <w:sz w:val="22"/>
          <w:szCs w:val="22"/>
        </w:rPr>
        <w:t xml:space="preserve"> </w:t>
      </w:r>
      <w:r>
        <w:rPr>
          <w:sz w:val="22"/>
          <w:szCs w:val="22"/>
        </w:rPr>
        <w:t>for</w:t>
      </w:r>
      <w:r>
        <w:rPr>
          <w:spacing w:val="-7"/>
          <w:sz w:val="22"/>
          <w:szCs w:val="22"/>
        </w:rPr>
        <w:t xml:space="preserve"> </w:t>
      </w:r>
      <w:r>
        <w:rPr>
          <w:sz w:val="22"/>
          <w:szCs w:val="22"/>
        </w:rPr>
        <w:t>the</w:t>
      </w:r>
      <w:r>
        <w:rPr>
          <w:spacing w:val="-7"/>
          <w:sz w:val="22"/>
          <w:szCs w:val="22"/>
        </w:rPr>
        <w:t xml:space="preserve"> </w:t>
      </w:r>
      <w:r>
        <w:rPr>
          <w:sz w:val="22"/>
          <w:szCs w:val="22"/>
        </w:rPr>
        <w:t xml:space="preserve">resolution </w:t>
      </w:r>
      <w:r>
        <w:rPr>
          <w:sz w:val="22"/>
          <w:szCs w:val="22"/>
          <w:lang w:eastAsia="ja-JP"/>
        </w:rPr>
        <w:t xml:space="preserve">(e.g., employment related matters and </w:t>
      </w:r>
      <w:r>
        <w:rPr>
          <w:rStyle w:val="QuoteChar"/>
          <w:sz w:val="22"/>
          <w:szCs w:val="22"/>
        </w:rPr>
        <w:t>Public Interest Disclosures</w:t>
      </w:r>
      <w:r>
        <w:rPr>
          <w:sz w:val="22"/>
          <w:szCs w:val="22"/>
          <w:lang w:eastAsia="ja-JP"/>
        </w:rPr>
        <w:t>).</w:t>
      </w:r>
    </w:p>
    <w:p w14:paraId="05CE7D3D" w14:textId="77777777" w:rsidR="00B11C29" w:rsidRDefault="00B11C29" w:rsidP="00B11C29">
      <w:pPr>
        <w:pStyle w:val="Heading4"/>
      </w:pPr>
      <w:r>
        <w:t>Access Canberra matters</w:t>
      </w:r>
    </w:p>
    <w:p w14:paraId="5DA74CD9" w14:textId="77777777" w:rsidR="00B11C29" w:rsidRDefault="00B11C29" w:rsidP="00B11C29">
      <w:r>
        <w:t xml:space="preserve">For feedback and complaints process and policy for Access Canberra, please visit </w:t>
      </w:r>
      <w:hyperlink r:id="rId18" w:history="1">
        <w:r>
          <w:rPr>
            <w:rStyle w:val="Hyperlink"/>
          </w:rPr>
          <w:t>https://www.accesscanberra.act.gov.au/s/feedback-and-complaints</w:t>
        </w:r>
      </w:hyperlink>
      <w:r>
        <w:t xml:space="preserve">. </w:t>
      </w:r>
    </w:p>
    <w:p w14:paraId="763C09CE" w14:textId="77777777" w:rsidR="00B11C29" w:rsidRDefault="00B11C29" w:rsidP="00B11C29">
      <w:pPr>
        <w:pStyle w:val="Heading4"/>
      </w:pPr>
      <w:r>
        <w:t>ACT Revenue Office matters</w:t>
      </w:r>
    </w:p>
    <w:p w14:paraId="78511007" w14:textId="0EFA7675" w:rsidR="00B11C29" w:rsidRDefault="00B11C29" w:rsidP="00B11C29">
      <w:pPr>
        <w:rPr>
          <w:szCs w:val="22"/>
        </w:rPr>
      </w:pPr>
      <w:r>
        <w:rPr>
          <w:szCs w:val="22"/>
        </w:rPr>
        <w:t xml:space="preserve">For feedback or complaints process and policy related to ACT Revenue Office, please visit </w:t>
      </w:r>
      <w:hyperlink r:id="rId19" w:history="1">
        <w:r>
          <w:rPr>
            <w:rStyle w:val="Hyperlink"/>
            <w:szCs w:val="22"/>
          </w:rPr>
          <w:t>https://www.revenue.act.gov.au/contact-us</w:t>
        </w:r>
      </w:hyperlink>
      <w:r>
        <w:rPr>
          <w:rStyle w:val="Hyperlink"/>
          <w:szCs w:val="22"/>
        </w:rPr>
        <w:t>.</w:t>
      </w:r>
      <w:r>
        <w:rPr>
          <w:szCs w:val="22"/>
        </w:rPr>
        <w:t xml:space="preserve"> </w:t>
      </w:r>
    </w:p>
    <w:p w14:paraId="5D389F1F" w14:textId="77777777" w:rsidR="00B11C29" w:rsidRDefault="00B11C29" w:rsidP="00B11C29">
      <w:pPr>
        <w:pStyle w:val="Heading4"/>
      </w:pPr>
      <w:r>
        <w:t>CMTEDD employment-related matters</w:t>
      </w:r>
    </w:p>
    <w:p w14:paraId="603D5E92" w14:textId="3BF96694" w:rsidR="00B11C29" w:rsidRDefault="00B11C29" w:rsidP="00B11C29">
      <w:pPr>
        <w:pStyle w:val="DotPoint"/>
        <w:numPr>
          <w:ilvl w:val="0"/>
          <w:numId w:val="0"/>
        </w:numPr>
        <w:rPr>
          <w:rFonts w:asciiTheme="minorHAnsi" w:hAnsiTheme="minorHAnsi" w:cstheme="minorHAnsi"/>
          <w:sz w:val="22"/>
          <w:szCs w:val="22"/>
        </w:rPr>
      </w:pPr>
      <w:r>
        <w:rPr>
          <w:rFonts w:asciiTheme="minorHAnsi" w:hAnsiTheme="minorHAnsi" w:cstheme="minorHAnsi"/>
          <w:sz w:val="22"/>
          <w:szCs w:val="22"/>
        </w:rPr>
        <w:t xml:space="preserve">Allegations of staff misconduct or wrongdoing and other employment related matters should be sent to </w:t>
      </w:r>
      <w:hyperlink r:id="rId20" w:history="1">
        <w:r>
          <w:rPr>
            <w:rStyle w:val="Hyperlink"/>
            <w:rFonts w:asciiTheme="minorHAnsi" w:hAnsiTheme="minorHAnsi" w:cstheme="minorHAnsi"/>
            <w:color w:val="0070AF"/>
            <w:sz w:val="22"/>
            <w:szCs w:val="22"/>
            <w:shd w:val="clear" w:color="auto" w:fill="FFFFFF"/>
          </w:rPr>
          <w:t>CMTEDDPeopleandCapability@act.gov.au</w:t>
        </w:r>
      </w:hyperlink>
      <w:r>
        <w:rPr>
          <w:rFonts w:asciiTheme="minorHAnsi" w:hAnsiTheme="minorHAnsi" w:cstheme="minorHAnsi"/>
          <w:sz w:val="22"/>
          <w:szCs w:val="22"/>
        </w:rPr>
        <w:t xml:space="preserve"> and will be handled according to the relevant Enterprise Agreement and Public Sector Management Act and Standards and ACT Public Service Misconduct Guidelines and any relevant administrative policy.</w:t>
      </w:r>
    </w:p>
    <w:p w14:paraId="69E1081E" w14:textId="79014442" w:rsidR="00B11C29" w:rsidRDefault="00B11C29" w:rsidP="00B11C29">
      <w:pPr>
        <w:pStyle w:val="DotPoint"/>
        <w:numPr>
          <w:ilvl w:val="0"/>
          <w:numId w:val="0"/>
        </w:numPr>
        <w:rPr>
          <w:rFonts w:asciiTheme="minorHAnsi" w:hAnsiTheme="minorHAnsi" w:cstheme="minorHAnsi"/>
          <w:sz w:val="22"/>
          <w:szCs w:val="22"/>
        </w:rPr>
      </w:pPr>
    </w:p>
    <w:p w14:paraId="4A7965D7" w14:textId="77777777" w:rsidR="00B11C29" w:rsidRDefault="00B11C29" w:rsidP="00B11C29">
      <w:pPr>
        <w:pStyle w:val="Heading4"/>
      </w:pPr>
      <w:r>
        <w:lastRenderedPageBreak/>
        <w:t>Public Interest Disclosures</w:t>
      </w:r>
    </w:p>
    <w:p w14:paraId="2E44CFC2" w14:textId="77777777" w:rsidR="00B11C29" w:rsidRDefault="00B11C29" w:rsidP="00B11C29">
      <w:r>
        <w:t xml:space="preserve">Some complaints should be considered a Public Interest Disclosure and immediately forwarded to a CMTEDD Disclosure Officer for consideration in accordance with CMTEDD’s Public Interest Disclosure Procedures. </w:t>
      </w:r>
    </w:p>
    <w:p w14:paraId="20E31979" w14:textId="77777777" w:rsidR="00B11C29" w:rsidRDefault="00B11C29" w:rsidP="00B11C29">
      <w:r>
        <w:t>Types of activity by an ACT Public Sector employee or entity that may be considered for Public Interest disclosure include:</w:t>
      </w:r>
    </w:p>
    <w:p w14:paraId="4355022F" w14:textId="77777777" w:rsidR="00B11C29" w:rsidRDefault="00B11C29" w:rsidP="00B11C29">
      <w:pPr>
        <w:pStyle w:val="DotPoint"/>
        <w:numPr>
          <w:ilvl w:val="0"/>
          <w:numId w:val="45"/>
        </w:numPr>
        <w:rPr>
          <w:sz w:val="22"/>
          <w:szCs w:val="22"/>
        </w:rPr>
      </w:pPr>
      <w:r>
        <w:rPr>
          <w:sz w:val="22"/>
          <w:szCs w:val="22"/>
        </w:rPr>
        <w:t>illegal activities,</w:t>
      </w:r>
    </w:p>
    <w:p w14:paraId="2F41AD00" w14:textId="77777777" w:rsidR="00B11C29" w:rsidRDefault="00B11C29" w:rsidP="00B11C29">
      <w:pPr>
        <w:pStyle w:val="DotPoint"/>
        <w:numPr>
          <w:ilvl w:val="0"/>
          <w:numId w:val="45"/>
        </w:numPr>
        <w:rPr>
          <w:sz w:val="22"/>
          <w:szCs w:val="22"/>
        </w:rPr>
      </w:pPr>
      <w:r>
        <w:rPr>
          <w:sz w:val="22"/>
          <w:szCs w:val="22"/>
        </w:rPr>
        <w:t>misuse or waste of public money or resources,</w:t>
      </w:r>
    </w:p>
    <w:p w14:paraId="0596B05F" w14:textId="77777777" w:rsidR="00B11C29" w:rsidRDefault="00B11C29" w:rsidP="00B11C29">
      <w:pPr>
        <w:pStyle w:val="DotPoint"/>
        <w:numPr>
          <w:ilvl w:val="0"/>
          <w:numId w:val="45"/>
        </w:numPr>
        <w:rPr>
          <w:sz w:val="22"/>
          <w:szCs w:val="22"/>
        </w:rPr>
      </w:pPr>
      <w:r>
        <w:rPr>
          <w:sz w:val="22"/>
          <w:szCs w:val="22"/>
        </w:rPr>
        <w:t>misconduct,</w:t>
      </w:r>
    </w:p>
    <w:p w14:paraId="00F8D80D" w14:textId="77777777" w:rsidR="00B11C29" w:rsidRDefault="00B11C29" w:rsidP="00B11C29">
      <w:pPr>
        <w:pStyle w:val="DotPoint"/>
        <w:numPr>
          <w:ilvl w:val="0"/>
          <w:numId w:val="45"/>
        </w:numPr>
        <w:rPr>
          <w:sz w:val="22"/>
          <w:szCs w:val="22"/>
        </w:rPr>
      </w:pPr>
      <w:r>
        <w:rPr>
          <w:sz w:val="22"/>
          <w:szCs w:val="22"/>
        </w:rPr>
        <w:t>maladministration,</w:t>
      </w:r>
    </w:p>
    <w:p w14:paraId="65850C4A" w14:textId="77777777" w:rsidR="00B11C29" w:rsidRDefault="00B11C29" w:rsidP="00B11C29">
      <w:pPr>
        <w:pStyle w:val="DotPoint"/>
        <w:numPr>
          <w:ilvl w:val="0"/>
          <w:numId w:val="45"/>
        </w:numPr>
        <w:rPr>
          <w:sz w:val="22"/>
          <w:szCs w:val="22"/>
        </w:rPr>
      </w:pPr>
      <w:r>
        <w:rPr>
          <w:sz w:val="22"/>
          <w:szCs w:val="22"/>
        </w:rPr>
        <w:t>a danger to the health or safety of the public, or</w:t>
      </w:r>
    </w:p>
    <w:p w14:paraId="3C355B1C" w14:textId="77777777" w:rsidR="00B11C29" w:rsidRDefault="00B11C29" w:rsidP="00B11C29">
      <w:pPr>
        <w:pStyle w:val="DotPoint"/>
        <w:numPr>
          <w:ilvl w:val="0"/>
          <w:numId w:val="45"/>
        </w:numPr>
        <w:spacing w:after="120"/>
        <w:ind w:left="357" w:hanging="357"/>
        <w:rPr>
          <w:sz w:val="22"/>
          <w:szCs w:val="22"/>
        </w:rPr>
      </w:pPr>
      <w:r>
        <w:rPr>
          <w:sz w:val="22"/>
          <w:szCs w:val="22"/>
        </w:rPr>
        <w:t>a substantial and specific danger to the environment.</w:t>
      </w:r>
    </w:p>
    <w:p w14:paraId="65F51983" w14:textId="77777777" w:rsidR="00B11C29" w:rsidRDefault="00B11C29" w:rsidP="00B11C29">
      <w:pPr>
        <w:pStyle w:val="DotPoint"/>
        <w:numPr>
          <w:ilvl w:val="0"/>
          <w:numId w:val="0"/>
        </w:numPr>
        <w:spacing w:before="120" w:after="120"/>
        <w:rPr>
          <w:i/>
          <w:iCs/>
          <w:color w:val="0563C1" w:themeColor="hyperlink"/>
          <w:sz w:val="22"/>
          <w:szCs w:val="22"/>
          <w:u w:val="single"/>
        </w:rPr>
      </w:pPr>
      <w:r>
        <w:rPr>
          <w:sz w:val="22"/>
          <w:szCs w:val="22"/>
        </w:rPr>
        <w:t xml:space="preserve">Refer </w:t>
      </w:r>
      <w:hyperlink r:id="rId21" w:history="1">
        <w:r>
          <w:rPr>
            <w:rStyle w:val="Hyperlink"/>
            <w:i/>
            <w:iCs/>
            <w:sz w:val="22"/>
            <w:szCs w:val="22"/>
          </w:rPr>
          <w:t>Public Interest Disclosure (Integrity Commission – Managing Disclosures and Conducting Investigations) Guidelines 2021</w:t>
        </w:r>
      </w:hyperlink>
      <w:r>
        <w:rPr>
          <w:sz w:val="22"/>
          <w:szCs w:val="22"/>
          <w:lang w:eastAsia="en-US"/>
        </w:rPr>
        <w:t xml:space="preserve"> and </w:t>
      </w:r>
      <w:hyperlink r:id="rId22" w:history="1">
        <w:r>
          <w:rPr>
            <w:rStyle w:val="Hyperlink"/>
            <w:i/>
            <w:iCs/>
            <w:sz w:val="22"/>
            <w:szCs w:val="22"/>
            <w:lang w:eastAsia="en-US"/>
          </w:rPr>
          <w:t>CMTEDD Public Interest Disclosure Factsheet – January 2022</w:t>
        </w:r>
      </w:hyperlink>
      <w:r>
        <w:rPr>
          <w:sz w:val="22"/>
          <w:szCs w:val="22"/>
          <w:lang w:eastAsia="en-US"/>
        </w:rPr>
        <w:t xml:space="preserve"> for more information on Public Interest Disclosures.</w:t>
      </w:r>
    </w:p>
    <w:p w14:paraId="06E0965A" w14:textId="77777777" w:rsidR="00B11C29" w:rsidRDefault="00B11C29" w:rsidP="00B11C29">
      <w:pPr>
        <w:spacing w:before="0" w:after="0" w:line="240" w:lineRule="auto"/>
        <w:rPr>
          <w:i/>
          <w:iCs/>
          <w:color w:val="0563C1" w:themeColor="hyperlink"/>
          <w:szCs w:val="22"/>
          <w:u w:val="single"/>
          <w:lang w:eastAsia="en-AU"/>
        </w:rPr>
        <w:sectPr w:rsidR="00B11C29">
          <w:pgSz w:w="11907" w:h="16840"/>
          <w:pgMar w:top="1134" w:right="1134" w:bottom="1702" w:left="1134" w:header="567" w:footer="254" w:gutter="0"/>
          <w:cols w:space="720"/>
        </w:sectPr>
      </w:pPr>
    </w:p>
    <w:p w14:paraId="4781C627" w14:textId="4C65AA74" w:rsidR="003D3C80" w:rsidRDefault="003D3C80" w:rsidP="00C6673A">
      <w:pPr>
        <w:pStyle w:val="Heading1"/>
        <w:rPr>
          <w:bCs/>
        </w:rPr>
      </w:pPr>
      <w:bookmarkStart w:id="26" w:name="_Toc130374252"/>
      <w:r>
        <w:lastRenderedPageBreak/>
        <w:t>Complaint Management</w:t>
      </w:r>
      <w:r>
        <w:rPr>
          <w:spacing w:val="-3"/>
        </w:rPr>
        <w:t xml:space="preserve"> </w:t>
      </w:r>
      <w:r>
        <w:t>Procedures</w:t>
      </w:r>
      <w:bookmarkEnd w:id="25"/>
      <w:bookmarkEnd w:id="26"/>
    </w:p>
    <w:p w14:paraId="589BA999" w14:textId="2F9BC052" w:rsidR="003D3C80" w:rsidRPr="001F72E1" w:rsidRDefault="003D3C80" w:rsidP="003D3C80">
      <w:pPr>
        <w:pStyle w:val="Heading2"/>
      </w:pPr>
      <w:bookmarkStart w:id="27" w:name="8.__Making_a_Complaint,_an_Allegation_or"/>
      <w:bookmarkStart w:id="28" w:name="_Toc404852032"/>
      <w:bookmarkStart w:id="29" w:name="_Toc130374253"/>
      <w:bookmarkEnd w:id="27"/>
      <w:r>
        <w:t>2</w:t>
      </w:r>
      <w:r w:rsidRPr="001F72E1">
        <w:t>.</w:t>
      </w:r>
      <w:r>
        <w:t>1</w:t>
      </w:r>
      <w:r>
        <w:tab/>
      </w:r>
      <w:r w:rsidRPr="001F72E1">
        <w:t>Making a Complaint,</w:t>
      </w:r>
      <w:r w:rsidR="00E63BF3">
        <w:t xml:space="preserve"> or </w:t>
      </w:r>
      <w:r w:rsidRPr="001F72E1">
        <w:t>Raising a Concern</w:t>
      </w:r>
      <w:bookmarkEnd w:id="28"/>
      <w:bookmarkEnd w:id="29"/>
    </w:p>
    <w:p w14:paraId="512F8679" w14:textId="77777777" w:rsidR="00B11C29" w:rsidRDefault="00B11C29" w:rsidP="00B11C29">
      <w:pPr>
        <w:pStyle w:val="Heading4"/>
      </w:pPr>
      <w:r>
        <w:t>Where to make a complaint</w:t>
      </w:r>
    </w:p>
    <w:p w14:paraId="2746BD5B" w14:textId="77777777" w:rsidR="00B11C29" w:rsidRDefault="00B11C29" w:rsidP="00B11C29">
      <w:pPr>
        <w:rPr>
          <w:color w:val="0563C1" w:themeColor="hyperlink"/>
          <w:u w:val="single"/>
          <w:lang w:eastAsia="ja-JP"/>
        </w:rPr>
      </w:pPr>
      <w:r>
        <w:t xml:space="preserve">Complaints can be made via email, mail, or in person. </w:t>
      </w:r>
      <w:r>
        <w:rPr>
          <w:lang w:eastAsia="ja-JP"/>
        </w:rPr>
        <w:t xml:space="preserve">It is recommended that members of the public send their complaints and feedback about CMTEDD to the </w:t>
      </w:r>
      <w:hyperlink r:id="rId23" w:history="1">
        <w:r>
          <w:rPr>
            <w:rStyle w:val="Hyperlink"/>
            <w:lang w:eastAsia="ja-JP"/>
          </w:rPr>
          <w:t>CMTEDD Complaints inbox</w:t>
        </w:r>
      </w:hyperlink>
      <w:r>
        <w:rPr>
          <w:rStyle w:val="Hyperlink"/>
          <w:lang w:eastAsia="ja-JP"/>
        </w:rPr>
        <w:t xml:space="preserve">. </w:t>
      </w:r>
      <w:r>
        <w:t xml:space="preserve">  Alternatively, complaints, allegations or concerns can be mailed to CMTEDD’s postal address below or may be made by any member of the public one to any employee of CMTEDD. Any CMTEDD employee who receives notice of a complaint and should pass that complaint to the CMTEDD Complaints Manager.</w:t>
      </w:r>
    </w:p>
    <w:p w14:paraId="1A79271F"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rPr>
          <w:b/>
          <w:bCs/>
        </w:rPr>
      </w:pPr>
      <w:r>
        <w:rPr>
          <w:b/>
          <w:bCs/>
        </w:rPr>
        <w:t>Contact options</w:t>
      </w:r>
    </w:p>
    <w:p w14:paraId="34DE90C7" w14:textId="51D0008A"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rPr>
          <w:b/>
          <w:bCs/>
        </w:rPr>
      </w:pPr>
      <w:r>
        <w:rPr>
          <w:b/>
          <w:bCs/>
        </w:rPr>
        <w:t xml:space="preserve">Email (preferred): </w:t>
      </w:r>
      <w:hyperlink r:id="rId24" w:history="1">
        <w:r>
          <w:rPr>
            <w:rStyle w:val="Hyperlink"/>
            <w:b/>
            <w:bCs/>
          </w:rPr>
          <w:t>CMTEDDComplaints@act.gov.au</w:t>
        </w:r>
      </w:hyperlink>
      <w:r>
        <w:rPr>
          <w:b/>
          <w:bCs/>
        </w:rPr>
        <w:t xml:space="preserve">. This inbox is monitored daily by the CMTEDD Complaints Manager, and all correspondence will be acknowledged within two working days of receipt. </w:t>
      </w:r>
    </w:p>
    <w:p w14:paraId="5964E4D4"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rPr>
          <w:b/>
          <w:bCs/>
        </w:rPr>
      </w:pPr>
      <w:r>
        <w:rPr>
          <w:b/>
          <w:bCs/>
        </w:rPr>
        <w:t>Post:</w:t>
      </w:r>
    </w:p>
    <w:p w14:paraId="0EAB7E3F"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spacing w:line="240" w:lineRule="auto"/>
        <w:ind w:firstLine="720"/>
        <w:rPr>
          <w:b/>
          <w:bCs/>
        </w:rPr>
      </w:pPr>
      <w:r>
        <w:rPr>
          <w:b/>
          <w:bCs/>
        </w:rPr>
        <w:t>The CMTEDD Complaints Manager</w:t>
      </w:r>
    </w:p>
    <w:p w14:paraId="6416F992"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spacing w:line="240" w:lineRule="auto"/>
        <w:ind w:firstLine="720"/>
        <w:rPr>
          <w:b/>
          <w:bCs/>
        </w:rPr>
      </w:pPr>
      <w:r>
        <w:rPr>
          <w:b/>
          <w:bCs/>
        </w:rPr>
        <w:t>CMTEDD Corporate</w:t>
      </w:r>
    </w:p>
    <w:p w14:paraId="60714934"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spacing w:line="240" w:lineRule="auto"/>
        <w:ind w:firstLine="720"/>
        <w:rPr>
          <w:b/>
          <w:bCs/>
        </w:rPr>
      </w:pPr>
      <w:r>
        <w:rPr>
          <w:b/>
          <w:bCs/>
        </w:rPr>
        <w:t>220 London Circuit</w:t>
      </w:r>
    </w:p>
    <w:p w14:paraId="751230B2"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spacing w:line="240" w:lineRule="auto"/>
        <w:ind w:firstLine="720"/>
        <w:rPr>
          <w:b/>
          <w:bCs/>
        </w:rPr>
      </w:pPr>
      <w:r>
        <w:rPr>
          <w:b/>
          <w:bCs/>
        </w:rPr>
        <w:t>GPO Box 158</w:t>
      </w:r>
    </w:p>
    <w:p w14:paraId="55E31094"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spacing w:line="240" w:lineRule="auto"/>
        <w:ind w:firstLine="720"/>
        <w:rPr>
          <w:b/>
          <w:bCs/>
        </w:rPr>
      </w:pPr>
      <w:r>
        <w:rPr>
          <w:b/>
          <w:bCs/>
        </w:rPr>
        <w:t>ACT 2601</w:t>
      </w:r>
    </w:p>
    <w:p w14:paraId="02FFD79C" w14:textId="77777777" w:rsidR="00B11C29" w:rsidRDefault="00B11C29" w:rsidP="00B11C29">
      <w:pPr>
        <w:pBdr>
          <w:top w:val="single" w:sz="18" w:space="1" w:color="7030A0"/>
          <w:left w:val="single" w:sz="18" w:space="4" w:color="7030A0"/>
          <w:bottom w:val="single" w:sz="18" w:space="1" w:color="7030A0"/>
          <w:right w:val="single" w:sz="18" w:space="4" w:color="7030A0"/>
        </w:pBdr>
        <w:shd w:val="clear" w:color="auto" w:fill="FFFFFF" w:themeFill="background1"/>
        <w:spacing w:line="240" w:lineRule="auto"/>
        <w:rPr>
          <w:b/>
          <w:bCs/>
        </w:rPr>
      </w:pPr>
      <w:r>
        <w:rPr>
          <w:b/>
          <w:bCs/>
        </w:rPr>
        <w:t>To an individual employee: refer to the ACT Government Directory (www.directory.act.gov.au)</w:t>
      </w:r>
    </w:p>
    <w:p w14:paraId="7263AB62" w14:textId="77777777" w:rsidR="00B11C29" w:rsidRDefault="00B11C29" w:rsidP="00B11C29">
      <w:pPr>
        <w:pStyle w:val="Heading4"/>
      </w:pPr>
      <w:bookmarkStart w:id="30" w:name="_Toc106719380"/>
      <w:r>
        <w:t>Content of complaint</w:t>
      </w:r>
    </w:p>
    <w:p w14:paraId="74B2BF71" w14:textId="77777777" w:rsidR="00B11C29" w:rsidRDefault="00B11C29" w:rsidP="00B11C29">
      <w:pPr>
        <w:tabs>
          <w:tab w:val="left" w:pos="1276"/>
        </w:tabs>
      </w:pPr>
      <w:r>
        <w:t>There is no set format that people must use when making a complaint. However, the more details provided the easier it is for CMTEDD to assess and respond to the complaint. Key details may include:</w:t>
      </w:r>
    </w:p>
    <w:p w14:paraId="0867412C" w14:textId="77777777" w:rsidR="00B11C29" w:rsidRDefault="00B11C29" w:rsidP="00B11C29">
      <w:pPr>
        <w:pStyle w:val="ListParagraph"/>
        <w:numPr>
          <w:ilvl w:val="0"/>
          <w:numId w:val="46"/>
        </w:numPr>
        <w:tabs>
          <w:tab w:val="left" w:pos="1276"/>
        </w:tabs>
      </w:pPr>
      <w:r>
        <w:t>Clear overview of the issue</w:t>
      </w:r>
    </w:p>
    <w:p w14:paraId="7C3BF6D8" w14:textId="77777777" w:rsidR="00B11C29" w:rsidRDefault="00B11C29" w:rsidP="00B11C29">
      <w:pPr>
        <w:pStyle w:val="ListParagraph"/>
        <w:numPr>
          <w:ilvl w:val="0"/>
          <w:numId w:val="46"/>
        </w:numPr>
        <w:tabs>
          <w:tab w:val="left" w:pos="1276"/>
        </w:tabs>
      </w:pPr>
      <w:r>
        <w:t xml:space="preserve">Time, </w:t>
      </w:r>
      <w:proofErr w:type="gramStart"/>
      <w:r>
        <w:t>date</w:t>
      </w:r>
      <w:proofErr w:type="gramEnd"/>
      <w:r>
        <w:t xml:space="preserve"> and place of the issue</w:t>
      </w:r>
    </w:p>
    <w:p w14:paraId="2379AFB6" w14:textId="77777777" w:rsidR="00B11C29" w:rsidRDefault="00B11C29" w:rsidP="00B11C29">
      <w:pPr>
        <w:pStyle w:val="ListParagraph"/>
        <w:numPr>
          <w:ilvl w:val="0"/>
          <w:numId w:val="46"/>
        </w:numPr>
        <w:tabs>
          <w:tab w:val="left" w:pos="1276"/>
        </w:tabs>
      </w:pPr>
      <w:r>
        <w:t>Contact details (where applicable, unless submitted anonymously)</w:t>
      </w:r>
    </w:p>
    <w:p w14:paraId="0E569AAF" w14:textId="77777777" w:rsidR="00B11C29" w:rsidRDefault="00B11C29" w:rsidP="00B11C29">
      <w:pPr>
        <w:pStyle w:val="ListParagraph"/>
        <w:numPr>
          <w:ilvl w:val="0"/>
          <w:numId w:val="46"/>
        </w:numPr>
        <w:tabs>
          <w:tab w:val="left" w:pos="1276"/>
        </w:tabs>
      </w:pPr>
      <w:r>
        <w:t>Outcome desired (</w:t>
      </w:r>
      <w:proofErr w:type="spellStart"/>
      <w:proofErr w:type="gramStart"/>
      <w:r>
        <w:t>eg</w:t>
      </w:r>
      <w:proofErr w:type="spellEnd"/>
      <w:proofErr w:type="gramEnd"/>
      <w:r>
        <w:t xml:space="preserve"> an apology, different decision, review of a process)</w:t>
      </w:r>
    </w:p>
    <w:p w14:paraId="06B2983A" w14:textId="77777777" w:rsidR="00B11C29" w:rsidRDefault="00B11C29" w:rsidP="00B11C29">
      <w:pPr>
        <w:pStyle w:val="Heading2"/>
        <w:rPr>
          <w:spacing w:val="-2"/>
        </w:rPr>
      </w:pPr>
      <w:bookmarkStart w:id="31" w:name="_Toc130374254"/>
      <w:bookmarkStart w:id="32" w:name="_Toc106719381"/>
      <w:bookmarkEnd w:id="30"/>
      <w:r>
        <w:t>2.2.</w:t>
      </w:r>
      <w:r>
        <w:tab/>
      </w:r>
      <w:r>
        <w:rPr>
          <w:spacing w:val="-4"/>
        </w:rPr>
        <w:t xml:space="preserve">Triage of </w:t>
      </w:r>
      <w:r>
        <w:rPr>
          <w:spacing w:val="-2"/>
        </w:rPr>
        <w:t>Complaint</w:t>
      </w:r>
      <w:bookmarkEnd w:id="31"/>
    </w:p>
    <w:p w14:paraId="0C869668" w14:textId="77777777" w:rsidR="00B11C29" w:rsidRDefault="00B11C29" w:rsidP="00B11C29">
      <w:pPr>
        <w:rPr>
          <w:lang w:eastAsia="ja-JP"/>
        </w:rPr>
      </w:pPr>
      <w:r>
        <w:t xml:space="preserve">The CMTEDD Complaints Manager’s role is to triage complaints received in the CMTEDD Complaints inbox. They will acknowledge the complaint, register </w:t>
      </w:r>
      <w:proofErr w:type="gramStart"/>
      <w:r>
        <w:t>it</w:t>
      </w:r>
      <w:proofErr w:type="gramEnd"/>
      <w:r>
        <w:t xml:space="preserve"> and refer the complaint onto the relevant Business Unit within CMTEDD for assessment and response.</w:t>
      </w:r>
    </w:p>
    <w:p w14:paraId="4FA95E12" w14:textId="77777777" w:rsidR="00B11C29" w:rsidRDefault="00B11C29" w:rsidP="00B11C29">
      <w:pPr>
        <w:pStyle w:val="Heading3"/>
      </w:pPr>
      <w:bookmarkStart w:id="33" w:name="_Toc130374255"/>
      <w:bookmarkEnd w:id="32"/>
      <w:r>
        <w:lastRenderedPageBreak/>
        <w:t>2.2.1</w:t>
      </w:r>
      <w:r>
        <w:tab/>
        <w:t>Acknowledging</w:t>
      </w:r>
      <w:r>
        <w:rPr>
          <w:spacing w:val="-9"/>
        </w:rPr>
        <w:t xml:space="preserve"> receipt of </w:t>
      </w:r>
      <w:r>
        <w:t>a</w:t>
      </w:r>
      <w:r>
        <w:rPr>
          <w:spacing w:val="-8"/>
        </w:rPr>
        <w:t xml:space="preserve"> </w:t>
      </w:r>
      <w:r>
        <w:t>complaint</w:t>
      </w:r>
      <w:bookmarkEnd w:id="33"/>
    </w:p>
    <w:p w14:paraId="2F8AB5FA" w14:textId="77777777" w:rsidR="00B11C29" w:rsidRDefault="00B11C29" w:rsidP="00B11C29">
      <w:r>
        <w:t>The CMTEDD Complaints Manager will acknowledge complainants within two days of receiving a complaint. This acknowledgment of receipt is to inform the complainant that their complaint has been received and is to be actioned. The following text will be used when acknowledging receipt:</w:t>
      </w:r>
    </w:p>
    <w:p w14:paraId="7773FEB3" w14:textId="77777777" w:rsidR="00B11C29" w:rsidRDefault="00B11C29" w:rsidP="00B11C29">
      <w:pPr>
        <w:ind w:left="720"/>
        <w:rPr>
          <w:i/>
          <w:iCs/>
        </w:rPr>
      </w:pPr>
      <w:r>
        <w:rPr>
          <w:i/>
          <w:iCs/>
        </w:rPr>
        <w:t>I refer to your notice of complaint received by the Chief Minister, Treasury and Economic Development Directorate on [insert date received].</w:t>
      </w:r>
    </w:p>
    <w:p w14:paraId="37FF12C9" w14:textId="77777777" w:rsidR="00B11C29" w:rsidRDefault="00B11C29" w:rsidP="00B11C29">
      <w:pPr>
        <w:ind w:left="720"/>
        <w:rPr>
          <w:i/>
          <w:iCs/>
        </w:rPr>
      </w:pPr>
      <w:r>
        <w:rPr>
          <w:i/>
          <w:iCs/>
          <w:color w:val="000000"/>
        </w:rPr>
        <w:t>The Chief Minister, Treasury and Economic Development Directorate is processing your query.</w:t>
      </w:r>
    </w:p>
    <w:p w14:paraId="4F80894D" w14:textId="77777777" w:rsidR="00B11C29" w:rsidRDefault="00B11C29" w:rsidP="00B11C29">
      <w:r>
        <w:t xml:space="preserve">If the complainant is anonymous, an acknowledgement is not required unless an email or other contact option is included.  </w:t>
      </w:r>
    </w:p>
    <w:p w14:paraId="1120387A" w14:textId="77777777" w:rsidR="00B11C29" w:rsidRDefault="00B11C29" w:rsidP="00B11C29">
      <w:pPr>
        <w:pStyle w:val="Heading3"/>
      </w:pPr>
      <w:bookmarkStart w:id="34" w:name="_Toc130374256"/>
      <w:r>
        <w:t>2.2.2</w:t>
      </w:r>
      <w:r>
        <w:tab/>
        <w:t>Registering</w:t>
      </w:r>
      <w:r>
        <w:rPr>
          <w:spacing w:val="-7"/>
        </w:rPr>
        <w:t xml:space="preserve"> </w:t>
      </w:r>
      <w:r>
        <w:rPr>
          <w:spacing w:val="1"/>
        </w:rPr>
        <w:t>a</w:t>
      </w:r>
      <w:r>
        <w:rPr>
          <w:spacing w:val="-5"/>
        </w:rPr>
        <w:t xml:space="preserve"> </w:t>
      </w:r>
      <w:r>
        <w:t>complaint</w:t>
      </w:r>
      <w:bookmarkEnd w:id="34"/>
    </w:p>
    <w:p w14:paraId="1C234A35" w14:textId="77777777" w:rsidR="00B11C29" w:rsidRDefault="00B11C29" w:rsidP="00B11C29">
      <w:r>
        <w:t>The CMTEDD Complaints Manager will use the information provided to record the complaint in a central register. The following information will be recorded:</w:t>
      </w:r>
    </w:p>
    <w:p w14:paraId="10E29B57" w14:textId="77777777" w:rsidR="00B11C29" w:rsidRDefault="00B11C29" w:rsidP="00B11C29">
      <w:pPr>
        <w:pStyle w:val="DotPoint"/>
        <w:numPr>
          <w:ilvl w:val="0"/>
          <w:numId w:val="47"/>
        </w:numPr>
        <w:rPr>
          <w:sz w:val="22"/>
          <w:szCs w:val="22"/>
        </w:rPr>
      </w:pPr>
      <w:r>
        <w:rPr>
          <w:sz w:val="22"/>
          <w:szCs w:val="22"/>
        </w:rPr>
        <w:t>name of complainant (if known)</w:t>
      </w:r>
    </w:p>
    <w:p w14:paraId="606E020A" w14:textId="77777777" w:rsidR="00B11C29" w:rsidRDefault="00B11C29" w:rsidP="00B11C29">
      <w:pPr>
        <w:pStyle w:val="DotPoint"/>
        <w:numPr>
          <w:ilvl w:val="0"/>
          <w:numId w:val="47"/>
        </w:numPr>
        <w:rPr>
          <w:sz w:val="22"/>
          <w:szCs w:val="22"/>
        </w:rPr>
      </w:pPr>
      <w:r>
        <w:rPr>
          <w:sz w:val="22"/>
          <w:szCs w:val="22"/>
        </w:rPr>
        <w:t>details of complaint</w:t>
      </w:r>
    </w:p>
    <w:p w14:paraId="775124A1" w14:textId="77777777" w:rsidR="00B11C29" w:rsidRDefault="00B11C29" w:rsidP="00B11C29">
      <w:pPr>
        <w:pStyle w:val="DotPoint"/>
        <w:numPr>
          <w:ilvl w:val="0"/>
          <w:numId w:val="47"/>
        </w:numPr>
        <w:rPr>
          <w:sz w:val="22"/>
          <w:szCs w:val="22"/>
        </w:rPr>
      </w:pPr>
      <w:r>
        <w:rPr>
          <w:sz w:val="22"/>
          <w:szCs w:val="22"/>
        </w:rPr>
        <w:t>date received</w:t>
      </w:r>
    </w:p>
    <w:p w14:paraId="7EF71D02" w14:textId="77777777" w:rsidR="00B11C29" w:rsidRDefault="00B11C29" w:rsidP="00B11C29">
      <w:pPr>
        <w:pStyle w:val="DotPoint"/>
        <w:numPr>
          <w:ilvl w:val="0"/>
          <w:numId w:val="47"/>
        </w:numPr>
        <w:rPr>
          <w:sz w:val="22"/>
          <w:szCs w:val="22"/>
        </w:rPr>
      </w:pPr>
      <w:r>
        <w:rPr>
          <w:sz w:val="22"/>
          <w:szCs w:val="22"/>
        </w:rPr>
        <w:t>business unit / staff member looking into the matter</w:t>
      </w:r>
    </w:p>
    <w:p w14:paraId="7F172A2C" w14:textId="77777777" w:rsidR="00B11C29" w:rsidRDefault="00B11C29" w:rsidP="00B11C29">
      <w:pPr>
        <w:pStyle w:val="Heading3"/>
      </w:pPr>
      <w:bookmarkStart w:id="35" w:name="_Toc130374257"/>
      <w:r>
        <w:t>2.2.3 Referral of complaint</w:t>
      </w:r>
      <w:bookmarkEnd w:id="35"/>
    </w:p>
    <w:p w14:paraId="139DCDA2" w14:textId="77777777" w:rsidR="00B11C29" w:rsidRDefault="00B11C29" w:rsidP="00B11C29">
      <w:r>
        <w:t>The CMTEDD Complaints Manager will refer the complaint to the relevant business unit. This includes referral to another ACT Public Service Directorate if CMTEDD is not the correct Directorate. Complainants will be advised if the matter has been referred or if they need to refer the matter to an external third party (</w:t>
      </w:r>
      <w:proofErr w:type="gramStart"/>
      <w:r>
        <w:t>e.g.</w:t>
      </w:r>
      <w:proofErr w:type="gramEnd"/>
      <w:r>
        <w:t xml:space="preserve"> ACT Policing).</w:t>
      </w:r>
    </w:p>
    <w:p w14:paraId="2699729E" w14:textId="77777777" w:rsidR="00B11C29" w:rsidRDefault="00B11C29" w:rsidP="00B11C29">
      <w:pPr>
        <w:pStyle w:val="Heading2"/>
        <w:rPr>
          <w:bCs/>
        </w:rPr>
      </w:pPr>
      <w:bookmarkStart w:id="36" w:name="_Toc130374258"/>
      <w:bookmarkStart w:id="37" w:name="_Toc404852034"/>
      <w:r>
        <w:t>2.3</w:t>
      </w:r>
      <w:r>
        <w:tab/>
        <w:t>Complaint Handling – Assessment and Response</w:t>
      </w:r>
      <w:bookmarkEnd w:id="36"/>
    </w:p>
    <w:p w14:paraId="67CECE65" w14:textId="77777777" w:rsidR="00B11C29" w:rsidRDefault="00B11C29" w:rsidP="00B11C29">
      <w:r>
        <w:t>Assessing and responding to complaints is the responsibility of the business unit who will determine how to best assess and respond to the complaint.</w:t>
      </w:r>
    </w:p>
    <w:p w14:paraId="03D0DEF9" w14:textId="77777777" w:rsidR="00B11C29" w:rsidRDefault="00B11C29" w:rsidP="00B11C29">
      <w:pPr>
        <w:pStyle w:val="Heading3"/>
      </w:pPr>
      <w:bookmarkStart w:id="38" w:name="_Toc130374259"/>
      <w:r>
        <w:t>2.3.1 General handling</w:t>
      </w:r>
      <w:bookmarkEnd w:id="38"/>
    </w:p>
    <w:p w14:paraId="7F06A79B" w14:textId="77777777" w:rsidR="00B11C29" w:rsidRDefault="00B11C29" w:rsidP="00B11C29">
      <w:pPr>
        <w:pStyle w:val="Heading4"/>
      </w:pPr>
      <w:r>
        <w:t>Right to be kept informed</w:t>
      </w:r>
    </w:p>
    <w:p w14:paraId="3D58EB81" w14:textId="77777777" w:rsidR="00B11C29" w:rsidRDefault="00B11C29" w:rsidP="00B11C29">
      <w:pPr>
        <w:tabs>
          <w:tab w:val="left" w:pos="1276"/>
        </w:tabs>
      </w:pPr>
      <w:r>
        <w:t xml:space="preserve">Business units are responsible for contacting the complainant within five days of receiving the complaint to inform them of the steps being taken to assess and respond and to keep them informed on progress of their complaint if the matter will take some time to respond to. </w:t>
      </w:r>
    </w:p>
    <w:p w14:paraId="68EE299F" w14:textId="77777777" w:rsidR="00435E41" w:rsidRDefault="005F7E93" w:rsidP="00435E41">
      <w:r w:rsidRPr="00745F73">
        <w:t>If the complainant is anonymous</w:t>
      </w:r>
      <w:r w:rsidR="00B96F81">
        <w:t xml:space="preserve">, an </w:t>
      </w:r>
      <w:r w:rsidRPr="00745F73">
        <w:t xml:space="preserve">acknowledgement </w:t>
      </w:r>
      <w:r>
        <w:t xml:space="preserve">is </w:t>
      </w:r>
      <w:r w:rsidR="00B96F81">
        <w:t>not required</w:t>
      </w:r>
      <w:r w:rsidR="00D95090">
        <w:t xml:space="preserve"> unless an email or other contact option is included</w:t>
      </w:r>
      <w:r w:rsidRPr="00745F73">
        <w:t>.</w:t>
      </w:r>
      <w:r>
        <w:t xml:space="preserve">  </w:t>
      </w:r>
      <w:bookmarkStart w:id="39" w:name="10.2__Acknowledging_the_complaint"/>
      <w:bookmarkEnd w:id="37"/>
      <w:bookmarkEnd w:id="39"/>
    </w:p>
    <w:p w14:paraId="414E7F3A" w14:textId="6077A47D" w:rsidR="00B11C29" w:rsidRPr="00435E41" w:rsidRDefault="00B11C29" w:rsidP="00435E41">
      <w:pPr>
        <w:pStyle w:val="Heading4"/>
      </w:pPr>
      <w:r>
        <w:lastRenderedPageBreak/>
        <w:t>Right to Privacy</w:t>
      </w:r>
    </w:p>
    <w:p w14:paraId="7B739960" w14:textId="77777777" w:rsidR="00B11C29" w:rsidRDefault="00B11C29" w:rsidP="00B11C29">
      <w:r>
        <w:t xml:space="preserve">CMTEDD is committed to ensuring the correct handling of a complainant’s personal information in accordance with the </w:t>
      </w:r>
      <w:r>
        <w:rPr>
          <w:i/>
          <w:iCs/>
        </w:rPr>
        <w:t>Information Privacy Act 2014</w:t>
      </w:r>
      <w:r>
        <w:t xml:space="preserve"> as per the </w:t>
      </w:r>
      <w:hyperlink r:id="rId25" w:history="1">
        <w:r>
          <w:rPr>
            <w:rStyle w:val="Hyperlink"/>
          </w:rPr>
          <w:t>CMTEDD Privacy Policy</w:t>
        </w:r>
      </w:hyperlink>
      <w:r>
        <w:t xml:space="preserve">.  </w:t>
      </w:r>
    </w:p>
    <w:p w14:paraId="12E05874" w14:textId="77777777" w:rsidR="00B11C29" w:rsidRDefault="00B11C29" w:rsidP="00B11C29">
      <w:pPr>
        <w:pStyle w:val="Heading4"/>
      </w:pPr>
      <w:bookmarkStart w:id="40" w:name="10.3__Resolving_the_complaint_–_if_possi"/>
      <w:bookmarkStart w:id="41" w:name="10.4__Right_to_confidentiality"/>
      <w:bookmarkStart w:id="42" w:name="11.___Complaint,_Allegation_or_Concern_i"/>
      <w:bookmarkStart w:id="43" w:name="_Toc404852036"/>
      <w:bookmarkEnd w:id="40"/>
      <w:bookmarkEnd w:id="41"/>
      <w:bookmarkEnd w:id="42"/>
      <w:r>
        <w:t>Right to Anonymity</w:t>
      </w:r>
    </w:p>
    <w:p w14:paraId="43AE1423" w14:textId="77777777" w:rsidR="00B11C29" w:rsidRDefault="00B11C29" w:rsidP="00B11C29">
      <w:pPr>
        <w:tabs>
          <w:tab w:val="left" w:pos="1276"/>
        </w:tabs>
      </w:pPr>
      <w:r>
        <w:t>Complaints and feedback can be submitted to CMTEDD anonymously. These will be handled in accordance with this document, however, CMTEDD may be unable to provide the outcome of a complaint without contact details, such as an email address.</w:t>
      </w:r>
    </w:p>
    <w:p w14:paraId="73993427" w14:textId="77777777" w:rsidR="00B11C29" w:rsidRDefault="00B11C29" w:rsidP="00B11C29">
      <w:pPr>
        <w:pStyle w:val="Heading4"/>
      </w:pPr>
      <w:bookmarkStart w:id="44" w:name="_Toc106719382"/>
      <w:bookmarkEnd w:id="43"/>
      <w:r>
        <w:t>Right to Confidentiality</w:t>
      </w:r>
      <w:bookmarkEnd w:id="44"/>
    </w:p>
    <w:p w14:paraId="57729E8C" w14:textId="0BEBE8B8" w:rsidR="00B11C29" w:rsidRDefault="00B11C29" w:rsidP="00B11C29">
      <w:pPr>
        <w:tabs>
          <w:tab w:val="left" w:pos="1276"/>
        </w:tabs>
      </w:pPr>
      <w:r>
        <w:t>All parties involved in a complaint have the right to have their complaint handled in a confidential manner. There are times when it is necessary for the complainant to be identified, for example, to provide procedural fairness. CMTEDD will consult the applicant before proceeding with a complaint investigation where confidentiality is a barrier.</w:t>
      </w:r>
    </w:p>
    <w:p w14:paraId="63394DBA" w14:textId="77777777" w:rsidR="00B11C29" w:rsidRDefault="00B11C29" w:rsidP="00B11C29">
      <w:r>
        <w:t>It is important that issues surrounding confidentiality be discussed with the complainant at the outset and, where confidentiality is requested, the complainant should be advised of the limitations that may place on an investigation, if any.</w:t>
      </w:r>
    </w:p>
    <w:p w14:paraId="2ADDA082" w14:textId="77777777" w:rsidR="00B11C29" w:rsidRDefault="00B11C29" w:rsidP="00B11C29">
      <w:pPr>
        <w:pStyle w:val="Heading3"/>
      </w:pPr>
      <w:bookmarkStart w:id="45" w:name="12.1__Assessment_Considerations"/>
      <w:bookmarkStart w:id="46" w:name="_Toc130374260"/>
      <w:bookmarkEnd w:id="45"/>
      <w:r>
        <w:t>2.3.1.</w:t>
      </w:r>
      <w:r>
        <w:tab/>
        <w:t>Assessment of the Complaint</w:t>
      </w:r>
      <w:bookmarkEnd w:id="46"/>
    </w:p>
    <w:p w14:paraId="13636D0D" w14:textId="77777777" w:rsidR="00B11C29" w:rsidRDefault="00B11C29" w:rsidP="00B11C29">
      <w:r>
        <w:t xml:space="preserve">There are </w:t>
      </w:r>
      <w:proofErr w:type="gramStart"/>
      <w:r>
        <w:t>a number of</w:t>
      </w:r>
      <w:proofErr w:type="gramEnd"/>
      <w:r>
        <w:t xml:space="preserve"> options for business units to take when responding to complaints.</w:t>
      </w:r>
    </w:p>
    <w:p w14:paraId="685B4CAF" w14:textId="77777777" w:rsidR="00B11C29" w:rsidRDefault="00B11C29" w:rsidP="00B11C29">
      <w:pPr>
        <w:pStyle w:val="Heading4"/>
      </w:pPr>
      <w:r>
        <w:t>2.3.1.1 Complainant’s preferred outcome</w:t>
      </w:r>
    </w:p>
    <w:p w14:paraId="1199C1EC" w14:textId="77777777" w:rsidR="00B11C29" w:rsidRDefault="00B11C29" w:rsidP="00B11C29">
      <w:pPr>
        <w:tabs>
          <w:tab w:val="left" w:pos="1276"/>
        </w:tabs>
      </w:pPr>
      <w:r>
        <w:t>Where the complainant feels comfortable advising the outcome they would like (e.g., an apology, different decision, review of a process), CMTEDD will take this information into consideration when assessing the case.</w:t>
      </w:r>
    </w:p>
    <w:p w14:paraId="52B1473C" w14:textId="77777777" w:rsidR="00B11C29" w:rsidRDefault="00B11C29" w:rsidP="00B11C29">
      <w:pPr>
        <w:pStyle w:val="Heading4"/>
      </w:pPr>
      <w:r>
        <w:t>2.3.1.2 Anonymous complaints</w:t>
      </w:r>
    </w:p>
    <w:p w14:paraId="7606B417" w14:textId="77777777" w:rsidR="00B11C29" w:rsidRDefault="00B11C29" w:rsidP="00B11C29">
      <w:r>
        <w:t>Where the complainant was anonymous a response should still be prepared and placed on the appropriate file to provide a record of the outcome of the investigation.</w:t>
      </w:r>
    </w:p>
    <w:p w14:paraId="60DBC86B" w14:textId="77777777" w:rsidR="00B11C29" w:rsidRDefault="00B11C29" w:rsidP="00B11C29">
      <w:pPr>
        <w:pStyle w:val="Heading4"/>
      </w:pPr>
      <w:r>
        <w:t>2.3.1.1</w:t>
      </w:r>
      <w:r>
        <w:tab/>
        <w:t>Complaint Not Progressed – No further action</w:t>
      </w:r>
    </w:p>
    <w:p w14:paraId="6AA4A89B" w14:textId="77777777" w:rsidR="00B11C29" w:rsidRDefault="00B11C29" w:rsidP="00B11C29">
      <w:r>
        <w:t>Some complaints cannot be progressed, for example, due to the lack of details and the inability to obtain further information; an alternative process outside of this policy should be used; or the complaint may not relate to the Directorate; or there is no way to resolve the complaint. If the complaint does not concern CMTEDD, complainants will be directed to the correct agency, where possible.</w:t>
      </w:r>
    </w:p>
    <w:p w14:paraId="49E52630" w14:textId="77777777" w:rsidR="00B11C29" w:rsidRDefault="00B11C29" w:rsidP="00B11C29">
      <w:r>
        <w:t xml:space="preserve">The decision not to progress a complaint must be supported by a clear statement of reasons why an investigation is not warranted. This statement of reasons must be supplied to the complainant in addition to information on alternate paths available should they seek to have the matter resolved or decision reviewed.  </w:t>
      </w:r>
    </w:p>
    <w:p w14:paraId="76F6DE25" w14:textId="19F8A17E" w:rsidR="00B11C29" w:rsidRDefault="00B11C29" w:rsidP="00B11C29">
      <w:r>
        <w:lastRenderedPageBreak/>
        <w:t>Where it is determined that the complaint is a Public Interest Disclosure, a separate process will be used to communicate with the complainant.</w:t>
      </w:r>
    </w:p>
    <w:p w14:paraId="1ABC4186" w14:textId="77777777" w:rsidR="00B11C29" w:rsidRDefault="00B11C29" w:rsidP="00B11C29">
      <w:pPr>
        <w:pStyle w:val="Heading4"/>
      </w:pPr>
      <w:r>
        <w:t>2.3.1.2</w:t>
      </w:r>
      <w:r>
        <w:tab/>
        <w:t>Respond without Investigation</w:t>
      </w:r>
    </w:p>
    <w:p w14:paraId="432A75F1" w14:textId="77777777" w:rsidR="00B11C29" w:rsidRDefault="00B11C29" w:rsidP="00B11C29">
      <w:r>
        <w:t>Where possible, and the complaint is straightforward and requires little or no investigation, every effort should be made to resolve it quickly. This may take several different forms, including an apology or explanation for an error or admission.</w:t>
      </w:r>
    </w:p>
    <w:p w14:paraId="725823DB" w14:textId="682ABC8B" w:rsidR="00B11C29" w:rsidRDefault="00B11C29" w:rsidP="00B11C29">
      <w:r>
        <w:t>Although complaints resolved at this point may be simpler than complaints requiring investigation, this does not mean that the problems raised are any less important.  It is therefore vital that the complaint and resolution are recorded and used to identify whether there exists a systemic issue to be addressed or any other way to avoid similar problems in the future.</w:t>
      </w:r>
    </w:p>
    <w:p w14:paraId="3E757F64" w14:textId="77777777" w:rsidR="003D3C80" w:rsidRDefault="003D3C80" w:rsidP="003D3C80">
      <w:pPr>
        <w:pStyle w:val="Heading4"/>
      </w:pPr>
      <w:r>
        <w:t>2.3.1.3</w:t>
      </w:r>
      <w:r>
        <w:tab/>
        <w:t>Investigation of Complaint</w:t>
      </w:r>
    </w:p>
    <w:p w14:paraId="3CA4F69F" w14:textId="6CE25C6A" w:rsidR="003D3C80" w:rsidRDefault="003D3C80" w:rsidP="003D3C80">
      <w:r w:rsidRPr="00852D15">
        <w:t xml:space="preserve">The decision to investigate </w:t>
      </w:r>
      <w:r>
        <w:t>should</w:t>
      </w:r>
      <w:r w:rsidRPr="00852D15">
        <w:t xml:space="preserve"> be supported by a clear statement of reasons why an investigation is warranted, including those aspects of the complaint that are in and out of scope</w:t>
      </w:r>
      <w:r w:rsidR="00434634">
        <w:t>. This information will be communicated to the complainant by the responsible business unit</w:t>
      </w:r>
      <w:r w:rsidRPr="00852D15">
        <w:t>.</w:t>
      </w:r>
      <w:r>
        <w:t xml:space="preserve"> The terms of reference for an investigation should include:</w:t>
      </w:r>
    </w:p>
    <w:p w14:paraId="1F95FCB1" w14:textId="77777777" w:rsidR="003D3C80" w:rsidRPr="0057392F" w:rsidRDefault="003D3C80" w:rsidP="0057392F">
      <w:pPr>
        <w:pStyle w:val="DotPoint"/>
        <w:numPr>
          <w:ilvl w:val="0"/>
          <w:numId w:val="40"/>
        </w:numPr>
        <w:rPr>
          <w:sz w:val="22"/>
          <w:szCs w:val="22"/>
        </w:rPr>
      </w:pPr>
      <w:r w:rsidRPr="0057392F">
        <w:rPr>
          <w:sz w:val="22"/>
          <w:szCs w:val="22"/>
        </w:rPr>
        <w:t>who is involved?</w:t>
      </w:r>
    </w:p>
    <w:p w14:paraId="580BDE5A" w14:textId="77777777" w:rsidR="003D3C80" w:rsidRPr="0057392F" w:rsidRDefault="003D3C80" w:rsidP="0057392F">
      <w:pPr>
        <w:pStyle w:val="DotPoint"/>
        <w:numPr>
          <w:ilvl w:val="0"/>
          <w:numId w:val="40"/>
        </w:numPr>
        <w:rPr>
          <w:sz w:val="22"/>
          <w:szCs w:val="22"/>
        </w:rPr>
      </w:pPr>
      <w:r w:rsidRPr="0057392F">
        <w:rPr>
          <w:sz w:val="22"/>
          <w:szCs w:val="22"/>
        </w:rPr>
        <w:t>when did it happen?</w:t>
      </w:r>
    </w:p>
    <w:p w14:paraId="5A5E0A8B" w14:textId="77777777" w:rsidR="003D3C80" w:rsidRPr="0057392F" w:rsidRDefault="003D3C80" w:rsidP="0057392F">
      <w:pPr>
        <w:pStyle w:val="DotPoint"/>
        <w:numPr>
          <w:ilvl w:val="0"/>
          <w:numId w:val="40"/>
        </w:numPr>
        <w:rPr>
          <w:sz w:val="22"/>
          <w:szCs w:val="22"/>
        </w:rPr>
      </w:pPr>
      <w:r w:rsidRPr="0057392F">
        <w:rPr>
          <w:sz w:val="22"/>
          <w:szCs w:val="22"/>
        </w:rPr>
        <w:t>what happened?</w:t>
      </w:r>
    </w:p>
    <w:p w14:paraId="64C76D41" w14:textId="4F40EE58" w:rsidR="003D3C80" w:rsidRPr="0057392F" w:rsidRDefault="003D3C80" w:rsidP="0057392F">
      <w:pPr>
        <w:pStyle w:val="DotPoint"/>
        <w:numPr>
          <w:ilvl w:val="0"/>
          <w:numId w:val="40"/>
        </w:numPr>
        <w:rPr>
          <w:sz w:val="22"/>
          <w:szCs w:val="22"/>
        </w:rPr>
      </w:pPr>
      <w:r w:rsidRPr="0057392F">
        <w:rPr>
          <w:sz w:val="22"/>
          <w:szCs w:val="22"/>
        </w:rPr>
        <w:t>what can be done to remedy the wrong</w:t>
      </w:r>
      <w:r w:rsidR="0057392F">
        <w:rPr>
          <w:sz w:val="22"/>
          <w:szCs w:val="22"/>
        </w:rPr>
        <w:t>?</w:t>
      </w:r>
    </w:p>
    <w:p w14:paraId="51B752FE" w14:textId="09048D73" w:rsidR="003D3C80" w:rsidRPr="0057392F" w:rsidRDefault="003D3C80" w:rsidP="0057392F">
      <w:pPr>
        <w:pStyle w:val="DotPoint"/>
        <w:numPr>
          <w:ilvl w:val="0"/>
          <w:numId w:val="40"/>
        </w:numPr>
        <w:rPr>
          <w:sz w:val="22"/>
          <w:szCs w:val="22"/>
        </w:rPr>
      </w:pPr>
      <w:r w:rsidRPr="0057392F">
        <w:rPr>
          <w:sz w:val="22"/>
          <w:szCs w:val="22"/>
        </w:rPr>
        <w:t>what can be done to ensure it doesn’t happen again</w:t>
      </w:r>
      <w:r w:rsidR="0057392F">
        <w:rPr>
          <w:sz w:val="22"/>
          <w:szCs w:val="22"/>
        </w:rPr>
        <w:t>?</w:t>
      </w:r>
    </w:p>
    <w:p w14:paraId="00F7C833" w14:textId="3E790C55" w:rsidR="003D3C80" w:rsidRPr="0057392F" w:rsidRDefault="0057392F" w:rsidP="0057392F">
      <w:pPr>
        <w:pStyle w:val="DotPoint"/>
        <w:numPr>
          <w:ilvl w:val="0"/>
          <w:numId w:val="40"/>
        </w:numPr>
        <w:rPr>
          <w:sz w:val="22"/>
          <w:szCs w:val="22"/>
        </w:rPr>
      </w:pPr>
      <w:r>
        <w:rPr>
          <w:sz w:val="22"/>
          <w:szCs w:val="22"/>
        </w:rPr>
        <w:t>t</w:t>
      </w:r>
      <w:r w:rsidR="003D3C80" w:rsidRPr="0057392F">
        <w:rPr>
          <w:sz w:val="22"/>
          <w:szCs w:val="22"/>
        </w:rPr>
        <w:t>imeframe</w:t>
      </w:r>
      <w:r>
        <w:rPr>
          <w:sz w:val="22"/>
          <w:szCs w:val="22"/>
        </w:rPr>
        <w:t xml:space="preserve"> for the investigation</w:t>
      </w:r>
    </w:p>
    <w:p w14:paraId="794DB629" w14:textId="44815800" w:rsidR="00434634" w:rsidRDefault="003D3C80" w:rsidP="003D3C80">
      <w:r>
        <w:t xml:space="preserve">A decision </w:t>
      </w:r>
      <w:r w:rsidR="0057392F">
        <w:t>will</w:t>
      </w:r>
      <w:r>
        <w:t xml:space="preserve"> need to be made as to wh</w:t>
      </w:r>
      <w:r w:rsidR="0057392F">
        <w:t xml:space="preserve">ether the investigation will be progressed by the business unit, </w:t>
      </w:r>
      <w:r w:rsidR="00434634">
        <w:t xml:space="preserve">or </w:t>
      </w:r>
      <w:r w:rsidR="0057392F">
        <w:t>by an independent reviewer</w:t>
      </w:r>
      <w:r>
        <w:t xml:space="preserve">. This will be determined based on the seriousness of the complaint and who is alleged to be involved.  </w:t>
      </w:r>
    </w:p>
    <w:p w14:paraId="238569F9" w14:textId="00C0D1C9" w:rsidR="003D3C80" w:rsidRDefault="00434634" w:rsidP="003D3C80">
      <w:r>
        <w:t xml:space="preserve">An investigation plan will be prepared, that will outline the issue, methods to be used, resources required and timing. </w:t>
      </w:r>
      <w:r w:rsidR="003D3C80">
        <w:t xml:space="preserve">Once the investigation is complete the relevant Executive </w:t>
      </w:r>
      <w:r>
        <w:t>will</w:t>
      </w:r>
      <w:r w:rsidR="003D3C80">
        <w:t xml:space="preserve"> consider the outcome and</w:t>
      </w:r>
      <w:r>
        <w:t xml:space="preserve"> whether</w:t>
      </w:r>
      <w:r w:rsidR="003D3C80">
        <w:t xml:space="preserve"> further action is </w:t>
      </w:r>
      <w:r>
        <w:t>required</w:t>
      </w:r>
      <w:r w:rsidR="003D3C80">
        <w:t>.</w:t>
      </w:r>
      <w:r>
        <w:t xml:space="preserve"> </w:t>
      </w:r>
    </w:p>
    <w:p w14:paraId="76E84E35" w14:textId="77777777" w:rsidR="00B11C29" w:rsidRDefault="00B11C29" w:rsidP="00B11C29">
      <w:pPr>
        <w:pStyle w:val="Heading3"/>
      </w:pPr>
      <w:bookmarkStart w:id="47" w:name="13.__Deciding_not_to_investigate"/>
      <w:bookmarkStart w:id="48" w:name="14.__Complaint_to_be_investigated"/>
      <w:bookmarkStart w:id="49" w:name="15.__Keeping_the_complainant_informed_of"/>
      <w:bookmarkStart w:id="50" w:name="16.__Finalising_the_investigation"/>
      <w:bookmarkStart w:id="51" w:name="17.__Advising_the_complainant_of_the_out"/>
      <w:bookmarkStart w:id="52" w:name="18.__Escalation"/>
      <w:bookmarkStart w:id="53" w:name="_Toc404852038"/>
      <w:bookmarkStart w:id="54" w:name="_Toc130374261"/>
      <w:bookmarkStart w:id="55" w:name="_Toc404852039"/>
      <w:bookmarkEnd w:id="47"/>
      <w:bookmarkEnd w:id="48"/>
      <w:bookmarkEnd w:id="49"/>
      <w:bookmarkEnd w:id="50"/>
      <w:bookmarkEnd w:id="51"/>
      <w:bookmarkEnd w:id="52"/>
      <w:r>
        <w:t>2.3.2</w:t>
      </w:r>
      <w:r>
        <w:tab/>
        <w:t>Advising</w:t>
      </w:r>
      <w:r>
        <w:rPr>
          <w:spacing w:val="-5"/>
        </w:rPr>
        <w:t xml:space="preserve"> </w:t>
      </w:r>
      <w:r>
        <w:t>the</w:t>
      </w:r>
      <w:r>
        <w:rPr>
          <w:spacing w:val="-1"/>
        </w:rPr>
        <w:t xml:space="preserve"> </w:t>
      </w:r>
      <w:r>
        <w:t>outcome</w:t>
      </w:r>
      <w:r>
        <w:rPr>
          <w:spacing w:val="-3"/>
        </w:rPr>
        <w:t xml:space="preserve"> </w:t>
      </w:r>
      <w:r>
        <w:rPr>
          <w:spacing w:val="-1"/>
        </w:rPr>
        <w:t>and</w:t>
      </w:r>
      <w:r>
        <w:rPr>
          <w:spacing w:val="-3"/>
        </w:rPr>
        <w:t xml:space="preserve"> </w:t>
      </w:r>
      <w:r>
        <w:t>rights</w:t>
      </w:r>
      <w:r>
        <w:rPr>
          <w:spacing w:val="-1"/>
        </w:rPr>
        <w:t xml:space="preserve"> </w:t>
      </w:r>
      <w:r>
        <w:t>for review</w:t>
      </w:r>
      <w:bookmarkEnd w:id="53"/>
      <w:bookmarkEnd w:id="54"/>
    </w:p>
    <w:p w14:paraId="490D2D3B" w14:textId="77777777" w:rsidR="00B11C29" w:rsidRDefault="00B11C29" w:rsidP="00B11C29">
      <w:r>
        <w:t xml:space="preserve">There are </w:t>
      </w:r>
      <w:proofErr w:type="gramStart"/>
      <w:r>
        <w:t>a number of</w:t>
      </w:r>
      <w:proofErr w:type="gramEnd"/>
      <w:r>
        <w:t xml:space="preserve"> aspects for business units to consider when finalising the response.</w:t>
      </w:r>
    </w:p>
    <w:p w14:paraId="198D1284" w14:textId="77777777" w:rsidR="00B11C29" w:rsidRDefault="00B11C29" w:rsidP="00B11C29">
      <w:pPr>
        <w:pStyle w:val="Heading4"/>
      </w:pPr>
      <w:r>
        <w:t>Right to be informed</w:t>
      </w:r>
    </w:p>
    <w:p w14:paraId="540C22E0" w14:textId="77777777" w:rsidR="00B11C29" w:rsidRDefault="00B11C29" w:rsidP="00B11C29">
      <w:r>
        <w:t>Once an investigation is complete the complainant must be informed of the decision, the reasons for this decision and their rights for review.</w:t>
      </w:r>
    </w:p>
    <w:p w14:paraId="70A2CBCE" w14:textId="77777777" w:rsidR="00B11C29" w:rsidRDefault="00B11C29" w:rsidP="00B11C29">
      <w:r>
        <w:t xml:space="preserve">A complainant is entitled to know how a complaint was handled and the outcome of any review or investigation. While complainants are entitled to know the outcome of their complaint, there are instances where full disclosure will interfere with relevant legislation (i.e., the </w:t>
      </w:r>
      <w:r>
        <w:rPr>
          <w:rStyle w:val="QuoteChar"/>
        </w:rPr>
        <w:t>Information</w:t>
      </w:r>
      <w:r>
        <w:t xml:space="preserve"> </w:t>
      </w:r>
      <w:r>
        <w:rPr>
          <w:rStyle w:val="Emphasis"/>
        </w:rPr>
        <w:t>Privacy Act 2014</w:t>
      </w:r>
      <w:r>
        <w:t>). This means complainants may not receive all information pertaining to their issue.</w:t>
      </w:r>
    </w:p>
    <w:p w14:paraId="471A878A" w14:textId="77777777" w:rsidR="00B11C29" w:rsidRDefault="00B11C29" w:rsidP="00B11C29">
      <w:pPr>
        <w:pStyle w:val="Heading4"/>
      </w:pPr>
      <w:r>
        <w:lastRenderedPageBreak/>
        <w:t>Right to access alternative complaint resolution methods</w:t>
      </w:r>
    </w:p>
    <w:p w14:paraId="5FCE8329" w14:textId="77777777" w:rsidR="00B11C29" w:rsidRDefault="00B11C29" w:rsidP="00B11C29">
      <w:pPr>
        <w:keepNext/>
        <w:keepLines/>
      </w:pPr>
      <w:r>
        <w:t>If a complainant is unsatisfied with the resolution of their complaint under this policy, they may be able to refer the matter to one of the following bodies where appropriate and must be informed of these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B11C29" w14:paraId="2F5D87AE" w14:textId="77777777" w:rsidTr="00B11C29">
        <w:tc>
          <w:tcPr>
            <w:tcW w:w="4503" w:type="dxa"/>
            <w:tcBorders>
              <w:top w:val="single" w:sz="4" w:space="0" w:color="auto"/>
              <w:left w:val="single" w:sz="4" w:space="0" w:color="auto"/>
              <w:bottom w:val="single" w:sz="4" w:space="0" w:color="auto"/>
              <w:right w:val="single" w:sz="4" w:space="0" w:color="auto"/>
            </w:tcBorders>
            <w:shd w:val="clear" w:color="auto" w:fill="BFBFBF"/>
            <w:hideMark/>
          </w:tcPr>
          <w:p w14:paraId="108AA76B" w14:textId="77777777" w:rsidR="00B11C29" w:rsidRDefault="00B11C29">
            <w:pPr>
              <w:pStyle w:val="Tableheading"/>
              <w:spacing w:line="256" w:lineRule="auto"/>
              <w:rPr>
                <w:lang w:eastAsia="en-US"/>
              </w:rPr>
            </w:pPr>
            <w:r>
              <w:rPr>
                <w:lang w:eastAsia="en-US"/>
              </w:rPr>
              <w:t>Area</w:t>
            </w:r>
          </w:p>
        </w:tc>
        <w:tc>
          <w:tcPr>
            <w:tcW w:w="4739" w:type="dxa"/>
            <w:tcBorders>
              <w:top w:val="single" w:sz="4" w:space="0" w:color="auto"/>
              <w:left w:val="single" w:sz="4" w:space="0" w:color="auto"/>
              <w:bottom w:val="single" w:sz="4" w:space="0" w:color="auto"/>
              <w:right w:val="single" w:sz="4" w:space="0" w:color="auto"/>
            </w:tcBorders>
            <w:shd w:val="clear" w:color="auto" w:fill="BFBFBF"/>
            <w:hideMark/>
          </w:tcPr>
          <w:p w14:paraId="32458073" w14:textId="77777777" w:rsidR="00B11C29" w:rsidRDefault="00B11C29">
            <w:pPr>
              <w:pStyle w:val="Tableheading"/>
              <w:spacing w:line="256" w:lineRule="auto"/>
              <w:rPr>
                <w:lang w:eastAsia="en-US"/>
              </w:rPr>
            </w:pPr>
            <w:r>
              <w:rPr>
                <w:lang w:eastAsia="en-US"/>
              </w:rPr>
              <w:t>Further information is available from:</w:t>
            </w:r>
          </w:p>
        </w:tc>
      </w:tr>
      <w:tr w:rsidR="00B11C29" w14:paraId="25F6E3AF"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322AF820" w14:textId="77777777" w:rsidR="00B11C29" w:rsidRDefault="00B11C29">
            <w:pPr>
              <w:pStyle w:val="Tableheading"/>
              <w:keepNext w:val="0"/>
              <w:keepLines w:val="0"/>
              <w:spacing w:line="256" w:lineRule="auto"/>
              <w:rPr>
                <w:lang w:eastAsia="en-US"/>
              </w:rPr>
            </w:pPr>
            <w:r>
              <w:rPr>
                <w:lang w:eastAsia="en-US"/>
              </w:rPr>
              <w:t>ACT Civil and Administrative Appeals Tribunal</w:t>
            </w:r>
          </w:p>
          <w:p w14:paraId="357DBC44" w14:textId="77777777" w:rsidR="00B11C29" w:rsidRDefault="00B11C29">
            <w:pPr>
              <w:pStyle w:val="Tabletext"/>
              <w:rPr>
                <w:lang w:eastAsia="en-US"/>
              </w:rPr>
            </w:pPr>
            <w:r>
              <w:rPr>
                <w:lang w:eastAsia="en-US"/>
              </w:rPr>
              <w:t xml:space="preserve">For reviews of reviewable decisions made under certain legislation </w:t>
            </w:r>
          </w:p>
        </w:tc>
        <w:tc>
          <w:tcPr>
            <w:tcW w:w="4739" w:type="dxa"/>
            <w:tcBorders>
              <w:top w:val="single" w:sz="4" w:space="0" w:color="auto"/>
              <w:left w:val="single" w:sz="4" w:space="0" w:color="auto"/>
              <w:bottom w:val="single" w:sz="4" w:space="0" w:color="auto"/>
              <w:right w:val="single" w:sz="4" w:space="0" w:color="auto"/>
            </w:tcBorders>
            <w:hideMark/>
          </w:tcPr>
          <w:p w14:paraId="33AC51F9" w14:textId="77777777" w:rsidR="00B11C29" w:rsidRDefault="00B11C29">
            <w:pPr>
              <w:pStyle w:val="Tabletext"/>
              <w:rPr>
                <w:lang w:eastAsia="en-US"/>
              </w:rPr>
            </w:pPr>
            <w:r>
              <w:rPr>
                <w:lang w:eastAsia="en-US"/>
              </w:rPr>
              <w:t>Ph: (02) 6207 1740</w:t>
            </w:r>
          </w:p>
          <w:p w14:paraId="74D18C0E" w14:textId="77777777" w:rsidR="00B11C29" w:rsidRDefault="00094588">
            <w:pPr>
              <w:pStyle w:val="Tabletext"/>
              <w:rPr>
                <w:lang w:eastAsia="en-US"/>
              </w:rPr>
            </w:pPr>
            <w:hyperlink r:id="rId26" w:history="1">
              <w:r w:rsidR="00B11C29">
                <w:rPr>
                  <w:rStyle w:val="Hyperlink"/>
                  <w:lang w:eastAsia="en-US"/>
                </w:rPr>
                <w:t>ACT Civil and Administrative Appeals Tribunal</w:t>
              </w:r>
            </w:hyperlink>
          </w:p>
        </w:tc>
      </w:tr>
      <w:tr w:rsidR="00B11C29" w14:paraId="6B8BF77F"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0B8967F3" w14:textId="77777777" w:rsidR="00B11C29" w:rsidRDefault="00B11C29">
            <w:pPr>
              <w:pStyle w:val="Tableheading"/>
              <w:keepNext w:val="0"/>
              <w:keepLines w:val="0"/>
              <w:spacing w:line="256" w:lineRule="auto"/>
              <w:rPr>
                <w:lang w:eastAsia="en-US"/>
              </w:rPr>
            </w:pPr>
            <w:r>
              <w:rPr>
                <w:lang w:eastAsia="en-US"/>
              </w:rPr>
              <w:t>ACT Human Rights Commission</w:t>
            </w:r>
          </w:p>
          <w:p w14:paraId="316591AC" w14:textId="77777777" w:rsidR="00B11C29" w:rsidRDefault="00B11C29">
            <w:pPr>
              <w:pStyle w:val="Tabletext"/>
              <w:rPr>
                <w:lang w:eastAsia="en-US"/>
              </w:rPr>
            </w:pPr>
            <w:r>
              <w:rPr>
                <w:lang w:eastAsia="en-US"/>
              </w:rPr>
              <w:t xml:space="preserve">For complaints relating to children and young people, disability and community services, health services and human rights and discrimination </w:t>
            </w:r>
          </w:p>
        </w:tc>
        <w:tc>
          <w:tcPr>
            <w:tcW w:w="4739" w:type="dxa"/>
            <w:tcBorders>
              <w:top w:val="single" w:sz="4" w:space="0" w:color="auto"/>
              <w:left w:val="single" w:sz="4" w:space="0" w:color="auto"/>
              <w:bottom w:val="single" w:sz="4" w:space="0" w:color="auto"/>
              <w:right w:val="single" w:sz="4" w:space="0" w:color="auto"/>
            </w:tcBorders>
            <w:hideMark/>
          </w:tcPr>
          <w:p w14:paraId="20923666" w14:textId="77777777" w:rsidR="00B11C29" w:rsidRDefault="00B11C29">
            <w:pPr>
              <w:pStyle w:val="Tabletext"/>
              <w:rPr>
                <w:lang w:eastAsia="en-US"/>
              </w:rPr>
            </w:pPr>
            <w:r>
              <w:rPr>
                <w:lang w:eastAsia="en-US"/>
              </w:rPr>
              <w:t>Ph: (02) 6205 2222</w:t>
            </w:r>
          </w:p>
          <w:p w14:paraId="243DA266" w14:textId="77777777" w:rsidR="00B11C29" w:rsidRDefault="00094588">
            <w:pPr>
              <w:pStyle w:val="Tabletext"/>
              <w:rPr>
                <w:lang w:eastAsia="en-US"/>
              </w:rPr>
            </w:pPr>
            <w:hyperlink r:id="rId27" w:history="1">
              <w:r w:rsidR="00B11C29">
                <w:rPr>
                  <w:rStyle w:val="Hyperlink"/>
                  <w:lang w:eastAsia="en-US"/>
                </w:rPr>
                <w:t>ACT Human Rights Commission</w:t>
              </w:r>
            </w:hyperlink>
          </w:p>
        </w:tc>
      </w:tr>
      <w:tr w:rsidR="00B11C29" w14:paraId="5C6F7A0A"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73A2B82C" w14:textId="77777777" w:rsidR="00B11C29" w:rsidRDefault="00B11C29">
            <w:pPr>
              <w:pStyle w:val="Tableheading"/>
              <w:keepNext w:val="0"/>
              <w:keepLines w:val="0"/>
              <w:spacing w:line="256" w:lineRule="auto"/>
              <w:rPr>
                <w:lang w:eastAsia="en-US"/>
              </w:rPr>
            </w:pPr>
            <w:r>
              <w:rPr>
                <w:lang w:eastAsia="en-US"/>
              </w:rPr>
              <w:t>ACT Ombudsman</w:t>
            </w:r>
          </w:p>
          <w:p w14:paraId="448065B2" w14:textId="77777777" w:rsidR="00B11C29" w:rsidRDefault="00B11C29">
            <w:pPr>
              <w:pStyle w:val="Tabletext"/>
              <w:rPr>
                <w:lang w:eastAsia="en-US"/>
              </w:rPr>
            </w:pPr>
            <w:r>
              <w:rPr>
                <w:lang w:eastAsia="en-US"/>
              </w:rPr>
              <w:t>For complaints about the Directorate’s administrative actions and decisions</w:t>
            </w:r>
          </w:p>
        </w:tc>
        <w:tc>
          <w:tcPr>
            <w:tcW w:w="4739" w:type="dxa"/>
            <w:tcBorders>
              <w:top w:val="single" w:sz="4" w:space="0" w:color="auto"/>
              <w:left w:val="single" w:sz="4" w:space="0" w:color="auto"/>
              <w:bottom w:val="single" w:sz="4" w:space="0" w:color="auto"/>
              <w:right w:val="single" w:sz="4" w:space="0" w:color="auto"/>
            </w:tcBorders>
            <w:hideMark/>
          </w:tcPr>
          <w:p w14:paraId="0CCA454B" w14:textId="77777777" w:rsidR="00B11C29" w:rsidRDefault="00B11C29">
            <w:pPr>
              <w:pStyle w:val="Tabletext"/>
              <w:rPr>
                <w:lang w:eastAsia="en-US"/>
              </w:rPr>
            </w:pPr>
            <w:r>
              <w:rPr>
                <w:lang w:eastAsia="en-US"/>
              </w:rPr>
              <w:t>Ph: 1300 362 072</w:t>
            </w:r>
          </w:p>
          <w:p w14:paraId="46D109BD" w14:textId="77777777" w:rsidR="00B11C29" w:rsidRDefault="00094588">
            <w:pPr>
              <w:pStyle w:val="Tabletext"/>
              <w:rPr>
                <w:lang w:eastAsia="en-US"/>
              </w:rPr>
            </w:pPr>
            <w:hyperlink r:id="rId28" w:history="1">
              <w:r w:rsidR="00B11C29">
                <w:rPr>
                  <w:rStyle w:val="Hyperlink"/>
                  <w:lang w:eastAsia="en-US"/>
                </w:rPr>
                <w:t>ACT Ombudsman</w:t>
              </w:r>
            </w:hyperlink>
          </w:p>
        </w:tc>
      </w:tr>
      <w:tr w:rsidR="00B11C29" w14:paraId="2A719395"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3BA9BE6E" w14:textId="77777777" w:rsidR="00B11C29" w:rsidRDefault="00B11C29">
            <w:pPr>
              <w:pStyle w:val="Tableheading"/>
              <w:keepNext w:val="0"/>
              <w:keepLines w:val="0"/>
              <w:spacing w:line="256" w:lineRule="auto"/>
              <w:rPr>
                <w:lang w:eastAsia="en-US"/>
              </w:rPr>
            </w:pPr>
            <w:r>
              <w:rPr>
                <w:lang w:eastAsia="en-US"/>
              </w:rPr>
              <w:t>Fair Work Commission</w:t>
            </w:r>
          </w:p>
          <w:p w14:paraId="79FB51E8" w14:textId="77777777" w:rsidR="00B11C29" w:rsidRDefault="00B11C29">
            <w:pPr>
              <w:pStyle w:val="Tabletext"/>
              <w:rPr>
                <w:lang w:eastAsia="en-US"/>
              </w:rPr>
            </w:pPr>
            <w:r>
              <w:rPr>
                <w:lang w:eastAsia="en-US"/>
              </w:rPr>
              <w:t>In respect of dispute resolution of provisions in the Enterprise Agreement and Unfair Dismissal</w:t>
            </w:r>
          </w:p>
        </w:tc>
        <w:tc>
          <w:tcPr>
            <w:tcW w:w="4739" w:type="dxa"/>
            <w:tcBorders>
              <w:top w:val="single" w:sz="4" w:space="0" w:color="auto"/>
              <w:left w:val="single" w:sz="4" w:space="0" w:color="auto"/>
              <w:bottom w:val="single" w:sz="4" w:space="0" w:color="auto"/>
              <w:right w:val="single" w:sz="4" w:space="0" w:color="auto"/>
            </w:tcBorders>
            <w:hideMark/>
          </w:tcPr>
          <w:p w14:paraId="39822A37" w14:textId="77777777" w:rsidR="00B11C29" w:rsidRDefault="00B11C29">
            <w:pPr>
              <w:pStyle w:val="Tabletext"/>
              <w:rPr>
                <w:lang w:eastAsia="en-US"/>
              </w:rPr>
            </w:pPr>
            <w:r>
              <w:rPr>
                <w:lang w:eastAsia="en-US"/>
              </w:rPr>
              <w:t>Ph:1300 799 675</w:t>
            </w:r>
          </w:p>
          <w:p w14:paraId="519A606A" w14:textId="77777777" w:rsidR="00B11C29" w:rsidRDefault="00094588">
            <w:pPr>
              <w:pStyle w:val="Tabletext"/>
              <w:rPr>
                <w:lang w:eastAsia="en-US"/>
              </w:rPr>
            </w:pPr>
            <w:hyperlink r:id="rId29" w:history="1">
              <w:r w:rsidR="00B11C29">
                <w:rPr>
                  <w:rStyle w:val="Hyperlink"/>
                  <w:lang w:eastAsia="en-US"/>
                </w:rPr>
                <w:t>Fair Work Commission</w:t>
              </w:r>
            </w:hyperlink>
          </w:p>
        </w:tc>
      </w:tr>
      <w:tr w:rsidR="00B11C29" w14:paraId="5E1C7B7E"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62378322" w14:textId="77777777" w:rsidR="00B11C29" w:rsidRDefault="00B11C29">
            <w:pPr>
              <w:pStyle w:val="Tableheading"/>
              <w:keepNext w:val="0"/>
              <w:keepLines w:val="0"/>
              <w:spacing w:line="256" w:lineRule="auto"/>
              <w:rPr>
                <w:lang w:eastAsia="en-US"/>
              </w:rPr>
            </w:pPr>
            <w:r>
              <w:rPr>
                <w:lang w:eastAsia="en-US"/>
              </w:rPr>
              <w:t>Fair Work Ombudsman</w:t>
            </w:r>
          </w:p>
          <w:p w14:paraId="06AE9E8D" w14:textId="77777777" w:rsidR="00B11C29" w:rsidRDefault="00B11C29">
            <w:pPr>
              <w:pStyle w:val="Tabletext"/>
              <w:rPr>
                <w:lang w:eastAsia="en-US"/>
              </w:rPr>
            </w:pPr>
            <w:r>
              <w:rPr>
                <w:lang w:eastAsia="en-US"/>
              </w:rPr>
              <w:t>For complaints about contraventions of workplace laws, including enterprise agreements</w:t>
            </w:r>
          </w:p>
        </w:tc>
        <w:tc>
          <w:tcPr>
            <w:tcW w:w="4739" w:type="dxa"/>
            <w:tcBorders>
              <w:top w:val="single" w:sz="4" w:space="0" w:color="auto"/>
              <w:left w:val="single" w:sz="4" w:space="0" w:color="auto"/>
              <w:bottom w:val="single" w:sz="4" w:space="0" w:color="auto"/>
              <w:right w:val="single" w:sz="4" w:space="0" w:color="auto"/>
            </w:tcBorders>
            <w:hideMark/>
          </w:tcPr>
          <w:p w14:paraId="7405299D" w14:textId="77777777" w:rsidR="00B11C29" w:rsidRDefault="00B11C29">
            <w:pPr>
              <w:pStyle w:val="Tabletext"/>
              <w:rPr>
                <w:lang w:eastAsia="en-US"/>
              </w:rPr>
            </w:pPr>
            <w:r>
              <w:rPr>
                <w:lang w:eastAsia="en-US"/>
              </w:rPr>
              <w:t>Ph: 13 13 94</w:t>
            </w:r>
          </w:p>
          <w:p w14:paraId="051A5430" w14:textId="77777777" w:rsidR="00B11C29" w:rsidRDefault="00094588">
            <w:pPr>
              <w:pStyle w:val="Tabletext"/>
              <w:rPr>
                <w:lang w:eastAsia="en-US"/>
              </w:rPr>
            </w:pPr>
            <w:hyperlink r:id="rId30" w:history="1">
              <w:r w:rsidR="00B11C29">
                <w:rPr>
                  <w:rStyle w:val="Hyperlink"/>
                  <w:lang w:eastAsia="en-US"/>
                </w:rPr>
                <w:t>Fair Work Ombudsman</w:t>
              </w:r>
            </w:hyperlink>
          </w:p>
        </w:tc>
      </w:tr>
      <w:tr w:rsidR="00B11C29" w14:paraId="278398DE"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05BA8A9C" w14:textId="77777777" w:rsidR="00B11C29" w:rsidRDefault="00B11C29">
            <w:pPr>
              <w:pStyle w:val="Tableheading"/>
              <w:keepNext w:val="0"/>
              <w:keepLines w:val="0"/>
              <w:spacing w:line="256" w:lineRule="auto"/>
              <w:rPr>
                <w:lang w:eastAsia="en-US"/>
              </w:rPr>
            </w:pPr>
            <w:r>
              <w:rPr>
                <w:lang w:eastAsia="en-US"/>
              </w:rPr>
              <w:t>Human Rights and Equal Opportunity Commission</w:t>
            </w:r>
          </w:p>
          <w:p w14:paraId="6064437C" w14:textId="77777777" w:rsidR="00B11C29" w:rsidRDefault="00B11C29">
            <w:pPr>
              <w:pStyle w:val="Tabletext"/>
              <w:rPr>
                <w:lang w:eastAsia="en-US"/>
              </w:rPr>
            </w:pPr>
            <w:r>
              <w:rPr>
                <w:lang w:eastAsia="en-US"/>
              </w:rPr>
              <w:t>For complaints of discrimination and breaches of human rights</w:t>
            </w:r>
          </w:p>
        </w:tc>
        <w:tc>
          <w:tcPr>
            <w:tcW w:w="4739" w:type="dxa"/>
            <w:tcBorders>
              <w:top w:val="single" w:sz="4" w:space="0" w:color="auto"/>
              <w:left w:val="single" w:sz="4" w:space="0" w:color="auto"/>
              <w:bottom w:val="single" w:sz="4" w:space="0" w:color="auto"/>
              <w:right w:val="single" w:sz="4" w:space="0" w:color="auto"/>
            </w:tcBorders>
          </w:tcPr>
          <w:p w14:paraId="017DCA76" w14:textId="77777777" w:rsidR="00B11C29" w:rsidRDefault="00B11C29">
            <w:pPr>
              <w:pStyle w:val="Tabletext"/>
              <w:rPr>
                <w:lang w:eastAsia="en-US"/>
              </w:rPr>
            </w:pPr>
            <w:r>
              <w:rPr>
                <w:lang w:eastAsia="en-US"/>
              </w:rPr>
              <w:t>Ph: 1300 656 419</w:t>
            </w:r>
          </w:p>
          <w:p w14:paraId="51CCBF3F" w14:textId="77777777" w:rsidR="00B11C29" w:rsidRDefault="00094588">
            <w:pPr>
              <w:pStyle w:val="Tabletext"/>
              <w:rPr>
                <w:lang w:eastAsia="en-US"/>
              </w:rPr>
            </w:pPr>
            <w:hyperlink r:id="rId31" w:history="1">
              <w:r w:rsidR="00B11C29">
                <w:rPr>
                  <w:rStyle w:val="Hyperlink"/>
                  <w:lang w:eastAsia="en-US"/>
                </w:rPr>
                <w:t>Human Rights and Equal Opportunity Commission</w:t>
              </w:r>
            </w:hyperlink>
          </w:p>
          <w:p w14:paraId="36D1BE70" w14:textId="77777777" w:rsidR="00B11C29" w:rsidRDefault="00B11C29">
            <w:pPr>
              <w:pStyle w:val="Tabletext"/>
              <w:rPr>
                <w:lang w:eastAsia="en-US"/>
              </w:rPr>
            </w:pPr>
          </w:p>
        </w:tc>
      </w:tr>
      <w:tr w:rsidR="00B11C29" w14:paraId="59477E8A"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7E8C4FBE" w14:textId="77777777" w:rsidR="00B11C29" w:rsidRDefault="00B11C29">
            <w:pPr>
              <w:pStyle w:val="Tableheading"/>
              <w:keepNext w:val="0"/>
              <w:keepLines w:val="0"/>
              <w:spacing w:line="256" w:lineRule="auto"/>
              <w:rPr>
                <w:lang w:eastAsia="en-US"/>
              </w:rPr>
            </w:pPr>
            <w:r>
              <w:rPr>
                <w:lang w:eastAsia="en-US"/>
              </w:rPr>
              <w:t>Office of the Australian Information Commissioner</w:t>
            </w:r>
          </w:p>
          <w:p w14:paraId="67DC16B8" w14:textId="77777777" w:rsidR="00B11C29" w:rsidRDefault="00B11C29">
            <w:pPr>
              <w:pStyle w:val="Tabletext"/>
              <w:rPr>
                <w:lang w:eastAsia="en-US"/>
              </w:rPr>
            </w:pPr>
            <w:r>
              <w:rPr>
                <w:lang w:eastAsia="en-US"/>
              </w:rPr>
              <w:t>For complaints about breaches of privacy</w:t>
            </w:r>
          </w:p>
        </w:tc>
        <w:tc>
          <w:tcPr>
            <w:tcW w:w="4739" w:type="dxa"/>
            <w:tcBorders>
              <w:top w:val="single" w:sz="4" w:space="0" w:color="auto"/>
              <w:left w:val="single" w:sz="4" w:space="0" w:color="auto"/>
              <w:bottom w:val="single" w:sz="4" w:space="0" w:color="auto"/>
              <w:right w:val="single" w:sz="4" w:space="0" w:color="auto"/>
            </w:tcBorders>
            <w:hideMark/>
          </w:tcPr>
          <w:p w14:paraId="016083DD" w14:textId="77777777" w:rsidR="00B11C29" w:rsidRDefault="00B11C29">
            <w:pPr>
              <w:pStyle w:val="Tabletext"/>
              <w:rPr>
                <w:lang w:eastAsia="en-US"/>
              </w:rPr>
            </w:pPr>
            <w:r>
              <w:rPr>
                <w:lang w:eastAsia="en-US"/>
              </w:rPr>
              <w:t>Ph: 1300 363 992</w:t>
            </w:r>
          </w:p>
          <w:p w14:paraId="6EAF61CA" w14:textId="77777777" w:rsidR="00B11C29" w:rsidRDefault="00094588">
            <w:pPr>
              <w:pStyle w:val="Tabletext"/>
              <w:rPr>
                <w:lang w:eastAsia="en-US"/>
              </w:rPr>
            </w:pPr>
            <w:hyperlink r:id="rId32" w:history="1">
              <w:r w:rsidR="00B11C29">
                <w:rPr>
                  <w:rStyle w:val="Hyperlink"/>
                  <w:lang w:eastAsia="en-US"/>
                </w:rPr>
                <w:t xml:space="preserve">Office of the Australian Information Commissioner </w:t>
              </w:r>
            </w:hyperlink>
          </w:p>
        </w:tc>
      </w:tr>
      <w:tr w:rsidR="00B11C29" w14:paraId="3D60A30D" w14:textId="77777777" w:rsidTr="00B11C29">
        <w:tc>
          <w:tcPr>
            <w:tcW w:w="4503" w:type="dxa"/>
            <w:tcBorders>
              <w:top w:val="single" w:sz="4" w:space="0" w:color="auto"/>
              <w:left w:val="single" w:sz="4" w:space="0" w:color="auto"/>
              <w:bottom w:val="single" w:sz="4" w:space="0" w:color="auto"/>
              <w:right w:val="single" w:sz="4" w:space="0" w:color="auto"/>
            </w:tcBorders>
            <w:hideMark/>
          </w:tcPr>
          <w:p w14:paraId="26CE58C3" w14:textId="77777777" w:rsidR="00B11C29" w:rsidRDefault="00B11C29">
            <w:pPr>
              <w:pStyle w:val="Tableheading"/>
              <w:keepNext w:val="0"/>
              <w:keepLines w:val="0"/>
              <w:spacing w:line="256" w:lineRule="auto"/>
              <w:rPr>
                <w:lang w:eastAsia="en-US"/>
              </w:rPr>
            </w:pPr>
            <w:r>
              <w:rPr>
                <w:lang w:eastAsia="en-US"/>
              </w:rPr>
              <w:t>ACT Integrity Commission</w:t>
            </w:r>
          </w:p>
          <w:p w14:paraId="55300881" w14:textId="77777777" w:rsidR="00B11C29" w:rsidRDefault="00B11C29">
            <w:pPr>
              <w:pStyle w:val="Tableheading"/>
              <w:keepNext w:val="0"/>
              <w:keepLines w:val="0"/>
              <w:spacing w:line="256" w:lineRule="auto"/>
              <w:rPr>
                <w:lang w:eastAsia="en-US"/>
              </w:rPr>
            </w:pPr>
            <w:r>
              <w:rPr>
                <w:b w:val="0"/>
                <w:bCs/>
                <w:lang w:eastAsia="en-US"/>
              </w:rPr>
              <w:t>For corruption, maladministration, or conduct that poses a substantial and specific danger to public health or safety, or the environment.</w:t>
            </w:r>
          </w:p>
        </w:tc>
        <w:tc>
          <w:tcPr>
            <w:tcW w:w="4739" w:type="dxa"/>
            <w:tcBorders>
              <w:top w:val="single" w:sz="4" w:space="0" w:color="auto"/>
              <w:left w:val="single" w:sz="4" w:space="0" w:color="auto"/>
              <w:bottom w:val="single" w:sz="4" w:space="0" w:color="auto"/>
              <w:right w:val="single" w:sz="4" w:space="0" w:color="auto"/>
            </w:tcBorders>
            <w:hideMark/>
          </w:tcPr>
          <w:p w14:paraId="2EC32AA2" w14:textId="77777777" w:rsidR="00B11C29" w:rsidRDefault="00B11C29">
            <w:pPr>
              <w:pStyle w:val="Tabletext"/>
              <w:rPr>
                <w:lang w:eastAsia="en-US"/>
              </w:rPr>
            </w:pPr>
            <w:r>
              <w:rPr>
                <w:lang w:eastAsia="en-US"/>
              </w:rPr>
              <w:t>Ph: (02) 6205 9899</w:t>
            </w:r>
          </w:p>
          <w:p w14:paraId="104766AA" w14:textId="77777777" w:rsidR="00B11C29" w:rsidRDefault="00094588">
            <w:pPr>
              <w:pStyle w:val="Tabletext"/>
              <w:rPr>
                <w:lang w:eastAsia="en-US"/>
              </w:rPr>
            </w:pPr>
            <w:hyperlink r:id="rId33" w:history="1">
              <w:r w:rsidR="00B11C29">
                <w:rPr>
                  <w:rStyle w:val="Hyperlink"/>
                  <w:lang w:eastAsia="en-US"/>
                </w:rPr>
                <w:t>ACT Integrity Commissioner Complaints</w:t>
              </w:r>
            </w:hyperlink>
          </w:p>
          <w:p w14:paraId="1E3A4B1F" w14:textId="77777777" w:rsidR="00B11C29" w:rsidRDefault="00094588">
            <w:pPr>
              <w:pStyle w:val="Tabletext"/>
              <w:rPr>
                <w:lang w:eastAsia="en-US"/>
              </w:rPr>
            </w:pPr>
            <w:hyperlink r:id="rId34" w:history="1">
              <w:r w:rsidR="00B11C29">
                <w:rPr>
                  <w:rStyle w:val="Hyperlink"/>
                  <w:lang w:eastAsia="en-US"/>
                </w:rPr>
                <w:t>ACT Integrity Commissioner Enquires</w:t>
              </w:r>
            </w:hyperlink>
          </w:p>
        </w:tc>
      </w:tr>
    </w:tbl>
    <w:p w14:paraId="3F5C0BCE" w14:textId="77777777" w:rsidR="00B11C29" w:rsidRDefault="00B11C29" w:rsidP="00B11C29"/>
    <w:p w14:paraId="1A4352BB" w14:textId="77777777" w:rsidR="00435E41" w:rsidRDefault="00435E41" w:rsidP="00435E41">
      <w:pPr>
        <w:pStyle w:val="Heading2"/>
      </w:pPr>
      <w:bookmarkStart w:id="56" w:name="19.__Different_Complaints"/>
      <w:bookmarkStart w:id="57" w:name="20.__Promulgating_lessons_learned_into_J"/>
      <w:bookmarkStart w:id="58" w:name="_Toc130374262"/>
      <w:bookmarkStart w:id="59" w:name="_Toc404852040"/>
      <w:bookmarkEnd w:id="55"/>
      <w:bookmarkEnd w:id="56"/>
      <w:bookmarkEnd w:id="57"/>
      <w:r>
        <w:t>2.4</w:t>
      </w:r>
      <w:r>
        <w:tab/>
        <w:t>Closing the Complaint</w:t>
      </w:r>
      <w:bookmarkEnd w:id="58"/>
    </w:p>
    <w:p w14:paraId="23C99CD0" w14:textId="77777777" w:rsidR="00435E41" w:rsidRDefault="00435E41" w:rsidP="00435E41">
      <w:pPr>
        <w:rPr>
          <w:lang w:eastAsia="ja-JP"/>
        </w:rPr>
      </w:pPr>
      <w:r>
        <w:rPr>
          <w:lang w:eastAsia="ja-JP"/>
        </w:rPr>
        <w:t>Once the complainant has been notified of the outcome, business units are responsible for notifying the CMTEDD Complaints Manager of the findings of any investigation into the complaint (where appropriate), the decision made in relation to the complaint, and the date the complainant was notified of the outcome, or if it was an anonymous complaint, the date the matter finalised.</w:t>
      </w:r>
    </w:p>
    <w:p w14:paraId="089198FB" w14:textId="77777777" w:rsidR="00435E41" w:rsidRDefault="00435E41" w:rsidP="00435E41">
      <w:pPr>
        <w:rPr>
          <w:lang w:eastAsia="ja-JP"/>
        </w:rPr>
      </w:pPr>
      <w:r>
        <w:rPr>
          <w:lang w:eastAsia="ja-JP"/>
        </w:rPr>
        <w:t>The Complaints Manager will update the register accordingly and close the case.</w:t>
      </w:r>
    </w:p>
    <w:p w14:paraId="0749D715" w14:textId="77777777" w:rsidR="00435E41" w:rsidRDefault="00435E41" w:rsidP="00435E41">
      <w:pPr>
        <w:pStyle w:val="Heading2"/>
      </w:pPr>
      <w:bookmarkStart w:id="60" w:name="21.__Alternative_complaint_resolution_me"/>
      <w:bookmarkStart w:id="61" w:name="_Toc130374263"/>
      <w:bookmarkStart w:id="62" w:name="_Toc404852042"/>
      <w:bookmarkEnd w:id="59"/>
      <w:bookmarkEnd w:id="60"/>
      <w:r>
        <w:lastRenderedPageBreak/>
        <w:t>2.5 Reporting and analysis of lessons learned</w:t>
      </w:r>
      <w:bookmarkEnd w:id="61"/>
    </w:p>
    <w:p w14:paraId="36CCEC63" w14:textId="77777777" w:rsidR="00435E41" w:rsidRDefault="00435E41" w:rsidP="00435E41">
      <w:r>
        <w:t>A complaint may point to a systemic administrative problem in the Directorate – a defect in administration that may have occurred in other cases and could occur in future.  Business units are responsible for monitoring complaint issues and trends and undertaking internal reporting and analysis to discover trending issues, or areas of good performance or areas for improvement.</w:t>
      </w:r>
    </w:p>
    <w:p w14:paraId="6E956ECC" w14:textId="77777777" w:rsidR="00435E41" w:rsidRDefault="00435E41" w:rsidP="00435E41">
      <w:r>
        <w:t>Information contained within the complaints register managed by the CMTEDD Complaints Manager will be used by CMTEDD to identify any systemic issues and provided in a report format to senior executives.</w:t>
      </w:r>
    </w:p>
    <w:p w14:paraId="71509DE3" w14:textId="75DD6201" w:rsidR="003D3C80" w:rsidRDefault="003D3C80" w:rsidP="00C6673A">
      <w:pPr>
        <w:pStyle w:val="Heading1"/>
      </w:pPr>
      <w:bookmarkStart w:id="63" w:name="_Toc401240028"/>
      <w:bookmarkStart w:id="64" w:name="_Toc404852045"/>
      <w:bookmarkStart w:id="65" w:name="_Toc130374264"/>
      <w:bookmarkEnd w:id="62"/>
      <w:r w:rsidRPr="00EF456E">
        <w:t>Definitions/Glossary</w:t>
      </w:r>
      <w:bookmarkEnd w:id="63"/>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5"/>
      </w:tblGrid>
      <w:tr w:rsidR="003D3C80" w14:paraId="23F5AA89" w14:textId="77777777" w:rsidTr="00B232C4">
        <w:trPr>
          <w:cantSplit/>
          <w:tblHeader/>
        </w:trPr>
        <w:tc>
          <w:tcPr>
            <w:tcW w:w="2235" w:type="dxa"/>
          </w:tcPr>
          <w:p w14:paraId="3CC60307" w14:textId="77777777" w:rsidR="003D3C80" w:rsidRDefault="003D3C80" w:rsidP="00B232C4">
            <w:pPr>
              <w:pStyle w:val="Tableheading"/>
            </w:pPr>
            <w:r>
              <w:t>Term</w:t>
            </w:r>
          </w:p>
        </w:tc>
        <w:tc>
          <w:tcPr>
            <w:tcW w:w="7335" w:type="dxa"/>
          </w:tcPr>
          <w:p w14:paraId="136EFD3C" w14:textId="77777777" w:rsidR="003D3C80" w:rsidRDefault="003D3C80" w:rsidP="00B232C4">
            <w:pPr>
              <w:pStyle w:val="Tableheading"/>
            </w:pPr>
            <w:r>
              <w:t>Definition</w:t>
            </w:r>
          </w:p>
        </w:tc>
      </w:tr>
      <w:tr w:rsidR="003D3C80" w14:paraId="25E1EAF8" w14:textId="77777777" w:rsidTr="00B232C4">
        <w:trPr>
          <w:cantSplit/>
        </w:trPr>
        <w:tc>
          <w:tcPr>
            <w:tcW w:w="2235" w:type="dxa"/>
          </w:tcPr>
          <w:p w14:paraId="229C050A" w14:textId="77777777" w:rsidR="003D3C80" w:rsidRPr="001F72E1" w:rsidRDefault="003D3C80" w:rsidP="00B232C4">
            <w:pPr>
              <w:pStyle w:val="Tabletext"/>
            </w:pPr>
            <w:r w:rsidRPr="001F72E1">
              <w:t>Allegation</w:t>
            </w:r>
          </w:p>
        </w:tc>
        <w:tc>
          <w:tcPr>
            <w:tcW w:w="7335" w:type="dxa"/>
          </w:tcPr>
          <w:p w14:paraId="567A1E1C" w14:textId="77777777" w:rsidR="003D3C80" w:rsidRPr="001F72E1" w:rsidRDefault="003D3C80" w:rsidP="00B232C4">
            <w:pPr>
              <w:pStyle w:val="Tabletext"/>
            </w:pPr>
            <w:r w:rsidRPr="001F72E1">
              <w:t>A statement of claimed fact/s or assertion/contained in a complaint which needs to be proven or disproven.</w:t>
            </w:r>
          </w:p>
        </w:tc>
      </w:tr>
      <w:tr w:rsidR="003D3C80" w14:paraId="7F1CDA98" w14:textId="77777777" w:rsidTr="00B232C4">
        <w:trPr>
          <w:cantSplit/>
        </w:trPr>
        <w:tc>
          <w:tcPr>
            <w:tcW w:w="2235" w:type="dxa"/>
          </w:tcPr>
          <w:p w14:paraId="66FFFAEB" w14:textId="77777777" w:rsidR="003D3C80" w:rsidRPr="001F72E1" w:rsidRDefault="003D3C80" w:rsidP="00B232C4">
            <w:pPr>
              <w:pStyle w:val="Tabletext"/>
            </w:pPr>
            <w:r w:rsidRPr="001F72E1">
              <w:t>Complainant</w:t>
            </w:r>
          </w:p>
        </w:tc>
        <w:tc>
          <w:tcPr>
            <w:tcW w:w="7335" w:type="dxa"/>
          </w:tcPr>
          <w:p w14:paraId="0549E683" w14:textId="77777777" w:rsidR="003D3C80" w:rsidRPr="001F72E1" w:rsidRDefault="003D3C80" w:rsidP="00B232C4">
            <w:pPr>
              <w:pStyle w:val="Tabletext"/>
            </w:pPr>
            <w:r w:rsidRPr="001F72E1">
              <w:t>Person or entity affected by the actions or inaction of the organisation, who makes a complaint to the organisation.</w:t>
            </w:r>
          </w:p>
        </w:tc>
      </w:tr>
      <w:tr w:rsidR="003D3C80" w14:paraId="61796BE3" w14:textId="77777777" w:rsidTr="00B232C4">
        <w:trPr>
          <w:cantSplit/>
        </w:trPr>
        <w:tc>
          <w:tcPr>
            <w:tcW w:w="2235" w:type="dxa"/>
          </w:tcPr>
          <w:p w14:paraId="10FB0377" w14:textId="77777777" w:rsidR="003D3C80" w:rsidRPr="001F72E1" w:rsidRDefault="003D3C80" w:rsidP="00B232C4">
            <w:pPr>
              <w:pStyle w:val="Tabletext"/>
            </w:pPr>
            <w:r w:rsidRPr="001F72E1">
              <w:t>Complaint</w:t>
            </w:r>
          </w:p>
        </w:tc>
        <w:tc>
          <w:tcPr>
            <w:tcW w:w="7335" w:type="dxa"/>
          </w:tcPr>
          <w:p w14:paraId="08C0A4A8" w14:textId="77777777" w:rsidR="003D3C80" w:rsidRPr="001F72E1" w:rsidRDefault="003D3C80" w:rsidP="00B232C4">
            <w:pPr>
              <w:pStyle w:val="Tabletext"/>
            </w:pPr>
            <w:r w:rsidRPr="001F72E1">
              <w:t xml:space="preserve">An expression of dissatisfaction however made about the conduct, </w:t>
            </w:r>
            <w:proofErr w:type="gramStart"/>
            <w:r w:rsidRPr="001F72E1">
              <w:t>actions</w:t>
            </w:r>
            <w:proofErr w:type="gramEnd"/>
            <w:r w:rsidRPr="001F72E1">
              <w:t xml:space="preserve"> or lack of action by a </w:t>
            </w:r>
            <w:r>
              <w:t>CMTEDD staff</w:t>
            </w:r>
            <w:r w:rsidRPr="001F72E1">
              <w:t>.</w:t>
            </w:r>
          </w:p>
        </w:tc>
      </w:tr>
      <w:tr w:rsidR="003D3C80" w14:paraId="44700AD2" w14:textId="77777777" w:rsidTr="00B232C4">
        <w:trPr>
          <w:cantSplit/>
        </w:trPr>
        <w:tc>
          <w:tcPr>
            <w:tcW w:w="2235" w:type="dxa"/>
          </w:tcPr>
          <w:p w14:paraId="0A2CDFC6" w14:textId="77777777" w:rsidR="003D3C80" w:rsidRPr="000C74E3" w:rsidRDefault="003D3C80" w:rsidP="00B232C4">
            <w:pPr>
              <w:pStyle w:val="Tabletext"/>
            </w:pPr>
            <w:r w:rsidRPr="000C74E3">
              <w:t>Directorate</w:t>
            </w:r>
          </w:p>
        </w:tc>
        <w:tc>
          <w:tcPr>
            <w:tcW w:w="7335" w:type="dxa"/>
          </w:tcPr>
          <w:p w14:paraId="76916F84" w14:textId="77777777" w:rsidR="003D3C80" w:rsidRPr="001F72E1" w:rsidRDefault="003D3C80" w:rsidP="00B232C4">
            <w:pPr>
              <w:pStyle w:val="Tabletext"/>
            </w:pPr>
            <w:r>
              <w:t xml:space="preserve">Chief Minister, Treasury and Economic Development </w:t>
            </w:r>
            <w:r w:rsidRPr="0026739D">
              <w:rPr>
                <w:spacing w:val="-2"/>
              </w:rPr>
              <w:t>Directorate</w:t>
            </w:r>
            <w:r>
              <w:rPr>
                <w:spacing w:val="-2"/>
              </w:rPr>
              <w:t xml:space="preserve"> (CMTEDD)</w:t>
            </w:r>
          </w:p>
        </w:tc>
      </w:tr>
      <w:tr w:rsidR="003D3C80" w14:paraId="22D72112" w14:textId="77777777" w:rsidTr="00B232C4">
        <w:trPr>
          <w:cantSplit/>
        </w:trPr>
        <w:tc>
          <w:tcPr>
            <w:tcW w:w="2235" w:type="dxa"/>
          </w:tcPr>
          <w:p w14:paraId="195BFB79" w14:textId="77777777" w:rsidR="003D3C80" w:rsidRPr="001F72E1" w:rsidRDefault="003D3C80" w:rsidP="00B232C4">
            <w:pPr>
              <w:pStyle w:val="Tabletext"/>
            </w:pPr>
            <w:r w:rsidRPr="0026739D">
              <w:rPr>
                <w:spacing w:val="-2"/>
              </w:rPr>
              <w:t>Maladministration</w:t>
            </w:r>
          </w:p>
        </w:tc>
        <w:tc>
          <w:tcPr>
            <w:tcW w:w="7335" w:type="dxa"/>
          </w:tcPr>
          <w:p w14:paraId="78CB1AFC" w14:textId="77777777" w:rsidR="003D3C80" w:rsidRPr="001F72E1" w:rsidRDefault="003D3C80" w:rsidP="00B232C4">
            <w:pPr>
              <w:pStyle w:val="Tabletext"/>
            </w:pPr>
            <w:r>
              <w:t>An</w:t>
            </w:r>
            <w:r w:rsidRPr="0026739D">
              <w:rPr>
                <w:spacing w:val="-1"/>
              </w:rPr>
              <w:t xml:space="preserve"> action</w:t>
            </w:r>
            <w:r w:rsidRPr="0026739D">
              <w:rPr>
                <w:spacing w:val="-4"/>
              </w:rPr>
              <w:t xml:space="preserve"> </w:t>
            </w:r>
            <w:r w:rsidRPr="0026739D">
              <w:rPr>
                <w:spacing w:val="-2"/>
              </w:rPr>
              <w:t xml:space="preserve">about </w:t>
            </w:r>
            <w:r>
              <w:t>a</w:t>
            </w:r>
            <w:r w:rsidRPr="0026739D">
              <w:rPr>
                <w:spacing w:val="-1"/>
              </w:rPr>
              <w:t xml:space="preserve"> matter</w:t>
            </w:r>
            <w:r w:rsidRPr="0026739D">
              <w:rPr>
                <w:spacing w:val="-2"/>
              </w:rPr>
              <w:t xml:space="preserve"> </w:t>
            </w:r>
            <w:r w:rsidRPr="0026739D">
              <w:rPr>
                <w:spacing w:val="-1"/>
              </w:rPr>
              <w:t>of</w:t>
            </w:r>
            <w:r w:rsidRPr="0026739D">
              <w:rPr>
                <w:spacing w:val="-2"/>
              </w:rPr>
              <w:t xml:space="preserve"> administration</w:t>
            </w:r>
            <w:r w:rsidRPr="0026739D">
              <w:rPr>
                <w:spacing w:val="-1"/>
              </w:rPr>
              <w:t xml:space="preserve"> that</w:t>
            </w:r>
            <w:r w:rsidRPr="0026739D">
              <w:rPr>
                <w:spacing w:val="-2"/>
              </w:rPr>
              <w:t xml:space="preserve"> </w:t>
            </w:r>
            <w:r w:rsidRPr="0026739D">
              <w:rPr>
                <w:spacing w:val="-1"/>
              </w:rPr>
              <w:t xml:space="preserve">was </w:t>
            </w:r>
            <w:r w:rsidRPr="0026739D">
              <w:rPr>
                <w:spacing w:val="-2"/>
              </w:rPr>
              <w:t>contrary</w:t>
            </w:r>
            <w:r w:rsidRPr="0026739D">
              <w:rPr>
                <w:spacing w:val="-1"/>
              </w:rPr>
              <w:t xml:space="preserve"> to the law</w:t>
            </w:r>
            <w:r>
              <w:t xml:space="preserve"> </w:t>
            </w:r>
            <w:r w:rsidRPr="0026739D">
              <w:rPr>
                <w:spacing w:val="-1"/>
              </w:rPr>
              <w:t>in</w:t>
            </w:r>
            <w:r w:rsidRPr="0026739D">
              <w:rPr>
                <w:spacing w:val="1"/>
              </w:rPr>
              <w:t xml:space="preserve"> </w:t>
            </w:r>
            <w:r w:rsidRPr="0026739D">
              <w:rPr>
                <w:spacing w:val="-1"/>
              </w:rPr>
              <w:t>force in</w:t>
            </w:r>
            <w:r w:rsidRPr="0026739D">
              <w:rPr>
                <w:spacing w:val="63"/>
              </w:rPr>
              <w:t xml:space="preserve"> </w:t>
            </w:r>
            <w:r w:rsidRPr="0026739D">
              <w:rPr>
                <w:spacing w:val="-1"/>
              </w:rPr>
              <w:t xml:space="preserve">the </w:t>
            </w:r>
            <w:r>
              <w:t xml:space="preserve">ACT, </w:t>
            </w:r>
            <w:r w:rsidRPr="0026739D">
              <w:rPr>
                <w:spacing w:val="-1"/>
              </w:rPr>
              <w:t>or</w:t>
            </w:r>
            <w:r w:rsidRPr="0026739D">
              <w:rPr>
                <w:spacing w:val="-2"/>
              </w:rPr>
              <w:t xml:space="preserve"> unreasonable,</w:t>
            </w:r>
            <w:r>
              <w:t xml:space="preserve"> </w:t>
            </w:r>
            <w:r w:rsidRPr="0026739D">
              <w:rPr>
                <w:spacing w:val="-2"/>
              </w:rPr>
              <w:t>unjust,</w:t>
            </w:r>
            <w:r>
              <w:t xml:space="preserve"> </w:t>
            </w:r>
            <w:proofErr w:type="gramStart"/>
            <w:r w:rsidRPr="0026739D">
              <w:rPr>
                <w:spacing w:val="-1"/>
              </w:rPr>
              <w:t>oppressive</w:t>
            </w:r>
            <w:proofErr w:type="gramEnd"/>
            <w:r w:rsidRPr="0026739D">
              <w:rPr>
                <w:spacing w:val="-1"/>
              </w:rPr>
              <w:t xml:space="preserve"> or</w:t>
            </w:r>
            <w:r w:rsidRPr="0026739D">
              <w:rPr>
                <w:spacing w:val="-2"/>
              </w:rPr>
              <w:t xml:space="preserve"> </w:t>
            </w:r>
            <w:r w:rsidRPr="0026739D">
              <w:rPr>
                <w:spacing w:val="-1"/>
              </w:rPr>
              <w:t>improperly discriminatory,</w:t>
            </w:r>
            <w:r>
              <w:t xml:space="preserve"> </w:t>
            </w:r>
            <w:r w:rsidRPr="0026739D">
              <w:rPr>
                <w:spacing w:val="-2"/>
              </w:rPr>
              <w:t>if</w:t>
            </w:r>
            <w:r w:rsidRPr="0026739D">
              <w:rPr>
                <w:spacing w:val="35"/>
              </w:rPr>
              <w:t xml:space="preserve"> </w:t>
            </w:r>
            <w:r w:rsidRPr="0026739D">
              <w:rPr>
                <w:spacing w:val="-1"/>
              </w:rPr>
              <w:t>negligent,</w:t>
            </w:r>
            <w:r>
              <w:t xml:space="preserve"> </w:t>
            </w:r>
            <w:r w:rsidRPr="0026739D">
              <w:rPr>
                <w:spacing w:val="-1"/>
              </w:rPr>
              <w:t>or</w:t>
            </w:r>
            <w:r w:rsidRPr="0026739D">
              <w:rPr>
                <w:spacing w:val="-2"/>
              </w:rPr>
              <w:t xml:space="preserve"> based</w:t>
            </w:r>
            <w:r w:rsidRPr="0026739D">
              <w:rPr>
                <w:spacing w:val="-1"/>
              </w:rPr>
              <w:t xml:space="preserve"> wholly or</w:t>
            </w:r>
            <w:r w:rsidRPr="0026739D">
              <w:rPr>
                <w:spacing w:val="-2"/>
              </w:rPr>
              <w:t xml:space="preserve"> </w:t>
            </w:r>
            <w:r w:rsidRPr="0026739D">
              <w:rPr>
                <w:spacing w:val="-1"/>
              </w:rPr>
              <w:t>partly on improper</w:t>
            </w:r>
            <w:r w:rsidRPr="0026739D">
              <w:rPr>
                <w:spacing w:val="-4"/>
              </w:rPr>
              <w:t xml:space="preserve"> </w:t>
            </w:r>
            <w:r w:rsidRPr="0026739D">
              <w:rPr>
                <w:spacing w:val="-2"/>
              </w:rPr>
              <w:t>motives.</w:t>
            </w:r>
          </w:p>
        </w:tc>
      </w:tr>
      <w:tr w:rsidR="003D3C80" w14:paraId="539F3A47" w14:textId="77777777" w:rsidTr="00B232C4">
        <w:trPr>
          <w:cantSplit/>
        </w:trPr>
        <w:tc>
          <w:tcPr>
            <w:tcW w:w="2235" w:type="dxa"/>
          </w:tcPr>
          <w:p w14:paraId="321C7C31" w14:textId="77777777" w:rsidR="003D3C80" w:rsidRPr="001F72E1" w:rsidRDefault="003D3C80" w:rsidP="00B232C4">
            <w:pPr>
              <w:pStyle w:val="Tabletext"/>
            </w:pPr>
            <w:r w:rsidRPr="0026739D">
              <w:rPr>
                <w:spacing w:val="-1"/>
              </w:rPr>
              <w:t>Misconduct</w:t>
            </w:r>
          </w:p>
        </w:tc>
        <w:tc>
          <w:tcPr>
            <w:tcW w:w="7335" w:type="dxa"/>
          </w:tcPr>
          <w:p w14:paraId="09D536AD" w14:textId="77777777" w:rsidR="003D3C80" w:rsidRPr="001F72E1" w:rsidRDefault="003D3C80" w:rsidP="00B232C4">
            <w:pPr>
              <w:pStyle w:val="Tabletext"/>
            </w:pPr>
            <w:r w:rsidRPr="0026739D">
              <w:rPr>
                <w:spacing w:val="-1"/>
              </w:rPr>
              <w:t>Disgraceful</w:t>
            </w:r>
            <w:r w:rsidRPr="0026739D">
              <w:rPr>
                <w:spacing w:val="-4"/>
              </w:rPr>
              <w:t xml:space="preserve"> </w:t>
            </w:r>
            <w:r w:rsidRPr="0026739D">
              <w:rPr>
                <w:spacing w:val="-1"/>
              </w:rPr>
              <w:t>or</w:t>
            </w:r>
            <w:r w:rsidRPr="0026739D">
              <w:rPr>
                <w:spacing w:val="1"/>
              </w:rPr>
              <w:t xml:space="preserve"> </w:t>
            </w:r>
            <w:r w:rsidRPr="0026739D">
              <w:rPr>
                <w:spacing w:val="-1"/>
              </w:rPr>
              <w:t>improper</w:t>
            </w:r>
            <w:r w:rsidRPr="0026739D">
              <w:rPr>
                <w:spacing w:val="-2"/>
              </w:rPr>
              <w:t xml:space="preserve"> </w:t>
            </w:r>
            <w:r w:rsidRPr="0026739D">
              <w:rPr>
                <w:spacing w:val="-1"/>
              </w:rPr>
              <w:t>conduct</w:t>
            </w:r>
            <w:r w:rsidRPr="0026739D">
              <w:rPr>
                <w:spacing w:val="-2"/>
              </w:rPr>
              <w:t xml:space="preserve"> </w:t>
            </w:r>
            <w:r w:rsidRPr="0026739D">
              <w:rPr>
                <w:spacing w:val="-1"/>
              </w:rPr>
              <w:t>in</w:t>
            </w:r>
            <w:r w:rsidRPr="0026739D">
              <w:rPr>
                <w:spacing w:val="-4"/>
              </w:rPr>
              <w:t xml:space="preserve"> </w:t>
            </w:r>
            <w:r w:rsidRPr="0026739D">
              <w:rPr>
                <w:spacing w:val="1"/>
              </w:rPr>
              <w:t>an</w:t>
            </w:r>
            <w:r w:rsidRPr="0026739D">
              <w:rPr>
                <w:spacing w:val="-4"/>
              </w:rPr>
              <w:t xml:space="preserve"> </w:t>
            </w:r>
            <w:r w:rsidRPr="0026739D">
              <w:rPr>
                <w:spacing w:val="-2"/>
              </w:rPr>
              <w:t xml:space="preserve">official </w:t>
            </w:r>
            <w:r w:rsidRPr="0026739D">
              <w:rPr>
                <w:spacing w:val="-1"/>
              </w:rPr>
              <w:t>capacity;</w:t>
            </w:r>
            <w:r>
              <w:t xml:space="preserve"> </w:t>
            </w:r>
            <w:r w:rsidRPr="0026739D">
              <w:rPr>
                <w:spacing w:val="-1"/>
              </w:rPr>
              <w:t>or</w:t>
            </w:r>
            <w:r w:rsidRPr="0026739D">
              <w:rPr>
                <w:spacing w:val="-2"/>
              </w:rPr>
              <w:t xml:space="preserve"> </w:t>
            </w:r>
            <w:r w:rsidRPr="0026739D">
              <w:rPr>
                <w:spacing w:val="-1"/>
              </w:rPr>
              <w:t>disgraceful</w:t>
            </w:r>
            <w:r w:rsidRPr="0026739D">
              <w:rPr>
                <w:spacing w:val="-2"/>
              </w:rPr>
              <w:t xml:space="preserve"> </w:t>
            </w:r>
            <w:r w:rsidRPr="0026739D">
              <w:rPr>
                <w:spacing w:val="-1"/>
              </w:rPr>
              <w:t>or</w:t>
            </w:r>
            <w:r w:rsidRPr="0026739D">
              <w:rPr>
                <w:spacing w:val="-2"/>
              </w:rPr>
              <w:t xml:space="preserve"> </w:t>
            </w:r>
            <w:r w:rsidRPr="0026739D">
              <w:rPr>
                <w:spacing w:val="-1"/>
              </w:rPr>
              <w:t>improper</w:t>
            </w:r>
            <w:r w:rsidRPr="0026739D">
              <w:rPr>
                <w:spacing w:val="35"/>
              </w:rPr>
              <w:t xml:space="preserve"> </w:t>
            </w:r>
            <w:r w:rsidRPr="0026739D">
              <w:rPr>
                <w:spacing w:val="-1"/>
              </w:rPr>
              <w:t>conduct</w:t>
            </w:r>
            <w:r w:rsidRPr="0026739D">
              <w:rPr>
                <w:spacing w:val="-2"/>
              </w:rPr>
              <w:t xml:space="preserve"> </w:t>
            </w:r>
            <w:r w:rsidRPr="0026739D">
              <w:rPr>
                <w:spacing w:val="-1"/>
              </w:rPr>
              <w:t>in</w:t>
            </w:r>
            <w:r w:rsidRPr="0026739D">
              <w:rPr>
                <w:spacing w:val="-4"/>
              </w:rPr>
              <w:t xml:space="preserve"> </w:t>
            </w:r>
            <w:r>
              <w:t>a</w:t>
            </w:r>
            <w:r w:rsidRPr="0026739D">
              <w:rPr>
                <w:spacing w:val="-1"/>
              </w:rPr>
              <w:t xml:space="preserve"> private </w:t>
            </w:r>
            <w:r w:rsidRPr="0026739D">
              <w:rPr>
                <w:spacing w:val="-2"/>
              </w:rPr>
              <w:t>capacity</w:t>
            </w:r>
            <w:r w:rsidRPr="0026739D">
              <w:rPr>
                <w:spacing w:val="-1"/>
              </w:rPr>
              <w:t xml:space="preserve"> that</w:t>
            </w:r>
            <w:r w:rsidRPr="0026739D">
              <w:rPr>
                <w:spacing w:val="-2"/>
              </w:rPr>
              <w:t xml:space="preserve"> </w:t>
            </w:r>
            <w:r w:rsidRPr="0026739D">
              <w:rPr>
                <w:spacing w:val="-1"/>
              </w:rPr>
              <w:t>reflect</w:t>
            </w:r>
            <w:r w:rsidRPr="0026739D">
              <w:rPr>
                <w:spacing w:val="-2"/>
              </w:rPr>
              <w:t xml:space="preserve"> </w:t>
            </w:r>
            <w:r w:rsidRPr="0026739D">
              <w:rPr>
                <w:spacing w:val="-1"/>
              </w:rPr>
              <w:t>seriously</w:t>
            </w:r>
            <w:r w:rsidRPr="0026739D">
              <w:rPr>
                <w:spacing w:val="-4"/>
              </w:rPr>
              <w:t xml:space="preserve"> </w:t>
            </w:r>
            <w:r w:rsidRPr="0026739D">
              <w:rPr>
                <w:spacing w:val="-1"/>
              </w:rPr>
              <w:t>and</w:t>
            </w:r>
            <w:r w:rsidRPr="0026739D">
              <w:rPr>
                <w:spacing w:val="-3"/>
              </w:rPr>
              <w:t xml:space="preserve"> </w:t>
            </w:r>
            <w:r w:rsidRPr="0026739D">
              <w:rPr>
                <w:spacing w:val="-1"/>
              </w:rPr>
              <w:t xml:space="preserve">adversely on </w:t>
            </w:r>
            <w:r>
              <w:rPr>
                <w:spacing w:val="-1"/>
              </w:rPr>
              <w:t>CMTEDD</w:t>
            </w:r>
            <w:r>
              <w:t xml:space="preserve"> </w:t>
            </w:r>
            <w:r w:rsidRPr="0026739D">
              <w:rPr>
                <w:spacing w:val="-2"/>
              </w:rPr>
              <w:t>and</w:t>
            </w:r>
            <w:r w:rsidRPr="0026739D">
              <w:rPr>
                <w:spacing w:val="-1"/>
              </w:rPr>
              <w:t xml:space="preserve"> the</w:t>
            </w:r>
            <w:r w:rsidRPr="0026739D">
              <w:rPr>
                <w:spacing w:val="39"/>
              </w:rPr>
              <w:t xml:space="preserve"> </w:t>
            </w:r>
            <w:r w:rsidRPr="0026739D">
              <w:rPr>
                <w:spacing w:val="-1"/>
              </w:rPr>
              <w:t xml:space="preserve">public </w:t>
            </w:r>
            <w:proofErr w:type="gramStart"/>
            <w:r w:rsidRPr="0026739D">
              <w:rPr>
                <w:spacing w:val="-1"/>
              </w:rPr>
              <w:t>sector</w:t>
            </w:r>
            <w:r w:rsidRPr="0026739D">
              <w:rPr>
                <w:spacing w:val="-4"/>
              </w:rPr>
              <w:t xml:space="preserve"> </w:t>
            </w:r>
            <w:r w:rsidRPr="0026739D">
              <w:rPr>
                <w:spacing w:val="-1"/>
              </w:rPr>
              <w:t xml:space="preserve">as </w:t>
            </w:r>
            <w:r>
              <w:t>a</w:t>
            </w:r>
            <w:r w:rsidRPr="0026739D">
              <w:rPr>
                <w:spacing w:val="-1"/>
              </w:rPr>
              <w:t xml:space="preserve"> whole</w:t>
            </w:r>
            <w:proofErr w:type="gramEnd"/>
            <w:r w:rsidRPr="0026739D">
              <w:rPr>
                <w:spacing w:val="-1"/>
              </w:rPr>
              <w:t>.</w:t>
            </w:r>
            <w:r w:rsidRPr="0026739D">
              <w:rPr>
                <w:spacing w:val="35"/>
              </w:rPr>
              <w:t xml:space="preserve"> </w:t>
            </w:r>
            <w:r w:rsidRPr="0026739D">
              <w:rPr>
                <w:spacing w:val="-2"/>
              </w:rPr>
              <w:t>Includes</w:t>
            </w:r>
            <w:r w:rsidRPr="0026739D">
              <w:rPr>
                <w:spacing w:val="-1"/>
              </w:rPr>
              <w:t xml:space="preserve"> </w:t>
            </w:r>
            <w:r>
              <w:rPr>
                <w:spacing w:val="-1"/>
              </w:rPr>
              <w:t>c</w:t>
            </w:r>
            <w:r w:rsidRPr="0026739D">
              <w:rPr>
                <w:spacing w:val="-1"/>
              </w:rPr>
              <w:t>onduct</w:t>
            </w:r>
            <w:r w:rsidRPr="0026739D">
              <w:rPr>
                <w:spacing w:val="-2"/>
              </w:rPr>
              <w:t xml:space="preserve"> that </w:t>
            </w:r>
            <w:r w:rsidRPr="0026739D">
              <w:rPr>
                <w:spacing w:val="-1"/>
              </w:rPr>
              <w:t>could,</w:t>
            </w:r>
            <w:r>
              <w:t xml:space="preserve"> </w:t>
            </w:r>
            <w:r w:rsidRPr="0026739D">
              <w:rPr>
                <w:spacing w:val="-1"/>
              </w:rPr>
              <w:t>if</w:t>
            </w:r>
            <w:r w:rsidRPr="0026739D">
              <w:rPr>
                <w:spacing w:val="-2"/>
              </w:rPr>
              <w:t xml:space="preserve"> proven,</w:t>
            </w:r>
            <w:r>
              <w:t xml:space="preserve"> </w:t>
            </w:r>
            <w:r w:rsidRPr="0026739D">
              <w:rPr>
                <w:spacing w:val="-1"/>
              </w:rPr>
              <w:t xml:space="preserve">be </w:t>
            </w:r>
            <w:r>
              <w:t>a</w:t>
            </w:r>
            <w:r w:rsidRPr="0026739D">
              <w:rPr>
                <w:spacing w:val="-3"/>
              </w:rPr>
              <w:t xml:space="preserve"> </w:t>
            </w:r>
            <w:r w:rsidRPr="0026739D">
              <w:rPr>
                <w:spacing w:val="-1"/>
              </w:rPr>
              <w:t>criminal</w:t>
            </w:r>
            <w:r w:rsidRPr="0026739D">
              <w:rPr>
                <w:spacing w:val="-2"/>
              </w:rPr>
              <w:t xml:space="preserve"> offence,</w:t>
            </w:r>
            <w:r>
              <w:t xml:space="preserve"> </w:t>
            </w:r>
            <w:r w:rsidRPr="0026739D">
              <w:rPr>
                <w:spacing w:val="-1"/>
              </w:rPr>
              <w:t>or</w:t>
            </w:r>
            <w:r w:rsidRPr="0026739D">
              <w:rPr>
                <w:spacing w:val="1"/>
              </w:rPr>
              <w:t xml:space="preserve"> </w:t>
            </w:r>
            <w:r>
              <w:t>a</w:t>
            </w:r>
            <w:r w:rsidRPr="0026739D">
              <w:rPr>
                <w:spacing w:val="-1"/>
              </w:rPr>
              <w:t xml:space="preserve"> </w:t>
            </w:r>
            <w:r w:rsidRPr="0026739D">
              <w:rPr>
                <w:spacing w:val="-2"/>
              </w:rPr>
              <w:t>disciplinary</w:t>
            </w:r>
            <w:r w:rsidRPr="0026739D">
              <w:rPr>
                <w:spacing w:val="-1"/>
              </w:rPr>
              <w:t xml:space="preserve"> breach</w:t>
            </w:r>
            <w:r w:rsidRPr="0026739D">
              <w:rPr>
                <w:spacing w:val="73"/>
              </w:rPr>
              <w:t xml:space="preserve"> </w:t>
            </w:r>
            <w:r w:rsidRPr="0026739D">
              <w:rPr>
                <w:spacing w:val="-1"/>
              </w:rPr>
              <w:t>providing</w:t>
            </w:r>
            <w:r w:rsidRPr="0026739D">
              <w:rPr>
                <w:spacing w:val="1"/>
              </w:rPr>
              <w:t xml:space="preserve"> </w:t>
            </w:r>
            <w:r w:rsidRPr="0026739D">
              <w:rPr>
                <w:spacing w:val="-2"/>
              </w:rPr>
              <w:t>reasonable</w:t>
            </w:r>
            <w:r w:rsidRPr="0026739D">
              <w:rPr>
                <w:spacing w:val="-4"/>
              </w:rPr>
              <w:t xml:space="preserve"> </w:t>
            </w:r>
            <w:r w:rsidRPr="0026739D">
              <w:rPr>
                <w:spacing w:val="-1"/>
              </w:rPr>
              <w:t>grounds</w:t>
            </w:r>
            <w:r w:rsidRPr="0026739D">
              <w:rPr>
                <w:spacing w:val="-3"/>
              </w:rPr>
              <w:t xml:space="preserve"> </w:t>
            </w:r>
            <w:r w:rsidRPr="0026739D">
              <w:rPr>
                <w:spacing w:val="-1"/>
              </w:rPr>
              <w:t>for</w:t>
            </w:r>
            <w:r w:rsidRPr="0026739D">
              <w:rPr>
                <w:spacing w:val="-2"/>
              </w:rPr>
              <w:t xml:space="preserve"> terminating</w:t>
            </w:r>
            <w:r w:rsidRPr="0026739D">
              <w:rPr>
                <w:spacing w:val="1"/>
              </w:rPr>
              <w:t xml:space="preserve"> </w:t>
            </w:r>
            <w:r w:rsidRPr="0026739D">
              <w:rPr>
                <w:spacing w:val="-1"/>
              </w:rPr>
              <w:t xml:space="preserve">the person’s </w:t>
            </w:r>
            <w:r w:rsidRPr="0026739D">
              <w:rPr>
                <w:spacing w:val="-2"/>
              </w:rPr>
              <w:t>employment.</w:t>
            </w:r>
          </w:p>
        </w:tc>
      </w:tr>
      <w:tr w:rsidR="003D3C80" w14:paraId="714A6045" w14:textId="77777777" w:rsidTr="00B232C4">
        <w:trPr>
          <w:cantSplit/>
        </w:trPr>
        <w:tc>
          <w:tcPr>
            <w:tcW w:w="2235" w:type="dxa"/>
          </w:tcPr>
          <w:p w14:paraId="1E8B8ECF" w14:textId="77777777" w:rsidR="003D3C80" w:rsidRPr="0026739D" w:rsidRDefault="003D3C80" w:rsidP="00B232C4">
            <w:pPr>
              <w:pStyle w:val="Tabletext"/>
              <w:rPr>
                <w:spacing w:val="-2"/>
              </w:rPr>
            </w:pPr>
            <w:r w:rsidRPr="0026739D">
              <w:rPr>
                <w:spacing w:val="-1"/>
              </w:rPr>
              <w:t>Procedural</w:t>
            </w:r>
            <w:r w:rsidRPr="0026739D">
              <w:rPr>
                <w:spacing w:val="-2"/>
              </w:rPr>
              <w:t xml:space="preserve"> fairness</w:t>
            </w:r>
          </w:p>
        </w:tc>
        <w:tc>
          <w:tcPr>
            <w:tcW w:w="7335" w:type="dxa"/>
          </w:tcPr>
          <w:p w14:paraId="6AF26CF2" w14:textId="4209DAA6" w:rsidR="003D3C80" w:rsidRPr="0026739D" w:rsidRDefault="003D3C80" w:rsidP="00B232C4">
            <w:pPr>
              <w:pStyle w:val="Tabletext"/>
              <w:rPr>
                <w:spacing w:val="-1"/>
              </w:rPr>
            </w:pPr>
            <w:r w:rsidRPr="0026739D">
              <w:rPr>
                <w:spacing w:val="-1"/>
              </w:rPr>
              <w:t>Also known as</w:t>
            </w:r>
            <w:r w:rsidRPr="0026739D">
              <w:rPr>
                <w:spacing w:val="-3"/>
              </w:rPr>
              <w:t xml:space="preserve"> </w:t>
            </w:r>
            <w:r w:rsidRPr="0026739D">
              <w:rPr>
                <w:spacing w:val="-1"/>
              </w:rPr>
              <w:t>natural</w:t>
            </w:r>
            <w:r w:rsidRPr="0026739D">
              <w:rPr>
                <w:spacing w:val="-2"/>
              </w:rPr>
              <w:t xml:space="preserve"> </w:t>
            </w:r>
            <w:r w:rsidRPr="0026739D">
              <w:rPr>
                <w:spacing w:val="-1"/>
              </w:rPr>
              <w:t>justice.</w:t>
            </w:r>
            <w:r w:rsidRPr="0026739D">
              <w:rPr>
                <w:spacing w:val="-3"/>
              </w:rPr>
              <w:t xml:space="preserve"> </w:t>
            </w:r>
            <w:r>
              <w:t xml:space="preserve">A </w:t>
            </w:r>
            <w:r w:rsidRPr="0026739D">
              <w:rPr>
                <w:spacing w:val="-1"/>
              </w:rPr>
              <w:t>process that</w:t>
            </w:r>
            <w:r w:rsidRPr="0026739D">
              <w:rPr>
                <w:spacing w:val="-2"/>
              </w:rPr>
              <w:t xml:space="preserve"> </w:t>
            </w:r>
            <w:r w:rsidRPr="0026739D">
              <w:rPr>
                <w:spacing w:val="-1"/>
              </w:rPr>
              <w:t>ensures that</w:t>
            </w:r>
            <w:r w:rsidRPr="0026739D">
              <w:rPr>
                <w:spacing w:val="-2"/>
              </w:rPr>
              <w:t xml:space="preserve"> </w:t>
            </w:r>
            <w:r>
              <w:t>a</w:t>
            </w:r>
            <w:r w:rsidRPr="0026739D">
              <w:rPr>
                <w:spacing w:val="-1"/>
              </w:rPr>
              <w:t xml:space="preserve"> </w:t>
            </w:r>
            <w:r w:rsidRPr="0026739D">
              <w:rPr>
                <w:spacing w:val="-2"/>
              </w:rPr>
              <w:t xml:space="preserve">fair </w:t>
            </w:r>
            <w:r w:rsidRPr="0026739D">
              <w:rPr>
                <w:spacing w:val="-1"/>
              </w:rPr>
              <w:t>decision</w:t>
            </w:r>
            <w:r w:rsidRPr="0026739D">
              <w:rPr>
                <w:spacing w:val="-4"/>
              </w:rPr>
              <w:t xml:space="preserve"> </w:t>
            </w:r>
            <w:r w:rsidRPr="0026739D">
              <w:rPr>
                <w:spacing w:val="-1"/>
              </w:rPr>
              <w:t>is</w:t>
            </w:r>
            <w:r w:rsidRPr="0026739D">
              <w:rPr>
                <w:spacing w:val="31"/>
              </w:rPr>
              <w:t xml:space="preserve"> </w:t>
            </w:r>
            <w:r w:rsidRPr="0026739D">
              <w:rPr>
                <w:spacing w:val="-1"/>
              </w:rPr>
              <w:t>reached by</w:t>
            </w:r>
            <w:r w:rsidRPr="0026739D">
              <w:rPr>
                <w:spacing w:val="-4"/>
              </w:rPr>
              <w:t xml:space="preserve"> </w:t>
            </w:r>
            <w:r w:rsidRPr="0026739D">
              <w:rPr>
                <w:spacing w:val="-1"/>
              </w:rPr>
              <w:t>an objective</w:t>
            </w:r>
            <w:r w:rsidRPr="0026739D">
              <w:rPr>
                <w:spacing w:val="-4"/>
              </w:rPr>
              <w:t xml:space="preserve"> </w:t>
            </w:r>
            <w:r w:rsidRPr="0026739D">
              <w:rPr>
                <w:spacing w:val="-1"/>
              </w:rPr>
              <w:t>decision maker.</w:t>
            </w:r>
            <w:r w:rsidRPr="0026739D">
              <w:rPr>
                <w:spacing w:val="35"/>
              </w:rPr>
              <w:t xml:space="preserve"> </w:t>
            </w:r>
            <w:r w:rsidRPr="0026739D">
              <w:rPr>
                <w:spacing w:val="-1"/>
              </w:rPr>
              <w:t>Decisions</w:t>
            </w:r>
            <w:r w:rsidRPr="0026739D">
              <w:rPr>
                <w:spacing w:val="-4"/>
              </w:rPr>
              <w:t xml:space="preserve"> </w:t>
            </w:r>
            <w:r w:rsidRPr="0026739D">
              <w:rPr>
                <w:spacing w:val="-2"/>
              </w:rPr>
              <w:t>affecting</w:t>
            </w:r>
            <w:r w:rsidRPr="0026739D">
              <w:rPr>
                <w:spacing w:val="1"/>
              </w:rPr>
              <w:t xml:space="preserve"> </w:t>
            </w:r>
            <w:r w:rsidRPr="0026739D">
              <w:rPr>
                <w:spacing w:val="-1"/>
              </w:rPr>
              <w:t>the rights of</w:t>
            </w:r>
            <w:r w:rsidRPr="0026739D">
              <w:rPr>
                <w:spacing w:val="31"/>
              </w:rPr>
              <w:t xml:space="preserve"> </w:t>
            </w:r>
            <w:r w:rsidRPr="0026739D">
              <w:rPr>
                <w:spacing w:val="-2"/>
              </w:rPr>
              <w:t>individuals</w:t>
            </w:r>
            <w:r w:rsidRPr="0026739D">
              <w:rPr>
                <w:spacing w:val="1"/>
              </w:rPr>
              <w:t xml:space="preserve"> </w:t>
            </w:r>
            <w:r w:rsidRPr="0026739D">
              <w:rPr>
                <w:spacing w:val="-1"/>
              </w:rPr>
              <w:t>reached only</w:t>
            </w:r>
            <w:r w:rsidRPr="0026739D">
              <w:rPr>
                <w:spacing w:val="-4"/>
              </w:rPr>
              <w:t xml:space="preserve"> </w:t>
            </w:r>
            <w:r w:rsidRPr="0026739D">
              <w:rPr>
                <w:spacing w:val="-1"/>
              </w:rPr>
              <w:t>after</w:t>
            </w:r>
            <w:r w:rsidRPr="0026739D">
              <w:rPr>
                <w:spacing w:val="-2"/>
              </w:rPr>
              <w:t xml:space="preserve"> </w:t>
            </w:r>
            <w:r w:rsidRPr="0026739D">
              <w:rPr>
                <w:spacing w:val="-1"/>
              </w:rPr>
              <w:t xml:space="preserve">the individuals </w:t>
            </w:r>
            <w:r w:rsidRPr="0026739D">
              <w:rPr>
                <w:spacing w:val="-2"/>
              </w:rPr>
              <w:t>have</w:t>
            </w:r>
            <w:r w:rsidRPr="0026739D">
              <w:rPr>
                <w:spacing w:val="-4"/>
              </w:rPr>
              <w:t xml:space="preserve"> </w:t>
            </w:r>
            <w:r w:rsidRPr="0026739D">
              <w:rPr>
                <w:spacing w:val="-1"/>
              </w:rPr>
              <w:t>been made</w:t>
            </w:r>
            <w:r w:rsidRPr="0026739D">
              <w:rPr>
                <w:spacing w:val="-4"/>
              </w:rPr>
              <w:t xml:space="preserve"> </w:t>
            </w:r>
            <w:r w:rsidRPr="0026739D">
              <w:rPr>
                <w:spacing w:val="-1"/>
              </w:rPr>
              <w:t>aware of</w:t>
            </w:r>
            <w:r w:rsidRPr="0026739D">
              <w:rPr>
                <w:spacing w:val="-2"/>
              </w:rPr>
              <w:t xml:space="preserve"> </w:t>
            </w:r>
            <w:r w:rsidRPr="0026739D">
              <w:rPr>
                <w:spacing w:val="-1"/>
              </w:rPr>
              <w:t>the</w:t>
            </w:r>
            <w:r w:rsidRPr="0026739D">
              <w:rPr>
                <w:spacing w:val="47"/>
              </w:rPr>
              <w:t xml:space="preserve"> </w:t>
            </w:r>
            <w:r w:rsidRPr="0026739D">
              <w:rPr>
                <w:spacing w:val="-2"/>
              </w:rPr>
              <w:t>complaint/allegations</w:t>
            </w:r>
            <w:r w:rsidRPr="0026739D">
              <w:rPr>
                <w:spacing w:val="-4"/>
              </w:rPr>
              <w:t xml:space="preserve"> </w:t>
            </w:r>
            <w:r w:rsidRPr="0026739D">
              <w:rPr>
                <w:spacing w:val="-1"/>
              </w:rPr>
              <w:t>made</w:t>
            </w:r>
            <w:r w:rsidRPr="0026739D">
              <w:rPr>
                <w:spacing w:val="-4"/>
              </w:rPr>
              <w:t xml:space="preserve"> </w:t>
            </w:r>
            <w:r w:rsidRPr="0026739D">
              <w:rPr>
                <w:spacing w:val="-1"/>
              </w:rPr>
              <w:t>against</w:t>
            </w:r>
            <w:r w:rsidRPr="0026739D">
              <w:rPr>
                <w:spacing w:val="-2"/>
              </w:rPr>
              <w:t xml:space="preserve"> </w:t>
            </w:r>
            <w:r w:rsidRPr="0026739D">
              <w:rPr>
                <w:spacing w:val="-1"/>
              </w:rPr>
              <w:t>them,</w:t>
            </w:r>
            <w:r>
              <w:t xml:space="preserve"> </w:t>
            </w:r>
            <w:r w:rsidRPr="0026739D">
              <w:rPr>
                <w:spacing w:val="-1"/>
              </w:rPr>
              <w:t>or</w:t>
            </w:r>
            <w:r w:rsidRPr="0026739D">
              <w:rPr>
                <w:spacing w:val="-2"/>
              </w:rPr>
              <w:t xml:space="preserve"> </w:t>
            </w:r>
            <w:r w:rsidRPr="0026739D">
              <w:rPr>
                <w:spacing w:val="-1"/>
              </w:rPr>
              <w:t>of</w:t>
            </w:r>
            <w:r w:rsidRPr="0026739D">
              <w:rPr>
                <w:spacing w:val="-2"/>
              </w:rPr>
              <w:t xml:space="preserve"> </w:t>
            </w:r>
            <w:r w:rsidRPr="0026739D">
              <w:rPr>
                <w:spacing w:val="-1"/>
              </w:rPr>
              <w:t>decisions</w:t>
            </w:r>
            <w:r w:rsidRPr="0026739D">
              <w:rPr>
                <w:spacing w:val="-4"/>
              </w:rPr>
              <w:t xml:space="preserve"> </w:t>
            </w:r>
            <w:r w:rsidRPr="0026739D">
              <w:rPr>
                <w:spacing w:val="-1"/>
              </w:rPr>
              <w:t>which</w:t>
            </w:r>
            <w:r w:rsidRPr="0026739D">
              <w:rPr>
                <w:spacing w:val="-4"/>
              </w:rPr>
              <w:t xml:space="preserve"> </w:t>
            </w:r>
            <w:r w:rsidRPr="0026739D">
              <w:rPr>
                <w:spacing w:val="-1"/>
              </w:rPr>
              <w:t>are</w:t>
            </w:r>
            <w:r w:rsidRPr="0026739D">
              <w:rPr>
                <w:spacing w:val="-4"/>
              </w:rPr>
              <w:t xml:space="preserve"> </w:t>
            </w:r>
            <w:r w:rsidR="00471B66" w:rsidRPr="0026739D">
              <w:rPr>
                <w:spacing w:val="-1"/>
              </w:rPr>
              <w:t>averse</w:t>
            </w:r>
            <w:r w:rsidRPr="0026739D">
              <w:rPr>
                <w:spacing w:val="-1"/>
              </w:rPr>
              <w:t xml:space="preserve"> to</w:t>
            </w:r>
            <w:r w:rsidRPr="0026739D">
              <w:rPr>
                <w:spacing w:val="67"/>
              </w:rPr>
              <w:t xml:space="preserve"> </w:t>
            </w:r>
            <w:r w:rsidRPr="0026739D">
              <w:rPr>
                <w:spacing w:val="-1"/>
              </w:rPr>
              <w:t xml:space="preserve">their </w:t>
            </w:r>
            <w:r w:rsidR="00471B66" w:rsidRPr="0026739D">
              <w:rPr>
                <w:spacing w:val="-1"/>
              </w:rPr>
              <w:t>interest,</w:t>
            </w:r>
            <w:r w:rsidRPr="0026739D">
              <w:rPr>
                <w:spacing w:val="-2"/>
              </w:rPr>
              <w:t xml:space="preserve"> </w:t>
            </w:r>
            <w:r w:rsidRPr="0026739D">
              <w:rPr>
                <w:spacing w:val="-1"/>
              </w:rPr>
              <w:t xml:space="preserve">and they </w:t>
            </w:r>
            <w:r w:rsidRPr="0026739D">
              <w:rPr>
                <w:spacing w:val="-2"/>
              </w:rPr>
              <w:t>have</w:t>
            </w:r>
            <w:r w:rsidRPr="0026739D">
              <w:rPr>
                <w:spacing w:val="-1"/>
              </w:rPr>
              <w:t xml:space="preserve"> had</w:t>
            </w:r>
            <w:r w:rsidRPr="0026739D">
              <w:rPr>
                <w:spacing w:val="-4"/>
              </w:rPr>
              <w:t xml:space="preserve"> </w:t>
            </w:r>
            <w:r w:rsidRPr="0026739D">
              <w:rPr>
                <w:spacing w:val="-1"/>
              </w:rPr>
              <w:t>an</w:t>
            </w:r>
            <w:r w:rsidRPr="0026739D">
              <w:rPr>
                <w:spacing w:val="-4"/>
              </w:rPr>
              <w:t xml:space="preserve"> </w:t>
            </w:r>
            <w:r w:rsidRPr="0026739D">
              <w:rPr>
                <w:spacing w:val="-2"/>
              </w:rPr>
              <w:t>opportunity</w:t>
            </w:r>
            <w:r w:rsidRPr="0026739D">
              <w:rPr>
                <w:spacing w:val="-1"/>
              </w:rPr>
              <w:t xml:space="preserve"> to present</w:t>
            </w:r>
            <w:r w:rsidRPr="0026739D">
              <w:rPr>
                <w:spacing w:val="-2"/>
              </w:rPr>
              <w:t xml:space="preserve"> </w:t>
            </w:r>
            <w:r w:rsidRPr="0026739D">
              <w:rPr>
                <w:spacing w:val="-1"/>
              </w:rPr>
              <w:t>their</w:t>
            </w:r>
            <w:r w:rsidRPr="0026739D">
              <w:rPr>
                <w:spacing w:val="-2"/>
              </w:rPr>
              <w:t xml:space="preserve"> </w:t>
            </w:r>
            <w:r w:rsidRPr="0026739D">
              <w:rPr>
                <w:spacing w:val="-1"/>
              </w:rPr>
              <w:t>claims in</w:t>
            </w:r>
            <w:r w:rsidRPr="0026739D">
              <w:rPr>
                <w:spacing w:val="-4"/>
              </w:rPr>
              <w:t xml:space="preserve"> </w:t>
            </w:r>
            <w:r w:rsidRPr="0026739D">
              <w:rPr>
                <w:spacing w:val="-1"/>
              </w:rPr>
              <w:t>relation</w:t>
            </w:r>
            <w:r w:rsidRPr="0026739D">
              <w:rPr>
                <w:spacing w:val="49"/>
              </w:rPr>
              <w:t xml:space="preserve"> </w:t>
            </w:r>
            <w:r w:rsidRPr="0026739D">
              <w:rPr>
                <w:spacing w:val="-1"/>
              </w:rPr>
              <w:t xml:space="preserve">to the </w:t>
            </w:r>
            <w:r w:rsidRPr="0026739D">
              <w:rPr>
                <w:spacing w:val="-2"/>
              </w:rPr>
              <w:t>complaint/allegation</w:t>
            </w:r>
            <w:r w:rsidRPr="0026739D">
              <w:rPr>
                <w:spacing w:val="-1"/>
              </w:rPr>
              <w:t xml:space="preserve"> and the decisions </w:t>
            </w:r>
            <w:r w:rsidRPr="0026739D">
              <w:rPr>
                <w:spacing w:val="-2"/>
              </w:rPr>
              <w:t>proposed</w:t>
            </w:r>
            <w:r w:rsidRPr="0026739D">
              <w:rPr>
                <w:spacing w:val="1"/>
              </w:rPr>
              <w:t xml:space="preserve"> </w:t>
            </w:r>
            <w:r w:rsidRPr="0026739D">
              <w:rPr>
                <w:spacing w:val="-1"/>
              </w:rPr>
              <w:t xml:space="preserve">to be </w:t>
            </w:r>
            <w:r w:rsidRPr="0026739D">
              <w:rPr>
                <w:spacing w:val="-2"/>
              </w:rPr>
              <w:t>taken</w:t>
            </w:r>
            <w:r w:rsidRPr="0026739D">
              <w:rPr>
                <w:spacing w:val="-1"/>
              </w:rPr>
              <w:t xml:space="preserve"> </w:t>
            </w:r>
            <w:r w:rsidRPr="0026739D">
              <w:rPr>
                <w:spacing w:val="-2"/>
              </w:rPr>
              <w:t>affecting</w:t>
            </w:r>
            <w:r w:rsidRPr="0026739D">
              <w:rPr>
                <w:spacing w:val="80"/>
              </w:rPr>
              <w:t xml:space="preserve"> </w:t>
            </w:r>
            <w:r w:rsidRPr="0026739D">
              <w:rPr>
                <w:spacing w:val="-1"/>
              </w:rPr>
              <w:t>them.</w:t>
            </w:r>
          </w:p>
        </w:tc>
      </w:tr>
    </w:tbl>
    <w:p w14:paraId="3B802939" w14:textId="77777777" w:rsidR="00B91577" w:rsidRDefault="00B91577" w:rsidP="00C6673A">
      <w:pPr>
        <w:pStyle w:val="Heading1"/>
        <w:sectPr w:rsidR="00B91577" w:rsidSect="000068FE">
          <w:pgSz w:w="11907" w:h="16840" w:code="9"/>
          <w:pgMar w:top="1134" w:right="1134" w:bottom="1702" w:left="1134" w:header="567" w:footer="254" w:gutter="0"/>
          <w:cols w:space="720"/>
          <w:docGrid w:linePitch="299"/>
        </w:sectPr>
      </w:pPr>
    </w:p>
    <w:p w14:paraId="7C07B7D4" w14:textId="63FBCF20" w:rsidR="009266DD" w:rsidRDefault="00F26141" w:rsidP="00741130">
      <w:pPr>
        <w:pStyle w:val="Heading1"/>
      </w:pPr>
      <w:bookmarkStart w:id="66" w:name="_Toc130374265"/>
      <w:r>
        <w:lastRenderedPageBreak/>
        <w:t>Attachment A – Complaints Handling Workflo</w:t>
      </w:r>
      <w:r w:rsidR="00741130">
        <w:t>w</w:t>
      </w:r>
      <w:bookmarkEnd w:id="66"/>
    </w:p>
    <w:p w14:paraId="4E45D7DD" w14:textId="5C3050F3" w:rsidR="00741130" w:rsidRPr="00741130" w:rsidRDefault="00741130" w:rsidP="00741130">
      <w:r w:rsidRPr="00B96478">
        <w:rPr>
          <w:noProof/>
        </w:rPr>
        <w:drawing>
          <wp:inline distT="0" distB="0" distL="0" distR="0" wp14:anchorId="449E5577" wp14:editId="4A01EBF0">
            <wp:extent cx="8533796" cy="3987800"/>
            <wp:effectExtent l="0" t="0" r="635" b="0"/>
            <wp:docPr id="23" name="Picture 22" descr="workflow from complaint made to report on and review trends or lessons learnt">
              <a:extLst xmlns:a="http://schemas.openxmlformats.org/drawingml/2006/main">
                <a:ext uri="{FF2B5EF4-FFF2-40B4-BE49-F238E27FC236}">
                  <a16:creationId xmlns:a16="http://schemas.microsoft.com/office/drawing/2014/main" id="{23710B08-C655-4F69-00FE-1243A4E5BB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workflow from complaint made to report on and review trends or lessons learnt">
                      <a:extLst>
                        <a:ext uri="{FF2B5EF4-FFF2-40B4-BE49-F238E27FC236}">
                          <a16:creationId xmlns:a16="http://schemas.microsoft.com/office/drawing/2014/main" id="{23710B08-C655-4F69-00FE-1243A4E5BB44}"/>
                        </a:ext>
                      </a:extLst>
                    </pic:cNvPr>
                    <pic:cNvPicPr>
                      <a:picLocks noChangeAspect="1"/>
                    </pic:cNvPicPr>
                  </pic:nvPicPr>
                  <pic:blipFill>
                    <a:blip r:embed="rId35"/>
                    <a:stretch>
                      <a:fillRect/>
                    </a:stretch>
                  </pic:blipFill>
                  <pic:spPr>
                    <a:xfrm>
                      <a:off x="0" y="0"/>
                      <a:ext cx="8585025" cy="4011739"/>
                    </a:xfrm>
                    <a:prstGeom prst="rect">
                      <a:avLst/>
                    </a:prstGeom>
                  </pic:spPr>
                </pic:pic>
              </a:graphicData>
            </a:graphic>
          </wp:inline>
        </w:drawing>
      </w:r>
    </w:p>
    <w:sectPr w:rsidR="00741130" w:rsidRPr="00741130" w:rsidSect="00741130">
      <w:pgSz w:w="16840" w:h="11907" w:orient="landscape" w:code="9"/>
      <w:pgMar w:top="1134" w:right="1134" w:bottom="1134" w:left="1701" w:header="567" w:footer="25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4108" w14:textId="77777777" w:rsidR="00A31721" w:rsidRDefault="00A31721">
      <w:pPr>
        <w:spacing w:before="0" w:after="0"/>
      </w:pPr>
      <w:r>
        <w:separator/>
      </w:r>
    </w:p>
    <w:p w14:paraId="61158B66" w14:textId="77777777" w:rsidR="00A31721" w:rsidRDefault="00A31721"/>
  </w:endnote>
  <w:endnote w:type="continuationSeparator" w:id="0">
    <w:p w14:paraId="7944511E" w14:textId="77777777" w:rsidR="00A31721" w:rsidRDefault="00A31721">
      <w:pPr>
        <w:spacing w:before="0" w:after="0"/>
      </w:pPr>
      <w:r>
        <w:continuationSeparator/>
      </w:r>
    </w:p>
    <w:p w14:paraId="4CE8E236" w14:textId="77777777" w:rsidR="00A31721" w:rsidRDefault="00A3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6885E548"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602C">
          <w:rPr>
            <w:rStyle w:val="PageNumber"/>
            <w:noProof/>
          </w:rPr>
          <w:t>7</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D3A4454"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0E31A2A7" w:rsidR="000459F7" w:rsidRPr="005561B3" w:rsidRDefault="000A1179" w:rsidP="004D749A">
    <w:pPr>
      <w:pStyle w:val="Footer"/>
      <w:rPr>
        <w:b/>
      </w:rPr>
    </w:pPr>
    <w:r>
      <w:rPr>
        <w:noProof/>
      </w:rPr>
      <w:drawing>
        <wp:anchor distT="0" distB="0" distL="114300" distR="114300" simplePos="0" relativeHeight="251657216" behindDoc="1" locked="0" layoutInCell="1" allowOverlap="1" wp14:anchorId="2F866DD3" wp14:editId="167CC675">
          <wp:simplePos x="0" y="0"/>
          <wp:positionH relativeFrom="column">
            <wp:posOffset>-453390</wp:posOffset>
          </wp:positionH>
          <wp:positionV relativeFrom="paragraph">
            <wp:posOffset>-60960</wp:posOffset>
          </wp:positionV>
          <wp:extent cx="6883200" cy="252000"/>
          <wp:effectExtent l="0" t="0" r="0" b="0"/>
          <wp:wrapNone/>
          <wp:docPr id="3" name="Header WHog_B thin.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a:extLst>
                      <a:ext uri="{C183D7F6-B498-43B3-948B-1728B52AA6E4}">
                        <adec:decorative xmlns:adec="http://schemas.microsoft.com/office/drawing/2017/decorative" val="1"/>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401265">
      <w:rPr>
        <w:noProof/>
      </w:rPr>
      <w:t>CMTEDD</w:t>
    </w:r>
    <w:r w:rsidR="00A50ACF" w:rsidRPr="00723F5C">
      <w:rPr>
        <w:noProof/>
      </w:rPr>
      <w:t xml:space="preserve"> </w:t>
    </w:r>
    <w:r w:rsidR="00723F5C">
      <w:rPr>
        <w:noProof/>
      </w:rPr>
      <w:tab/>
    </w:r>
    <w:r w:rsidR="004D749A">
      <w:rPr>
        <w:noProof/>
      </w:rPr>
      <w:tab/>
    </w:r>
    <w:r w:rsidR="004D749A">
      <w:rPr>
        <w:noProof/>
      </w:rPr>
      <w:tab/>
      <w:t xml:space="preserve"> </w:t>
    </w:r>
    <w:r w:rsidR="004D749A">
      <w:rPr>
        <w:noProof/>
      </w:rPr>
      <w:tab/>
    </w:r>
    <w:r w:rsidR="004D749A">
      <w:rPr>
        <w:noProof/>
      </w:rPr>
      <w:tab/>
    </w:r>
    <w:r w:rsidR="004D749A">
      <w:rPr>
        <w:noProof/>
      </w:rPr>
      <w:tab/>
    </w:r>
    <w:r w:rsidR="004D749A">
      <w:rPr>
        <w:noProof/>
      </w:rPr>
      <w:tab/>
    </w:r>
    <w:r w:rsidR="00401265">
      <w:rPr>
        <w:b/>
      </w:rPr>
      <w:t>Complaint</w:t>
    </w:r>
    <w:r w:rsidR="002D1F5E">
      <w:rPr>
        <w:b/>
      </w:rPr>
      <w:t>s</w:t>
    </w:r>
    <w:r w:rsidR="00401265">
      <w:rPr>
        <w:b/>
      </w:rPr>
      <w:t xml:space="preserve"> Handling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D208" w14:textId="77777777" w:rsidR="00A31721" w:rsidRDefault="00A31721" w:rsidP="001723F7">
      <w:pPr>
        <w:spacing w:before="0" w:after="0"/>
      </w:pPr>
      <w:r>
        <w:separator/>
      </w:r>
    </w:p>
  </w:footnote>
  <w:footnote w:type="continuationSeparator" w:id="0">
    <w:p w14:paraId="2C61B12D" w14:textId="77777777" w:rsidR="00A31721" w:rsidRDefault="00A31721">
      <w:pPr>
        <w:spacing w:before="0" w:after="0"/>
      </w:pPr>
      <w:r>
        <w:continuationSeparator/>
      </w:r>
    </w:p>
    <w:p w14:paraId="3AD6E171" w14:textId="77777777" w:rsidR="00A31721" w:rsidRDefault="00A31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094588">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402E7EF2"/>
    <w:numStyleLink w:val="AppendixNumbers"/>
  </w:abstractNum>
  <w:abstractNum w:abstractNumId="1" w15:restartNumberingAfterBreak="0">
    <w:nsid w:val="05A94C14"/>
    <w:multiLevelType w:val="hybridMultilevel"/>
    <w:tmpl w:val="DCD8D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C3A36"/>
    <w:multiLevelType w:val="hybridMultilevel"/>
    <w:tmpl w:val="E85E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C21932"/>
    <w:multiLevelType w:val="hybridMultilevel"/>
    <w:tmpl w:val="AB50C3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569AD"/>
    <w:multiLevelType w:val="multilevel"/>
    <w:tmpl w:val="CE787522"/>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1B391C87"/>
    <w:multiLevelType w:val="hybridMultilevel"/>
    <w:tmpl w:val="2B12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086BDE"/>
    <w:multiLevelType w:val="hybridMultilevel"/>
    <w:tmpl w:val="F9643CB0"/>
    <w:lvl w:ilvl="0" w:tplc="0C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216FC"/>
    <w:multiLevelType w:val="hybridMultilevel"/>
    <w:tmpl w:val="D53AC0B0"/>
    <w:lvl w:ilvl="0" w:tplc="1FF8EE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B6B8E"/>
    <w:multiLevelType w:val="hybridMultilevel"/>
    <w:tmpl w:val="07A0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211323"/>
    <w:multiLevelType w:val="multilevel"/>
    <w:tmpl w:val="CE787522"/>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304D312B"/>
    <w:multiLevelType w:val="multilevel"/>
    <w:tmpl w:val="1E5AE59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7462FBD"/>
    <w:multiLevelType w:val="hybridMultilevel"/>
    <w:tmpl w:val="A63822D8"/>
    <w:lvl w:ilvl="0" w:tplc="11F687DC">
      <w:start w:val="1"/>
      <w:numFmt w:val="bullet"/>
      <w:lvlText w:val="-"/>
      <w:lvlJc w:val="left"/>
      <w:pPr>
        <w:ind w:left="644" w:hanging="360"/>
      </w:pPr>
      <w:rPr>
        <w:rFonts w:ascii="Calibri" w:eastAsiaTheme="minorHAnsi" w:hAnsi="Calibri" w:cs="Calibri" w:hint="default"/>
        <w:i/>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9C214FE"/>
    <w:multiLevelType w:val="hybridMultilevel"/>
    <w:tmpl w:val="EE34025E"/>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8"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0518D8"/>
    <w:multiLevelType w:val="multilevel"/>
    <w:tmpl w:val="CE787522"/>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57D26A18"/>
    <w:numStyleLink w:val="KCBullets"/>
  </w:abstractNum>
  <w:abstractNum w:abstractNumId="25" w15:restartNumberingAfterBreak="0">
    <w:nsid w:val="51294B5A"/>
    <w:multiLevelType w:val="hybridMultilevel"/>
    <w:tmpl w:val="CE123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8F771F"/>
    <w:multiLevelType w:val="multilevel"/>
    <w:tmpl w:val="341A4B9E"/>
    <w:lvl w:ilvl="0">
      <w:start w:val="1"/>
      <w:numFmt w:val="bullet"/>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6972564"/>
    <w:multiLevelType w:val="hybridMultilevel"/>
    <w:tmpl w:val="5FA8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31F8F"/>
    <w:multiLevelType w:val="hybridMultilevel"/>
    <w:tmpl w:val="AEEAF44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4477A0"/>
    <w:multiLevelType w:val="hybridMultilevel"/>
    <w:tmpl w:val="26CC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0B67C4"/>
    <w:multiLevelType w:val="multilevel"/>
    <w:tmpl w:val="FE688822"/>
    <w:numStyleLink w:val="BoxedBullets"/>
  </w:abstractNum>
  <w:abstractNum w:abstractNumId="38"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259487284">
    <w:abstractNumId w:val="34"/>
  </w:num>
  <w:num w:numId="2" w16cid:durableId="1320957756">
    <w:abstractNumId w:val="30"/>
  </w:num>
  <w:num w:numId="3" w16cid:durableId="843785966">
    <w:abstractNumId w:val="12"/>
  </w:num>
  <w:num w:numId="4" w16cid:durableId="294411057">
    <w:abstractNumId w:val="20"/>
  </w:num>
  <w:num w:numId="5" w16cid:durableId="1863936163">
    <w:abstractNumId w:val="26"/>
  </w:num>
  <w:num w:numId="6" w16cid:durableId="687025103">
    <w:abstractNumId w:val="36"/>
  </w:num>
  <w:num w:numId="7" w16cid:durableId="585654623">
    <w:abstractNumId w:val="38"/>
  </w:num>
  <w:num w:numId="8" w16cid:durableId="1968585140">
    <w:abstractNumId w:val="35"/>
  </w:num>
  <w:num w:numId="9" w16cid:durableId="427386260">
    <w:abstractNumId w:val="39"/>
  </w:num>
  <w:num w:numId="10" w16cid:durableId="384138078">
    <w:abstractNumId w:val="3"/>
  </w:num>
  <w:num w:numId="11" w16cid:durableId="1996295422">
    <w:abstractNumId w:val="24"/>
  </w:num>
  <w:num w:numId="12" w16cid:durableId="1888446827">
    <w:abstractNumId w:val="21"/>
  </w:num>
  <w:num w:numId="13" w16cid:durableId="1866358294">
    <w:abstractNumId w:val="18"/>
  </w:num>
  <w:num w:numId="14" w16cid:durableId="1069958196">
    <w:abstractNumId w:val="37"/>
  </w:num>
  <w:num w:numId="15" w16cid:durableId="187643524">
    <w:abstractNumId w:val="19"/>
  </w:num>
  <w:num w:numId="16" w16cid:durableId="1882090128">
    <w:abstractNumId w:val="6"/>
  </w:num>
  <w:num w:numId="17" w16cid:durableId="1810973812">
    <w:abstractNumId w:val="2"/>
  </w:num>
  <w:num w:numId="18" w16cid:durableId="1597471885">
    <w:abstractNumId w:val="25"/>
  </w:num>
  <w:num w:numId="19" w16cid:durableId="2129934355">
    <w:abstractNumId w:val="11"/>
  </w:num>
  <w:num w:numId="20" w16cid:durableId="1266185025">
    <w:abstractNumId w:val="1"/>
  </w:num>
  <w:num w:numId="21" w16cid:durableId="1448423444">
    <w:abstractNumId w:val="31"/>
  </w:num>
  <w:num w:numId="22" w16cid:durableId="1144617651">
    <w:abstractNumId w:val="7"/>
  </w:num>
  <w:num w:numId="23" w16cid:durableId="228268963">
    <w:abstractNumId w:val="29"/>
  </w:num>
  <w:num w:numId="24" w16cid:durableId="1388139474">
    <w:abstractNumId w:val="13"/>
  </w:num>
  <w:num w:numId="25" w16cid:durableId="1985155190">
    <w:abstractNumId w:val="5"/>
  </w:num>
  <w:num w:numId="26" w16cid:durableId="1847817066">
    <w:abstractNumId w:val="15"/>
  </w:num>
  <w:num w:numId="27" w16cid:durableId="125590346">
    <w:abstractNumId w:val="10"/>
  </w:num>
  <w:num w:numId="28" w16cid:durableId="1962229439">
    <w:abstractNumId w:val="22"/>
  </w:num>
  <w:num w:numId="29" w16cid:durableId="2099326650">
    <w:abstractNumId w:val="33"/>
  </w:num>
  <w:num w:numId="30" w16cid:durableId="636111924">
    <w:abstractNumId w:val="28"/>
  </w:num>
  <w:num w:numId="31" w16cid:durableId="1495143940">
    <w:abstractNumId w:val="9"/>
  </w:num>
  <w:num w:numId="32" w16cid:durableId="622154250">
    <w:abstractNumId w:val="23"/>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33" w16cid:durableId="1497838758">
    <w:abstractNumId w:val="0"/>
  </w:num>
  <w:num w:numId="34" w16cid:durableId="925915452">
    <w:abstractNumId w:val="27"/>
  </w:num>
  <w:num w:numId="35" w16cid:durableId="614875139">
    <w:abstractNumId w:val="17"/>
  </w:num>
  <w:num w:numId="36" w16cid:durableId="1433352254">
    <w:abstractNumId w:val="14"/>
  </w:num>
  <w:num w:numId="37" w16cid:durableId="935207227">
    <w:abstractNumId w:val="4"/>
  </w:num>
  <w:num w:numId="38" w16cid:durableId="443575905">
    <w:abstractNumId w:val="16"/>
  </w:num>
  <w:num w:numId="39" w16cid:durableId="137042824">
    <w:abstractNumId w:val="32"/>
  </w:num>
  <w:num w:numId="40" w16cid:durableId="35083032">
    <w:abstractNumId w:val="8"/>
  </w:num>
  <w:num w:numId="41" w16cid:durableId="1656572173">
    <w:abstractNumId w:val="14"/>
  </w:num>
  <w:num w:numId="42" w16cid:durableId="1261523699">
    <w:abstractNumId w:val="14"/>
  </w:num>
  <w:num w:numId="43" w16cid:durableId="183442027">
    <w:abstractNumId w:val="14"/>
  </w:num>
  <w:num w:numId="44" w16cid:durableId="2310881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92836618">
    <w:abstractNumId w:val="17"/>
  </w:num>
  <w:num w:numId="46" w16cid:durableId="1690334673">
    <w:abstractNumId w:val="16"/>
  </w:num>
  <w:num w:numId="47" w16cid:durableId="14032125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068FE"/>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309E"/>
    <w:rsid w:val="0005427C"/>
    <w:rsid w:val="0005636C"/>
    <w:rsid w:val="00060883"/>
    <w:rsid w:val="00061209"/>
    <w:rsid w:val="00061CB7"/>
    <w:rsid w:val="00062FC3"/>
    <w:rsid w:val="00063F53"/>
    <w:rsid w:val="00067AB9"/>
    <w:rsid w:val="00067E3F"/>
    <w:rsid w:val="00067F06"/>
    <w:rsid w:val="00070C45"/>
    <w:rsid w:val="000772E8"/>
    <w:rsid w:val="00080696"/>
    <w:rsid w:val="00080A08"/>
    <w:rsid w:val="000815FE"/>
    <w:rsid w:val="00093948"/>
    <w:rsid w:val="00094588"/>
    <w:rsid w:val="000945FC"/>
    <w:rsid w:val="000977F2"/>
    <w:rsid w:val="000A1179"/>
    <w:rsid w:val="000A2753"/>
    <w:rsid w:val="000A31F3"/>
    <w:rsid w:val="000A5858"/>
    <w:rsid w:val="000A6F7E"/>
    <w:rsid w:val="000B192F"/>
    <w:rsid w:val="000B357A"/>
    <w:rsid w:val="000B416C"/>
    <w:rsid w:val="000B5A89"/>
    <w:rsid w:val="000C124F"/>
    <w:rsid w:val="000D3642"/>
    <w:rsid w:val="000D3DE7"/>
    <w:rsid w:val="000D473E"/>
    <w:rsid w:val="000D5635"/>
    <w:rsid w:val="000D64AA"/>
    <w:rsid w:val="000D7B2A"/>
    <w:rsid w:val="000E01B8"/>
    <w:rsid w:val="000E11E7"/>
    <w:rsid w:val="000E35A9"/>
    <w:rsid w:val="000F1369"/>
    <w:rsid w:val="000F489D"/>
    <w:rsid w:val="000F7076"/>
    <w:rsid w:val="00103C68"/>
    <w:rsid w:val="0010655A"/>
    <w:rsid w:val="0011082B"/>
    <w:rsid w:val="00113337"/>
    <w:rsid w:val="00116A4B"/>
    <w:rsid w:val="001202BC"/>
    <w:rsid w:val="00120DB6"/>
    <w:rsid w:val="00122B4D"/>
    <w:rsid w:val="00125E59"/>
    <w:rsid w:val="00126A84"/>
    <w:rsid w:val="001274ED"/>
    <w:rsid w:val="00137F41"/>
    <w:rsid w:val="00140E63"/>
    <w:rsid w:val="001411B2"/>
    <w:rsid w:val="001456B1"/>
    <w:rsid w:val="00146D8C"/>
    <w:rsid w:val="00147183"/>
    <w:rsid w:val="00147648"/>
    <w:rsid w:val="00147A4B"/>
    <w:rsid w:val="001509FD"/>
    <w:rsid w:val="001628EB"/>
    <w:rsid w:val="001659C3"/>
    <w:rsid w:val="00165D31"/>
    <w:rsid w:val="001723F7"/>
    <w:rsid w:val="00182264"/>
    <w:rsid w:val="00182F29"/>
    <w:rsid w:val="00183FC6"/>
    <w:rsid w:val="0018572B"/>
    <w:rsid w:val="00185CCE"/>
    <w:rsid w:val="00186490"/>
    <w:rsid w:val="001868B5"/>
    <w:rsid w:val="001901D9"/>
    <w:rsid w:val="0019032A"/>
    <w:rsid w:val="00190528"/>
    <w:rsid w:val="001A6487"/>
    <w:rsid w:val="001A7172"/>
    <w:rsid w:val="001A7D21"/>
    <w:rsid w:val="001B5152"/>
    <w:rsid w:val="001B5B9D"/>
    <w:rsid w:val="001B6B20"/>
    <w:rsid w:val="001C7461"/>
    <w:rsid w:val="001D0003"/>
    <w:rsid w:val="001D03E6"/>
    <w:rsid w:val="001D47FB"/>
    <w:rsid w:val="001E00FC"/>
    <w:rsid w:val="001E0980"/>
    <w:rsid w:val="001E0C4D"/>
    <w:rsid w:val="001E0F16"/>
    <w:rsid w:val="001E174B"/>
    <w:rsid w:val="001E2685"/>
    <w:rsid w:val="001E6D0F"/>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33475"/>
    <w:rsid w:val="00241F2C"/>
    <w:rsid w:val="002456B4"/>
    <w:rsid w:val="002519BD"/>
    <w:rsid w:val="00254EE3"/>
    <w:rsid w:val="0025564E"/>
    <w:rsid w:val="00257E4B"/>
    <w:rsid w:val="00264497"/>
    <w:rsid w:val="00272E11"/>
    <w:rsid w:val="00273FD1"/>
    <w:rsid w:val="00277AF5"/>
    <w:rsid w:val="0028052C"/>
    <w:rsid w:val="00284B1E"/>
    <w:rsid w:val="00287134"/>
    <w:rsid w:val="0028772E"/>
    <w:rsid w:val="002901DC"/>
    <w:rsid w:val="002903A5"/>
    <w:rsid w:val="00290922"/>
    <w:rsid w:val="00291845"/>
    <w:rsid w:val="00292832"/>
    <w:rsid w:val="002A0931"/>
    <w:rsid w:val="002A3C2D"/>
    <w:rsid w:val="002A47C5"/>
    <w:rsid w:val="002A47F8"/>
    <w:rsid w:val="002B3A89"/>
    <w:rsid w:val="002B4201"/>
    <w:rsid w:val="002B6770"/>
    <w:rsid w:val="002C494E"/>
    <w:rsid w:val="002C4BD6"/>
    <w:rsid w:val="002D0C44"/>
    <w:rsid w:val="002D1F5E"/>
    <w:rsid w:val="002D3D10"/>
    <w:rsid w:val="002D741F"/>
    <w:rsid w:val="002D7E91"/>
    <w:rsid w:val="002E15CE"/>
    <w:rsid w:val="002E54EC"/>
    <w:rsid w:val="002F14F6"/>
    <w:rsid w:val="002F4845"/>
    <w:rsid w:val="00300CCC"/>
    <w:rsid w:val="003035F1"/>
    <w:rsid w:val="0031221A"/>
    <w:rsid w:val="0031298B"/>
    <w:rsid w:val="003144A1"/>
    <w:rsid w:val="00325808"/>
    <w:rsid w:val="0032718E"/>
    <w:rsid w:val="00327C98"/>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22DE"/>
    <w:rsid w:val="003D3C80"/>
    <w:rsid w:val="003D4137"/>
    <w:rsid w:val="003D6B00"/>
    <w:rsid w:val="003E232D"/>
    <w:rsid w:val="003E42E0"/>
    <w:rsid w:val="003E45FA"/>
    <w:rsid w:val="003E4738"/>
    <w:rsid w:val="003E539D"/>
    <w:rsid w:val="003F03EB"/>
    <w:rsid w:val="003F440B"/>
    <w:rsid w:val="003F6C33"/>
    <w:rsid w:val="003F7835"/>
    <w:rsid w:val="0040126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4634"/>
    <w:rsid w:val="00434EEA"/>
    <w:rsid w:val="00435884"/>
    <w:rsid w:val="00435E41"/>
    <w:rsid w:val="00435E6A"/>
    <w:rsid w:val="00441160"/>
    <w:rsid w:val="00441D11"/>
    <w:rsid w:val="00442B9C"/>
    <w:rsid w:val="00443784"/>
    <w:rsid w:val="00444579"/>
    <w:rsid w:val="00454420"/>
    <w:rsid w:val="00457A95"/>
    <w:rsid w:val="00460520"/>
    <w:rsid w:val="00462830"/>
    <w:rsid w:val="004670B2"/>
    <w:rsid w:val="0046797D"/>
    <w:rsid w:val="00470DB3"/>
    <w:rsid w:val="00471B66"/>
    <w:rsid w:val="00473ED1"/>
    <w:rsid w:val="004779EA"/>
    <w:rsid w:val="00480801"/>
    <w:rsid w:val="00481CB2"/>
    <w:rsid w:val="0048305D"/>
    <w:rsid w:val="00483345"/>
    <w:rsid w:val="00483F8D"/>
    <w:rsid w:val="00493AF8"/>
    <w:rsid w:val="00493D80"/>
    <w:rsid w:val="00495309"/>
    <w:rsid w:val="00495C6A"/>
    <w:rsid w:val="004A003A"/>
    <w:rsid w:val="004A4DD8"/>
    <w:rsid w:val="004A5A93"/>
    <w:rsid w:val="004A6470"/>
    <w:rsid w:val="004B03AD"/>
    <w:rsid w:val="004B44FE"/>
    <w:rsid w:val="004B61EB"/>
    <w:rsid w:val="004B7F23"/>
    <w:rsid w:val="004C59F7"/>
    <w:rsid w:val="004D749A"/>
    <w:rsid w:val="004E3BF4"/>
    <w:rsid w:val="004E4E46"/>
    <w:rsid w:val="004E501E"/>
    <w:rsid w:val="004E5B32"/>
    <w:rsid w:val="004F3F45"/>
    <w:rsid w:val="004F65EA"/>
    <w:rsid w:val="00510DEA"/>
    <w:rsid w:val="00511720"/>
    <w:rsid w:val="00513CD6"/>
    <w:rsid w:val="00514C3A"/>
    <w:rsid w:val="00515256"/>
    <w:rsid w:val="00515C14"/>
    <w:rsid w:val="00517864"/>
    <w:rsid w:val="00525465"/>
    <w:rsid w:val="005331E2"/>
    <w:rsid w:val="00534CCC"/>
    <w:rsid w:val="00536956"/>
    <w:rsid w:val="00541AB8"/>
    <w:rsid w:val="00544D0B"/>
    <w:rsid w:val="00550867"/>
    <w:rsid w:val="005519CA"/>
    <w:rsid w:val="0055278D"/>
    <w:rsid w:val="00555ED7"/>
    <w:rsid w:val="005561B3"/>
    <w:rsid w:val="00557502"/>
    <w:rsid w:val="00561662"/>
    <w:rsid w:val="00564033"/>
    <w:rsid w:val="00564C40"/>
    <w:rsid w:val="00565FB4"/>
    <w:rsid w:val="00566404"/>
    <w:rsid w:val="00567695"/>
    <w:rsid w:val="00572530"/>
    <w:rsid w:val="0057392F"/>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8A7"/>
    <w:rsid w:val="005B6FCE"/>
    <w:rsid w:val="005D23F2"/>
    <w:rsid w:val="005D314B"/>
    <w:rsid w:val="005D37BD"/>
    <w:rsid w:val="005D3F6F"/>
    <w:rsid w:val="005D5A3F"/>
    <w:rsid w:val="005D5ABB"/>
    <w:rsid w:val="005E1406"/>
    <w:rsid w:val="005E238A"/>
    <w:rsid w:val="005E35C3"/>
    <w:rsid w:val="005E69BD"/>
    <w:rsid w:val="005F0068"/>
    <w:rsid w:val="005F1EC8"/>
    <w:rsid w:val="005F373E"/>
    <w:rsid w:val="005F70C4"/>
    <w:rsid w:val="005F7E93"/>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2335"/>
    <w:rsid w:val="006438A7"/>
    <w:rsid w:val="00650E29"/>
    <w:rsid w:val="0065359F"/>
    <w:rsid w:val="00654372"/>
    <w:rsid w:val="00654D09"/>
    <w:rsid w:val="00657B12"/>
    <w:rsid w:val="00667B0C"/>
    <w:rsid w:val="0067060B"/>
    <w:rsid w:val="00670AB7"/>
    <w:rsid w:val="006744F8"/>
    <w:rsid w:val="00675B96"/>
    <w:rsid w:val="00691BCF"/>
    <w:rsid w:val="0069252D"/>
    <w:rsid w:val="00695160"/>
    <w:rsid w:val="00697374"/>
    <w:rsid w:val="006A00BD"/>
    <w:rsid w:val="006A0434"/>
    <w:rsid w:val="006A1CA9"/>
    <w:rsid w:val="006A6532"/>
    <w:rsid w:val="006A686B"/>
    <w:rsid w:val="006B0E38"/>
    <w:rsid w:val="006B4600"/>
    <w:rsid w:val="006B4D3E"/>
    <w:rsid w:val="006B56AA"/>
    <w:rsid w:val="006C3AC5"/>
    <w:rsid w:val="006C4EE5"/>
    <w:rsid w:val="006C5B22"/>
    <w:rsid w:val="006C6D9F"/>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6191"/>
    <w:rsid w:val="00741130"/>
    <w:rsid w:val="007413E4"/>
    <w:rsid w:val="007428F1"/>
    <w:rsid w:val="00744D15"/>
    <w:rsid w:val="00751C91"/>
    <w:rsid w:val="00752F37"/>
    <w:rsid w:val="00756957"/>
    <w:rsid w:val="00757931"/>
    <w:rsid w:val="00760F11"/>
    <w:rsid w:val="0076133C"/>
    <w:rsid w:val="007621B2"/>
    <w:rsid w:val="00765E05"/>
    <w:rsid w:val="007668A8"/>
    <w:rsid w:val="00767AF2"/>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844"/>
    <w:rsid w:val="00844A05"/>
    <w:rsid w:val="00846EFE"/>
    <w:rsid w:val="00850058"/>
    <w:rsid w:val="00850953"/>
    <w:rsid w:val="00851091"/>
    <w:rsid w:val="00852E60"/>
    <w:rsid w:val="00853876"/>
    <w:rsid w:val="00854DDA"/>
    <w:rsid w:val="00855415"/>
    <w:rsid w:val="008618D2"/>
    <w:rsid w:val="00861E0D"/>
    <w:rsid w:val="00864104"/>
    <w:rsid w:val="00864883"/>
    <w:rsid w:val="00870043"/>
    <w:rsid w:val="008756FB"/>
    <w:rsid w:val="0087638C"/>
    <w:rsid w:val="0088195F"/>
    <w:rsid w:val="00887730"/>
    <w:rsid w:val="008878D6"/>
    <w:rsid w:val="008958D2"/>
    <w:rsid w:val="00896247"/>
    <w:rsid w:val="008965D8"/>
    <w:rsid w:val="008A0404"/>
    <w:rsid w:val="008A251E"/>
    <w:rsid w:val="008A46A8"/>
    <w:rsid w:val="008A555D"/>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265F"/>
    <w:rsid w:val="00934578"/>
    <w:rsid w:val="00936B0E"/>
    <w:rsid w:val="00940E2C"/>
    <w:rsid w:val="00943A0B"/>
    <w:rsid w:val="00944865"/>
    <w:rsid w:val="0094593A"/>
    <w:rsid w:val="00945946"/>
    <w:rsid w:val="00945A13"/>
    <w:rsid w:val="00945B17"/>
    <w:rsid w:val="00951E03"/>
    <w:rsid w:val="00953B18"/>
    <w:rsid w:val="00961610"/>
    <w:rsid w:val="00961E86"/>
    <w:rsid w:val="00962518"/>
    <w:rsid w:val="00962CDD"/>
    <w:rsid w:val="00964BB7"/>
    <w:rsid w:val="0096521B"/>
    <w:rsid w:val="009712C4"/>
    <w:rsid w:val="00975187"/>
    <w:rsid w:val="00975E18"/>
    <w:rsid w:val="00975EA9"/>
    <w:rsid w:val="00981E36"/>
    <w:rsid w:val="00982D0B"/>
    <w:rsid w:val="0098420B"/>
    <w:rsid w:val="009876C6"/>
    <w:rsid w:val="0099597A"/>
    <w:rsid w:val="00996406"/>
    <w:rsid w:val="009A2F21"/>
    <w:rsid w:val="009A5B2A"/>
    <w:rsid w:val="009A7D27"/>
    <w:rsid w:val="009C6EF0"/>
    <w:rsid w:val="009D1D56"/>
    <w:rsid w:val="009D2444"/>
    <w:rsid w:val="009D3931"/>
    <w:rsid w:val="009D3D0A"/>
    <w:rsid w:val="009D5769"/>
    <w:rsid w:val="009E0A13"/>
    <w:rsid w:val="009E6741"/>
    <w:rsid w:val="009E7231"/>
    <w:rsid w:val="009F1345"/>
    <w:rsid w:val="009F1A2F"/>
    <w:rsid w:val="009F4D46"/>
    <w:rsid w:val="009F5007"/>
    <w:rsid w:val="00A0120A"/>
    <w:rsid w:val="00A0335D"/>
    <w:rsid w:val="00A06137"/>
    <w:rsid w:val="00A061B8"/>
    <w:rsid w:val="00A06F28"/>
    <w:rsid w:val="00A070FE"/>
    <w:rsid w:val="00A07E1A"/>
    <w:rsid w:val="00A10BAB"/>
    <w:rsid w:val="00A1203B"/>
    <w:rsid w:val="00A1237C"/>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6783"/>
    <w:rsid w:val="00A5763E"/>
    <w:rsid w:val="00A614ED"/>
    <w:rsid w:val="00A64EF8"/>
    <w:rsid w:val="00A663F3"/>
    <w:rsid w:val="00A66AC5"/>
    <w:rsid w:val="00A6761B"/>
    <w:rsid w:val="00A72F08"/>
    <w:rsid w:val="00A74F68"/>
    <w:rsid w:val="00A754BB"/>
    <w:rsid w:val="00A75733"/>
    <w:rsid w:val="00A75F42"/>
    <w:rsid w:val="00A767D7"/>
    <w:rsid w:val="00A77EA4"/>
    <w:rsid w:val="00A8523A"/>
    <w:rsid w:val="00A92730"/>
    <w:rsid w:val="00AA51A2"/>
    <w:rsid w:val="00AA658C"/>
    <w:rsid w:val="00AA73D1"/>
    <w:rsid w:val="00AA7C1A"/>
    <w:rsid w:val="00AB4664"/>
    <w:rsid w:val="00AB55B3"/>
    <w:rsid w:val="00AB6329"/>
    <w:rsid w:val="00AB661A"/>
    <w:rsid w:val="00AC12C3"/>
    <w:rsid w:val="00AC267D"/>
    <w:rsid w:val="00AC4601"/>
    <w:rsid w:val="00AC5AF0"/>
    <w:rsid w:val="00AC64F8"/>
    <w:rsid w:val="00AE52FA"/>
    <w:rsid w:val="00AE7D36"/>
    <w:rsid w:val="00B003A4"/>
    <w:rsid w:val="00B00C37"/>
    <w:rsid w:val="00B02572"/>
    <w:rsid w:val="00B028FA"/>
    <w:rsid w:val="00B02B1E"/>
    <w:rsid w:val="00B1096B"/>
    <w:rsid w:val="00B11C29"/>
    <w:rsid w:val="00B12782"/>
    <w:rsid w:val="00B12EB8"/>
    <w:rsid w:val="00B1430D"/>
    <w:rsid w:val="00B16CCF"/>
    <w:rsid w:val="00B178AD"/>
    <w:rsid w:val="00B248D7"/>
    <w:rsid w:val="00B257F4"/>
    <w:rsid w:val="00B2580E"/>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580A"/>
    <w:rsid w:val="00B6647F"/>
    <w:rsid w:val="00B76680"/>
    <w:rsid w:val="00B77263"/>
    <w:rsid w:val="00B8059F"/>
    <w:rsid w:val="00B83969"/>
    <w:rsid w:val="00B83F53"/>
    <w:rsid w:val="00B84CC3"/>
    <w:rsid w:val="00B85096"/>
    <w:rsid w:val="00B91577"/>
    <w:rsid w:val="00B95D27"/>
    <w:rsid w:val="00B96478"/>
    <w:rsid w:val="00B96522"/>
    <w:rsid w:val="00B96F81"/>
    <w:rsid w:val="00BA7CDA"/>
    <w:rsid w:val="00BB2F88"/>
    <w:rsid w:val="00BC0D5F"/>
    <w:rsid w:val="00BC1998"/>
    <w:rsid w:val="00BC4261"/>
    <w:rsid w:val="00BC531E"/>
    <w:rsid w:val="00BC673B"/>
    <w:rsid w:val="00BC712F"/>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23092"/>
    <w:rsid w:val="00C23AE3"/>
    <w:rsid w:val="00C32A8C"/>
    <w:rsid w:val="00C33B04"/>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6673A"/>
    <w:rsid w:val="00C73E0D"/>
    <w:rsid w:val="00C74370"/>
    <w:rsid w:val="00C74FBE"/>
    <w:rsid w:val="00C80B9D"/>
    <w:rsid w:val="00C833B5"/>
    <w:rsid w:val="00C837A4"/>
    <w:rsid w:val="00C90E35"/>
    <w:rsid w:val="00C91661"/>
    <w:rsid w:val="00C92867"/>
    <w:rsid w:val="00C97929"/>
    <w:rsid w:val="00CA31DD"/>
    <w:rsid w:val="00CA512E"/>
    <w:rsid w:val="00CB3342"/>
    <w:rsid w:val="00CB601D"/>
    <w:rsid w:val="00CC0126"/>
    <w:rsid w:val="00CC2B24"/>
    <w:rsid w:val="00CC412C"/>
    <w:rsid w:val="00CC6ABC"/>
    <w:rsid w:val="00CC730C"/>
    <w:rsid w:val="00CD2DD6"/>
    <w:rsid w:val="00CE176F"/>
    <w:rsid w:val="00CE2FFD"/>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418E"/>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4891"/>
    <w:rsid w:val="00D76208"/>
    <w:rsid w:val="00D80869"/>
    <w:rsid w:val="00D81AA3"/>
    <w:rsid w:val="00D83139"/>
    <w:rsid w:val="00D843E0"/>
    <w:rsid w:val="00D905AF"/>
    <w:rsid w:val="00D95090"/>
    <w:rsid w:val="00DA0027"/>
    <w:rsid w:val="00DA0CFC"/>
    <w:rsid w:val="00DA302E"/>
    <w:rsid w:val="00DA320A"/>
    <w:rsid w:val="00DA420D"/>
    <w:rsid w:val="00DA5C67"/>
    <w:rsid w:val="00DB1A2C"/>
    <w:rsid w:val="00DB1BE6"/>
    <w:rsid w:val="00DB7FC3"/>
    <w:rsid w:val="00DC4F38"/>
    <w:rsid w:val="00DC7EA0"/>
    <w:rsid w:val="00DD6070"/>
    <w:rsid w:val="00DD71A1"/>
    <w:rsid w:val="00DE1C3E"/>
    <w:rsid w:val="00DE3318"/>
    <w:rsid w:val="00DE4B31"/>
    <w:rsid w:val="00DE63CA"/>
    <w:rsid w:val="00DF21AB"/>
    <w:rsid w:val="00DF5208"/>
    <w:rsid w:val="00E071F5"/>
    <w:rsid w:val="00E10878"/>
    <w:rsid w:val="00E10C37"/>
    <w:rsid w:val="00E12C79"/>
    <w:rsid w:val="00E155D9"/>
    <w:rsid w:val="00E15F81"/>
    <w:rsid w:val="00E35D14"/>
    <w:rsid w:val="00E3756B"/>
    <w:rsid w:val="00E40127"/>
    <w:rsid w:val="00E513D9"/>
    <w:rsid w:val="00E53156"/>
    <w:rsid w:val="00E544A0"/>
    <w:rsid w:val="00E5508E"/>
    <w:rsid w:val="00E61BB1"/>
    <w:rsid w:val="00E63215"/>
    <w:rsid w:val="00E63BF3"/>
    <w:rsid w:val="00E65238"/>
    <w:rsid w:val="00E67C9A"/>
    <w:rsid w:val="00E733FE"/>
    <w:rsid w:val="00E80388"/>
    <w:rsid w:val="00E80F78"/>
    <w:rsid w:val="00E81555"/>
    <w:rsid w:val="00E83AA0"/>
    <w:rsid w:val="00E83D6F"/>
    <w:rsid w:val="00E8455D"/>
    <w:rsid w:val="00E90D49"/>
    <w:rsid w:val="00E92BF8"/>
    <w:rsid w:val="00E9606E"/>
    <w:rsid w:val="00EA39EC"/>
    <w:rsid w:val="00EA5A50"/>
    <w:rsid w:val="00EA6023"/>
    <w:rsid w:val="00EB4651"/>
    <w:rsid w:val="00EB55F8"/>
    <w:rsid w:val="00EC09ED"/>
    <w:rsid w:val="00EC28F6"/>
    <w:rsid w:val="00EC4D24"/>
    <w:rsid w:val="00EC5694"/>
    <w:rsid w:val="00EC602C"/>
    <w:rsid w:val="00EC6674"/>
    <w:rsid w:val="00ED1301"/>
    <w:rsid w:val="00ED1700"/>
    <w:rsid w:val="00ED72CA"/>
    <w:rsid w:val="00ED7A5E"/>
    <w:rsid w:val="00EE67FE"/>
    <w:rsid w:val="00EF6F02"/>
    <w:rsid w:val="00F01833"/>
    <w:rsid w:val="00F049EF"/>
    <w:rsid w:val="00F04ACA"/>
    <w:rsid w:val="00F1233C"/>
    <w:rsid w:val="00F2286D"/>
    <w:rsid w:val="00F235B9"/>
    <w:rsid w:val="00F2424C"/>
    <w:rsid w:val="00F24DFF"/>
    <w:rsid w:val="00F26141"/>
    <w:rsid w:val="00F271F9"/>
    <w:rsid w:val="00F33EBD"/>
    <w:rsid w:val="00F354C8"/>
    <w:rsid w:val="00F379D4"/>
    <w:rsid w:val="00F46791"/>
    <w:rsid w:val="00F508F4"/>
    <w:rsid w:val="00F50F96"/>
    <w:rsid w:val="00F51125"/>
    <w:rsid w:val="00F52258"/>
    <w:rsid w:val="00F52F3B"/>
    <w:rsid w:val="00F66D3F"/>
    <w:rsid w:val="00F74592"/>
    <w:rsid w:val="00F76AAC"/>
    <w:rsid w:val="00F76D7B"/>
    <w:rsid w:val="00F80284"/>
    <w:rsid w:val="00F83811"/>
    <w:rsid w:val="00F939BC"/>
    <w:rsid w:val="00F957C1"/>
    <w:rsid w:val="00F95BCA"/>
    <w:rsid w:val="00F96326"/>
    <w:rsid w:val="00F97959"/>
    <w:rsid w:val="00FA0C41"/>
    <w:rsid w:val="00FA6FCF"/>
    <w:rsid w:val="00FB1A89"/>
    <w:rsid w:val="00FB23DB"/>
    <w:rsid w:val="00FB3D0B"/>
    <w:rsid w:val="00FB592F"/>
    <w:rsid w:val="00FB6B08"/>
    <w:rsid w:val="00FC25F6"/>
    <w:rsid w:val="00FC62A5"/>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C6673A"/>
    <w:pPr>
      <w:keepNext/>
      <w:spacing w:after="12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18572B"/>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73A"/>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18572B"/>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8"/>
      </w:numPr>
      <w:spacing w:before="60" w:after="60"/>
      <w:ind w:left="357" w:hanging="357"/>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9"/>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3"/>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4"/>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10"/>
      </w:numPr>
    </w:pPr>
  </w:style>
  <w:style w:type="paragraph" w:customStyle="1" w:styleId="Bullet1">
    <w:name w:val="Bullet 1"/>
    <w:basedOn w:val="Normal"/>
    <w:uiPriority w:val="2"/>
    <w:qFormat/>
    <w:rsid w:val="00430784"/>
    <w:pPr>
      <w:numPr>
        <w:numId w:val="11"/>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11"/>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11"/>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12"/>
      </w:numPr>
    </w:pPr>
    <w:rPr>
      <w:szCs w:val="22"/>
      <w:lang w:val="en"/>
    </w:rPr>
  </w:style>
  <w:style w:type="paragraph" w:customStyle="1" w:styleId="Bulletroman">
    <w:name w:val="Bullet roman"/>
    <w:basedOn w:val="bulletalpha"/>
    <w:qFormat/>
    <w:rsid w:val="00430784"/>
    <w:pPr>
      <w:numPr>
        <w:numId w:val="13"/>
      </w:numPr>
    </w:pPr>
  </w:style>
  <w:style w:type="paragraph" w:customStyle="1" w:styleId="Boxed1Bullet">
    <w:name w:val="Boxed 1 Bullet"/>
    <w:basedOn w:val="Boxed1Text"/>
    <w:uiPriority w:val="30"/>
    <w:qFormat/>
    <w:rsid w:val="00430784"/>
    <w:pPr>
      <w:numPr>
        <w:numId w:val="15"/>
      </w:numPr>
    </w:pPr>
  </w:style>
  <w:style w:type="paragraph" w:customStyle="1" w:styleId="Boxed2Bullet">
    <w:name w:val="Boxed 2 Bullet"/>
    <w:basedOn w:val="Normal"/>
    <w:uiPriority w:val="32"/>
    <w:qFormat/>
    <w:rsid w:val="00430784"/>
    <w:pPr>
      <w:numPr>
        <w:ilvl w:val="1"/>
        <w:numId w:val="15"/>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5"/>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22"/>
      </w:numPr>
    </w:pPr>
  </w:style>
  <w:style w:type="paragraph" w:customStyle="1" w:styleId="FigureTitle">
    <w:name w:val="Figure Title"/>
    <w:basedOn w:val="Normal"/>
    <w:uiPriority w:val="12"/>
    <w:qFormat/>
    <w:rsid w:val="00495C6A"/>
    <w:pPr>
      <w:keepNext/>
      <w:numPr>
        <w:numId w:val="23"/>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33"/>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3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31"/>
      </w:numPr>
    </w:pPr>
  </w:style>
  <w:style w:type="paragraph" w:customStyle="1" w:styleId="TableTitle">
    <w:name w:val="Table Title"/>
    <w:basedOn w:val="FigureTitle"/>
    <w:uiPriority w:val="12"/>
    <w:qFormat/>
    <w:rsid w:val="00C45989"/>
    <w:pPr>
      <w:numPr>
        <w:numId w:val="32"/>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34"/>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styleId="Emphasis">
    <w:name w:val="Emphasis"/>
    <w:basedOn w:val="DefaultParagraphFont"/>
    <w:uiPriority w:val="20"/>
    <w:qFormat/>
    <w:rsid w:val="003D3C80"/>
    <w:rPr>
      <w:rFonts w:ascii="Calibri" w:hAnsi="Calibri"/>
      <w:i/>
      <w:iCs/>
      <w:sz w:val="24"/>
    </w:rPr>
  </w:style>
  <w:style w:type="paragraph" w:customStyle="1" w:styleId="Tableheading">
    <w:name w:val="Table heading"/>
    <w:basedOn w:val="Normal"/>
    <w:qFormat/>
    <w:rsid w:val="003D3C80"/>
    <w:pPr>
      <w:keepNext/>
      <w:keepLines/>
      <w:suppressAutoHyphens/>
      <w:spacing w:before="40" w:after="40" w:line="240" w:lineRule="auto"/>
    </w:pPr>
    <w:rPr>
      <w:rFonts w:eastAsia="Calibri"/>
      <w:b/>
      <w:sz w:val="20"/>
      <w:szCs w:val="22"/>
      <w:lang w:eastAsia="en-AU"/>
    </w:rPr>
  </w:style>
  <w:style w:type="paragraph" w:customStyle="1" w:styleId="DotPoint">
    <w:name w:val="Dot Point"/>
    <w:basedOn w:val="Normal"/>
    <w:qFormat/>
    <w:rsid w:val="003D3C80"/>
    <w:pPr>
      <w:numPr>
        <w:numId w:val="35"/>
      </w:numPr>
      <w:suppressAutoHyphens/>
      <w:spacing w:before="0" w:after="240" w:line="240" w:lineRule="auto"/>
      <w:contextualSpacing/>
    </w:pPr>
    <w:rPr>
      <w:sz w:val="24"/>
      <w:lang w:eastAsia="en-AU"/>
    </w:rPr>
  </w:style>
  <w:style w:type="character" w:customStyle="1" w:styleId="SubdotPointChar">
    <w:name w:val="Subdot Point Char"/>
    <w:basedOn w:val="DefaultParagraphFont"/>
    <w:rsid w:val="003D3C80"/>
    <w:rPr>
      <w:rFonts w:ascii="Calibri" w:hAnsi="Calibri"/>
      <w:sz w:val="24"/>
    </w:rPr>
  </w:style>
  <w:style w:type="paragraph" w:styleId="Quote">
    <w:name w:val="Quote"/>
    <w:basedOn w:val="Normal"/>
    <w:next w:val="Normal"/>
    <w:link w:val="QuoteChar"/>
    <w:uiPriority w:val="29"/>
    <w:qFormat/>
    <w:rsid w:val="003D3C80"/>
    <w:pPr>
      <w:suppressAutoHyphens/>
      <w:spacing w:before="0" w:after="240" w:line="240" w:lineRule="auto"/>
    </w:pPr>
    <w:rPr>
      <w:i/>
      <w:iCs/>
      <w:sz w:val="24"/>
      <w:lang w:eastAsia="en-AU"/>
    </w:rPr>
  </w:style>
  <w:style w:type="character" w:customStyle="1" w:styleId="QuoteChar">
    <w:name w:val="Quote Char"/>
    <w:basedOn w:val="DefaultParagraphFont"/>
    <w:link w:val="Quote"/>
    <w:uiPriority w:val="29"/>
    <w:rsid w:val="003D3C80"/>
    <w:rPr>
      <w:rFonts w:ascii="Calibri" w:eastAsia="Times New Roman" w:hAnsi="Calibri" w:cs="Times New Roman"/>
      <w:i/>
      <w:iCs/>
      <w:sz w:val="24"/>
      <w:szCs w:val="20"/>
      <w:lang w:eastAsia="en-AU"/>
    </w:rPr>
  </w:style>
  <w:style w:type="paragraph" w:customStyle="1" w:styleId="Default">
    <w:name w:val="Default"/>
    <w:rsid w:val="00E63BF3"/>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0068F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0068FE"/>
    <w:pPr>
      <w:spacing w:after="100"/>
    </w:pPr>
  </w:style>
  <w:style w:type="paragraph" w:styleId="TOC2">
    <w:name w:val="toc 2"/>
    <w:basedOn w:val="Normal"/>
    <w:next w:val="Normal"/>
    <w:autoRedefine/>
    <w:uiPriority w:val="39"/>
    <w:unhideWhenUsed/>
    <w:rsid w:val="000068FE"/>
    <w:pPr>
      <w:spacing w:after="100"/>
      <w:ind w:left="220"/>
    </w:pPr>
  </w:style>
  <w:style w:type="paragraph" w:styleId="TOC3">
    <w:name w:val="toc 3"/>
    <w:basedOn w:val="Normal"/>
    <w:next w:val="Normal"/>
    <w:autoRedefine/>
    <w:uiPriority w:val="39"/>
    <w:unhideWhenUsed/>
    <w:rsid w:val="000068FE"/>
    <w:pPr>
      <w:spacing w:after="100"/>
      <w:ind w:left="440"/>
    </w:pPr>
  </w:style>
  <w:style w:type="paragraph" w:styleId="CommentText">
    <w:name w:val="annotation text"/>
    <w:basedOn w:val="Normal"/>
    <w:link w:val="CommentTextChar"/>
    <w:uiPriority w:val="99"/>
    <w:semiHidden/>
    <w:unhideWhenUsed/>
    <w:rsid w:val="003F03EB"/>
    <w:pPr>
      <w:spacing w:line="240" w:lineRule="auto"/>
    </w:pPr>
    <w:rPr>
      <w:sz w:val="20"/>
    </w:rPr>
  </w:style>
  <w:style w:type="character" w:customStyle="1" w:styleId="CommentTextChar">
    <w:name w:val="Comment Text Char"/>
    <w:basedOn w:val="DefaultParagraphFont"/>
    <w:link w:val="CommentText"/>
    <w:uiPriority w:val="99"/>
    <w:semiHidden/>
    <w:rsid w:val="003F03E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943A0B"/>
    <w:rPr>
      <w:sz w:val="16"/>
      <w:szCs w:val="16"/>
    </w:rPr>
  </w:style>
  <w:style w:type="paragraph" w:styleId="CommentSubject">
    <w:name w:val="annotation subject"/>
    <w:basedOn w:val="CommentText"/>
    <w:next w:val="CommentText"/>
    <w:link w:val="CommentSubjectChar"/>
    <w:uiPriority w:val="99"/>
    <w:semiHidden/>
    <w:unhideWhenUsed/>
    <w:rsid w:val="00943A0B"/>
    <w:rPr>
      <w:b/>
      <w:bCs/>
    </w:rPr>
  </w:style>
  <w:style w:type="character" w:customStyle="1" w:styleId="CommentSubjectChar">
    <w:name w:val="Comment Subject Char"/>
    <w:basedOn w:val="CommentTextChar"/>
    <w:link w:val="CommentSubject"/>
    <w:uiPriority w:val="99"/>
    <w:semiHidden/>
    <w:rsid w:val="00943A0B"/>
    <w:rPr>
      <w:rFonts w:ascii="Calibri" w:eastAsia="Times New Roman" w:hAnsi="Calibri" w:cs="Times New Roman"/>
      <w:b/>
      <w:bCs/>
      <w:sz w:val="20"/>
      <w:szCs w:val="20"/>
    </w:rPr>
  </w:style>
  <w:style w:type="paragraph" w:styleId="Revision">
    <w:name w:val="Revision"/>
    <w:hidden/>
    <w:uiPriority w:val="99"/>
    <w:semiHidden/>
    <w:rsid w:val="00C74370"/>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016">
      <w:bodyDiv w:val="1"/>
      <w:marLeft w:val="0"/>
      <w:marRight w:val="0"/>
      <w:marTop w:val="0"/>
      <w:marBottom w:val="0"/>
      <w:divBdr>
        <w:top w:val="none" w:sz="0" w:space="0" w:color="auto"/>
        <w:left w:val="none" w:sz="0" w:space="0" w:color="auto"/>
        <w:bottom w:val="none" w:sz="0" w:space="0" w:color="auto"/>
        <w:right w:val="none" w:sz="0" w:space="0" w:color="auto"/>
      </w:divBdr>
    </w:div>
    <w:div w:id="107820548">
      <w:bodyDiv w:val="1"/>
      <w:marLeft w:val="0"/>
      <w:marRight w:val="0"/>
      <w:marTop w:val="0"/>
      <w:marBottom w:val="0"/>
      <w:divBdr>
        <w:top w:val="none" w:sz="0" w:space="0" w:color="auto"/>
        <w:left w:val="none" w:sz="0" w:space="0" w:color="auto"/>
        <w:bottom w:val="none" w:sz="0" w:space="0" w:color="auto"/>
        <w:right w:val="none" w:sz="0" w:space="0" w:color="auto"/>
      </w:divBdr>
    </w:div>
    <w:div w:id="161358117">
      <w:bodyDiv w:val="1"/>
      <w:marLeft w:val="0"/>
      <w:marRight w:val="0"/>
      <w:marTop w:val="0"/>
      <w:marBottom w:val="0"/>
      <w:divBdr>
        <w:top w:val="none" w:sz="0" w:space="0" w:color="auto"/>
        <w:left w:val="none" w:sz="0" w:space="0" w:color="auto"/>
        <w:bottom w:val="none" w:sz="0" w:space="0" w:color="auto"/>
        <w:right w:val="none" w:sz="0" w:space="0" w:color="auto"/>
      </w:divBdr>
    </w:div>
    <w:div w:id="186801138">
      <w:bodyDiv w:val="1"/>
      <w:marLeft w:val="0"/>
      <w:marRight w:val="0"/>
      <w:marTop w:val="0"/>
      <w:marBottom w:val="0"/>
      <w:divBdr>
        <w:top w:val="none" w:sz="0" w:space="0" w:color="auto"/>
        <w:left w:val="none" w:sz="0" w:space="0" w:color="auto"/>
        <w:bottom w:val="none" w:sz="0" w:space="0" w:color="auto"/>
        <w:right w:val="none" w:sz="0" w:space="0" w:color="auto"/>
      </w:divBdr>
    </w:div>
    <w:div w:id="261570034">
      <w:bodyDiv w:val="1"/>
      <w:marLeft w:val="0"/>
      <w:marRight w:val="0"/>
      <w:marTop w:val="0"/>
      <w:marBottom w:val="0"/>
      <w:divBdr>
        <w:top w:val="none" w:sz="0" w:space="0" w:color="auto"/>
        <w:left w:val="none" w:sz="0" w:space="0" w:color="auto"/>
        <w:bottom w:val="none" w:sz="0" w:space="0" w:color="auto"/>
        <w:right w:val="none" w:sz="0" w:space="0" w:color="auto"/>
      </w:divBdr>
    </w:div>
    <w:div w:id="310212502">
      <w:bodyDiv w:val="1"/>
      <w:marLeft w:val="0"/>
      <w:marRight w:val="0"/>
      <w:marTop w:val="0"/>
      <w:marBottom w:val="0"/>
      <w:divBdr>
        <w:top w:val="none" w:sz="0" w:space="0" w:color="auto"/>
        <w:left w:val="none" w:sz="0" w:space="0" w:color="auto"/>
        <w:bottom w:val="none" w:sz="0" w:space="0" w:color="auto"/>
        <w:right w:val="none" w:sz="0" w:space="0" w:color="auto"/>
      </w:divBdr>
    </w:div>
    <w:div w:id="589510379">
      <w:bodyDiv w:val="1"/>
      <w:marLeft w:val="0"/>
      <w:marRight w:val="0"/>
      <w:marTop w:val="0"/>
      <w:marBottom w:val="0"/>
      <w:divBdr>
        <w:top w:val="none" w:sz="0" w:space="0" w:color="auto"/>
        <w:left w:val="none" w:sz="0" w:space="0" w:color="auto"/>
        <w:bottom w:val="none" w:sz="0" w:space="0" w:color="auto"/>
        <w:right w:val="none" w:sz="0" w:space="0" w:color="auto"/>
      </w:divBdr>
    </w:div>
    <w:div w:id="600646948">
      <w:bodyDiv w:val="1"/>
      <w:marLeft w:val="0"/>
      <w:marRight w:val="0"/>
      <w:marTop w:val="0"/>
      <w:marBottom w:val="0"/>
      <w:divBdr>
        <w:top w:val="none" w:sz="0" w:space="0" w:color="auto"/>
        <w:left w:val="none" w:sz="0" w:space="0" w:color="auto"/>
        <w:bottom w:val="none" w:sz="0" w:space="0" w:color="auto"/>
        <w:right w:val="none" w:sz="0" w:space="0" w:color="auto"/>
      </w:divBdr>
    </w:div>
    <w:div w:id="734470259">
      <w:bodyDiv w:val="1"/>
      <w:marLeft w:val="0"/>
      <w:marRight w:val="0"/>
      <w:marTop w:val="0"/>
      <w:marBottom w:val="0"/>
      <w:divBdr>
        <w:top w:val="none" w:sz="0" w:space="0" w:color="auto"/>
        <w:left w:val="none" w:sz="0" w:space="0" w:color="auto"/>
        <w:bottom w:val="none" w:sz="0" w:space="0" w:color="auto"/>
        <w:right w:val="none" w:sz="0" w:space="0" w:color="auto"/>
      </w:divBdr>
    </w:div>
    <w:div w:id="831145330">
      <w:bodyDiv w:val="1"/>
      <w:marLeft w:val="0"/>
      <w:marRight w:val="0"/>
      <w:marTop w:val="0"/>
      <w:marBottom w:val="0"/>
      <w:divBdr>
        <w:top w:val="none" w:sz="0" w:space="0" w:color="auto"/>
        <w:left w:val="none" w:sz="0" w:space="0" w:color="auto"/>
        <w:bottom w:val="none" w:sz="0" w:space="0" w:color="auto"/>
        <w:right w:val="none" w:sz="0" w:space="0" w:color="auto"/>
      </w:divBdr>
    </w:div>
    <w:div w:id="916090030">
      <w:bodyDiv w:val="1"/>
      <w:marLeft w:val="0"/>
      <w:marRight w:val="0"/>
      <w:marTop w:val="0"/>
      <w:marBottom w:val="0"/>
      <w:divBdr>
        <w:top w:val="none" w:sz="0" w:space="0" w:color="auto"/>
        <w:left w:val="none" w:sz="0" w:space="0" w:color="auto"/>
        <w:bottom w:val="none" w:sz="0" w:space="0" w:color="auto"/>
        <w:right w:val="none" w:sz="0" w:space="0" w:color="auto"/>
      </w:divBdr>
    </w:div>
    <w:div w:id="928930154">
      <w:bodyDiv w:val="1"/>
      <w:marLeft w:val="0"/>
      <w:marRight w:val="0"/>
      <w:marTop w:val="0"/>
      <w:marBottom w:val="0"/>
      <w:divBdr>
        <w:top w:val="none" w:sz="0" w:space="0" w:color="auto"/>
        <w:left w:val="none" w:sz="0" w:space="0" w:color="auto"/>
        <w:bottom w:val="none" w:sz="0" w:space="0" w:color="auto"/>
        <w:right w:val="none" w:sz="0" w:space="0" w:color="auto"/>
      </w:divBdr>
    </w:div>
    <w:div w:id="1020278258">
      <w:bodyDiv w:val="1"/>
      <w:marLeft w:val="0"/>
      <w:marRight w:val="0"/>
      <w:marTop w:val="0"/>
      <w:marBottom w:val="0"/>
      <w:divBdr>
        <w:top w:val="none" w:sz="0" w:space="0" w:color="auto"/>
        <w:left w:val="none" w:sz="0" w:space="0" w:color="auto"/>
        <w:bottom w:val="none" w:sz="0" w:space="0" w:color="auto"/>
        <w:right w:val="none" w:sz="0" w:space="0" w:color="auto"/>
      </w:divBdr>
    </w:div>
    <w:div w:id="1187871833">
      <w:bodyDiv w:val="1"/>
      <w:marLeft w:val="0"/>
      <w:marRight w:val="0"/>
      <w:marTop w:val="0"/>
      <w:marBottom w:val="0"/>
      <w:divBdr>
        <w:top w:val="none" w:sz="0" w:space="0" w:color="auto"/>
        <w:left w:val="none" w:sz="0" w:space="0" w:color="auto"/>
        <w:bottom w:val="none" w:sz="0" w:space="0" w:color="auto"/>
        <w:right w:val="none" w:sz="0" w:space="0" w:color="auto"/>
      </w:divBdr>
    </w:div>
    <w:div w:id="1344699016">
      <w:bodyDiv w:val="1"/>
      <w:marLeft w:val="0"/>
      <w:marRight w:val="0"/>
      <w:marTop w:val="0"/>
      <w:marBottom w:val="0"/>
      <w:divBdr>
        <w:top w:val="none" w:sz="0" w:space="0" w:color="auto"/>
        <w:left w:val="none" w:sz="0" w:space="0" w:color="auto"/>
        <w:bottom w:val="none" w:sz="0" w:space="0" w:color="auto"/>
        <w:right w:val="none" w:sz="0" w:space="0" w:color="auto"/>
      </w:divBdr>
    </w:div>
    <w:div w:id="1396583813">
      <w:bodyDiv w:val="1"/>
      <w:marLeft w:val="0"/>
      <w:marRight w:val="0"/>
      <w:marTop w:val="0"/>
      <w:marBottom w:val="0"/>
      <w:divBdr>
        <w:top w:val="none" w:sz="0" w:space="0" w:color="auto"/>
        <w:left w:val="none" w:sz="0" w:space="0" w:color="auto"/>
        <w:bottom w:val="none" w:sz="0" w:space="0" w:color="auto"/>
        <w:right w:val="none" w:sz="0" w:space="0" w:color="auto"/>
      </w:divBdr>
    </w:div>
    <w:div w:id="1458455255">
      <w:bodyDiv w:val="1"/>
      <w:marLeft w:val="0"/>
      <w:marRight w:val="0"/>
      <w:marTop w:val="0"/>
      <w:marBottom w:val="0"/>
      <w:divBdr>
        <w:top w:val="none" w:sz="0" w:space="0" w:color="auto"/>
        <w:left w:val="none" w:sz="0" w:space="0" w:color="auto"/>
        <w:bottom w:val="none" w:sz="0" w:space="0" w:color="auto"/>
        <w:right w:val="none" w:sz="0" w:space="0" w:color="auto"/>
      </w:divBdr>
    </w:div>
    <w:div w:id="1565946115">
      <w:bodyDiv w:val="1"/>
      <w:marLeft w:val="0"/>
      <w:marRight w:val="0"/>
      <w:marTop w:val="0"/>
      <w:marBottom w:val="0"/>
      <w:divBdr>
        <w:top w:val="none" w:sz="0" w:space="0" w:color="auto"/>
        <w:left w:val="none" w:sz="0" w:space="0" w:color="auto"/>
        <w:bottom w:val="none" w:sz="0" w:space="0" w:color="auto"/>
        <w:right w:val="none" w:sz="0" w:space="0" w:color="auto"/>
      </w:divBdr>
    </w:div>
    <w:div w:id="1589194209">
      <w:bodyDiv w:val="1"/>
      <w:marLeft w:val="0"/>
      <w:marRight w:val="0"/>
      <w:marTop w:val="0"/>
      <w:marBottom w:val="0"/>
      <w:divBdr>
        <w:top w:val="none" w:sz="0" w:space="0" w:color="auto"/>
        <w:left w:val="none" w:sz="0" w:space="0" w:color="auto"/>
        <w:bottom w:val="none" w:sz="0" w:space="0" w:color="auto"/>
        <w:right w:val="none" w:sz="0" w:space="0" w:color="auto"/>
      </w:divBdr>
    </w:div>
    <w:div w:id="1638683498">
      <w:bodyDiv w:val="1"/>
      <w:marLeft w:val="0"/>
      <w:marRight w:val="0"/>
      <w:marTop w:val="0"/>
      <w:marBottom w:val="0"/>
      <w:divBdr>
        <w:top w:val="none" w:sz="0" w:space="0" w:color="auto"/>
        <w:left w:val="none" w:sz="0" w:space="0" w:color="auto"/>
        <w:bottom w:val="none" w:sz="0" w:space="0" w:color="auto"/>
        <w:right w:val="none" w:sz="0" w:space="0" w:color="auto"/>
      </w:divBdr>
    </w:div>
    <w:div w:id="1748262371">
      <w:bodyDiv w:val="1"/>
      <w:marLeft w:val="0"/>
      <w:marRight w:val="0"/>
      <w:marTop w:val="0"/>
      <w:marBottom w:val="0"/>
      <w:divBdr>
        <w:top w:val="none" w:sz="0" w:space="0" w:color="auto"/>
        <w:left w:val="none" w:sz="0" w:space="0" w:color="auto"/>
        <w:bottom w:val="none" w:sz="0" w:space="0" w:color="auto"/>
        <w:right w:val="none" w:sz="0" w:space="0" w:color="auto"/>
      </w:divBdr>
    </w:div>
    <w:div w:id="1822695709">
      <w:bodyDiv w:val="1"/>
      <w:marLeft w:val="0"/>
      <w:marRight w:val="0"/>
      <w:marTop w:val="0"/>
      <w:marBottom w:val="0"/>
      <w:divBdr>
        <w:top w:val="none" w:sz="0" w:space="0" w:color="auto"/>
        <w:left w:val="none" w:sz="0" w:space="0" w:color="auto"/>
        <w:bottom w:val="none" w:sz="0" w:space="0" w:color="auto"/>
        <w:right w:val="none" w:sz="0" w:space="0" w:color="auto"/>
      </w:divBdr>
    </w:div>
    <w:div w:id="1862235215">
      <w:bodyDiv w:val="1"/>
      <w:marLeft w:val="0"/>
      <w:marRight w:val="0"/>
      <w:marTop w:val="0"/>
      <w:marBottom w:val="0"/>
      <w:divBdr>
        <w:top w:val="none" w:sz="0" w:space="0" w:color="auto"/>
        <w:left w:val="none" w:sz="0" w:space="0" w:color="auto"/>
        <w:bottom w:val="none" w:sz="0" w:space="0" w:color="auto"/>
        <w:right w:val="none" w:sz="0" w:space="0" w:color="auto"/>
      </w:divBdr>
    </w:div>
    <w:div w:id="1912034687">
      <w:bodyDiv w:val="1"/>
      <w:marLeft w:val="0"/>
      <w:marRight w:val="0"/>
      <w:marTop w:val="0"/>
      <w:marBottom w:val="0"/>
      <w:divBdr>
        <w:top w:val="none" w:sz="0" w:space="0" w:color="auto"/>
        <w:left w:val="none" w:sz="0" w:space="0" w:color="auto"/>
        <w:bottom w:val="none" w:sz="0" w:space="0" w:color="auto"/>
        <w:right w:val="none" w:sz="0" w:space="0" w:color="auto"/>
      </w:divBdr>
    </w:div>
    <w:div w:id="1945070960">
      <w:bodyDiv w:val="1"/>
      <w:marLeft w:val="0"/>
      <w:marRight w:val="0"/>
      <w:marTop w:val="0"/>
      <w:marBottom w:val="0"/>
      <w:divBdr>
        <w:top w:val="none" w:sz="0" w:space="0" w:color="auto"/>
        <w:left w:val="none" w:sz="0" w:space="0" w:color="auto"/>
        <w:bottom w:val="none" w:sz="0" w:space="0" w:color="auto"/>
        <w:right w:val="none" w:sz="0" w:space="0" w:color="auto"/>
      </w:divBdr>
    </w:div>
    <w:div w:id="19715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accesscanberra.act.gov.au/s/feedback-and-complaints" TargetMode="External"/><Relationship Id="rId26" Type="http://schemas.openxmlformats.org/officeDocument/2006/relationships/hyperlink" Target="http://www.acat.act.gov.au" TargetMode="External"/><Relationship Id="rId21" Type="http://schemas.openxmlformats.org/officeDocument/2006/relationships/hyperlink" Target="https://www.legislation.act.gov.au/ni/2021-381/" TargetMode="External"/><Relationship Id="rId34" Type="http://schemas.openxmlformats.org/officeDocument/2006/relationships/hyperlink" Target="mailto:info@integrity.act.gov.au"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hyperlink" Target="file:///G:\CSEP\Communications\CMTEDD%20internal%20communication\Websites\01_2023\CMTEDD\03_Mar\CMTEDD%20Complaints%20handling%20policy.DOCX" TargetMode="External"/><Relationship Id="rId25" Type="http://schemas.openxmlformats.org/officeDocument/2006/relationships/hyperlink" Target="https://www.cmtedd.act.gov.au/legal/privacy" TargetMode="External"/><Relationship Id="rId33" Type="http://schemas.openxmlformats.org/officeDocument/2006/relationships/hyperlink" Target="mailto:complaints@integrity.act.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MTEDDPeopleandCapability@act.gov.au" TargetMode="External"/><Relationship Id="rId29" Type="http://schemas.openxmlformats.org/officeDocument/2006/relationships/hyperlink" Target="http://www.fw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MTEDDComplaints@act.gov.au" TargetMode="External"/><Relationship Id="rId32" Type="http://schemas.openxmlformats.org/officeDocument/2006/relationships/hyperlink" Target="http://www.oaic.gov.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MTEDDComplaints@act.gov.au" TargetMode="External"/><Relationship Id="rId28" Type="http://schemas.openxmlformats.org/officeDocument/2006/relationships/hyperlink" Target="http://www.ombudsman.act.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venue.act.gov.au/contact-us" TargetMode="External"/><Relationship Id="rId31" Type="http://schemas.openxmlformats.org/officeDocument/2006/relationships/hyperlink" Target="http://www.humanright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ctgovernment.sharepoint.com/:w:/r/sites/Intranet-CMTEDD/_layouts/15/Doc.aspx?sourcedoc=%7B950554D4-6BF0-40AB-86CE-CA6EB0D4C471%7D&amp;file=CMTEDD%20Public%20Interest%20Disclosure%20Factsheet.DOCX&amp;action=default&amp;mobileredirect=true&amp;DefaultItemOpen=1" TargetMode="External"/><Relationship Id="rId27" Type="http://schemas.openxmlformats.org/officeDocument/2006/relationships/hyperlink" Target="http://www.hrc.act.gov.au" TargetMode="External"/><Relationship Id="rId30" Type="http://schemas.openxmlformats.org/officeDocument/2006/relationships/hyperlink" Target="http://www.fairwork.gov.au/about-us/our-role/pages/default.aspx" TargetMode="External"/><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9" ma:contentTypeDescription="Create a new document." ma:contentTypeScope="" ma:versionID="aec6f21c815671188cde2abac0075900">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321f9ca8876a6050411e27632b4ddb2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2.xml><?xml version="1.0" encoding="utf-8"?>
<ds:datastoreItem xmlns:ds="http://schemas.openxmlformats.org/officeDocument/2006/customXml" ds:itemID="{7984DB80-A521-429B-8B43-37D8A844619C}">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4d47241e-7224-40da-83d9-1113ff4a4334"/>
    <ds:schemaRef ds:uri="f6c841be-bb08-4901-87b0-0033aa80d2c6"/>
    <ds:schemaRef ds:uri="http://schemas.microsoft.com/office/2006/metadata/properties"/>
  </ds:schemaRefs>
</ds:datastoreItem>
</file>

<file path=customXml/itemProps3.xml><?xml version="1.0" encoding="utf-8"?>
<ds:datastoreItem xmlns:ds="http://schemas.openxmlformats.org/officeDocument/2006/customXml" ds:itemID="{B08D71D4-E4DA-409D-98DE-F2C5F857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Alan</dc:creator>
  <cp:lastModifiedBy>Liu, Xusheng</cp:lastModifiedBy>
  <cp:revision>7</cp:revision>
  <cp:lastPrinted>2019-06-13T01:11:00Z</cp:lastPrinted>
  <dcterms:created xsi:type="dcterms:W3CDTF">2023-03-20T23:37:00Z</dcterms:created>
  <dcterms:modified xsi:type="dcterms:W3CDTF">2023-03-21T23:51:00Z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