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8BB4" w14:textId="3BBA4FEC" w:rsidR="00A23C4E" w:rsidRPr="005F4189" w:rsidRDefault="003549CF" w:rsidP="00785A0C">
      <w:pPr>
        <w:pStyle w:val="Title"/>
      </w:pPr>
      <w:r>
        <w:t>Personal Leave Guidelines.</w:t>
      </w:r>
    </w:p>
    <w:p w14:paraId="2C4DC43D" w14:textId="26668879" w:rsidR="00B863D6" w:rsidRPr="00D40506" w:rsidRDefault="00827AF0" w:rsidP="00B863D6">
      <w:pPr>
        <w:rPr>
          <w:sz w:val="24"/>
          <w:szCs w:val="24"/>
          <w:lang w:val="en-GB" w:eastAsia="en-AU"/>
        </w:rPr>
      </w:pPr>
      <w:r w:rsidRPr="00D40506">
        <w:rPr>
          <w:sz w:val="24"/>
          <w:szCs w:val="24"/>
          <w:lang w:val="en-GB" w:eastAsia="en-AU"/>
        </w:rPr>
        <w:t>Including Personal Leave in Special, Extraordinary and Unforeseen Circumstances.</w:t>
      </w:r>
    </w:p>
    <w:p w14:paraId="0237950E" w14:textId="77777777" w:rsidR="00B84320" w:rsidRDefault="00B84320" w:rsidP="00B84320">
      <w:pPr>
        <w:rPr>
          <w:lang w:val="en-GB" w:eastAsia="en-AU"/>
        </w:rPr>
      </w:pPr>
    </w:p>
    <w:p w14:paraId="104AA333" w14:textId="77777777" w:rsidR="00B84320" w:rsidRPr="00B863D6" w:rsidRDefault="00B84320" w:rsidP="00B863D6"/>
    <w:p w14:paraId="7C461EEF" w14:textId="77777777" w:rsidR="00B84320" w:rsidRDefault="00B84320" w:rsidP="00B84320">
      <w:pPr>
        <w:rPr>
          <w:lang w:val="en-GB" w:eastAsia="en-AU"/>
        </w:rPr>
      </w:pPr>
    </w:p>
    <w:p w14:paraId="7051A3C3" w14:textId="77777777" w:rsidR="00B84320" w:rsidRDefault="00B84320" w:rsidP="00B84320">
      <w:pPr>
        <w:rPr>
          <w:lang w:val="en-GB" w:eastAsia="en-AU"/>
        </w:rPr>
      </w:pPr>
    </w:p>
    <w:p w14:paraId="4C713407" w14:textId="77777777" w:rsidR="00B84320" w:rsidRDefault="00B84320" w:rsidP="00B84320">
      <w:pPr>
        <w:rPr>
          <w:lang w:val="en-GB" w:eastAsia="en-AU"/>
        </w:rPr>
      </w:pPr>
    </w:p>
    <w:p w14:paraId="5835F8E8" w14:textId="77777777" w:rsidR="009D6BF6" w:rsidRDefault="009D6BF6" w:rsidP="00B84320">
      <w:pPr>
        <w:rPr>
          <w:lang w:val="en-GB" w:eastAsia="en-AU"/>
        </w:rPr>
      </w:pPr>
    </w:p>
    <w:p w14:paraId="3015ABC1" w14:textId="77777777" w:rsidR="009D6BF6" w:rsidRDefault="009D6BF6" w:rsidP="00B84320">
      <w:pPr>
        <w:rPr>
          <w:lang w:val="en-GB" w:eastAsia="en-AU"/>
        </w:rPr>
      </w:pPr>
    </w:p>
    <w:p w14:paraId="7E324099" w14:textId="77777777" w:rsidR="009D6BF6" w:rsidRDefault="009D6BF6" w:rsidP="00B84320">
      <w:pPr>
        <w:rPr>
          <w:lang w:val="en-GB" w:eastAsia="en-AU"/>
        </w:rPr>
      </w:pPr>
    </w:p>
    <w:p w14:paraId="59ADA47D" w14:textId="77777777" w:rsidR="009D6BF6" w:rsidRDefault="009D6BF6" w:rsidP="00B84320">
      <w:pPr>
        <w:rPr>
          <w:lang w:val="en-GB" w:eastAsia="en-AU"/>
        </w:rPr>
      </w:pPr>
    </w:p>
    <w:p w14:paraId="1E565F92" w14:textId="77777777" w:rsidR="009D6BF6" w:rsidRDefault="009D6BF6" w:rsidP="00B84320">
      <w:pPr>
        <w:rPr>
          <w:lang w:val="en-GB" w:eastAsia="en-AU"/>
        </w:rPr>
      </w:pPr>
    </w:p>
    <w:p w14:paraId="629D8E44" w14:textId="77777777" w:rsidR="00B84320" w:rsidRDefault="00B84320" w:rsidP="00B84320">
      <w:pPr>
        <w:rPr>
          <w:lang w:val="en-GB" w:eastAsia="en-AU"/>
        </w:rPr>
      </w:pPr>
    </w:p>
    <w:p w14:paraId="7E099AFB" w14:textId="0A45709B" w:rsidR="00B84320" w:rsidRDefault="00B84320" w:rsidP="00B84320">
      <w:pPr>
        <w:rPr>
          <w:lang w:val="en-GB" w:eastAsia="en-AU"/>
        </w:rPr>
      </w:pPr>
    </w:p>
    <w:p w14:paraId="70A9EA7D" w14:textId="470A617A" w:rsidR="00B84320" w:rsidRDefault="00B84320" w:rsidP="00B84320">
      <w:pPr>
        <w:rPr>
          <w:lang w:val="en-GB" w:eastAsia="en-AU"/>
        </w:rPr>
      </w:pPr>
    </w:p>
    <w:p w14:paraId="251A53FB" w14:textId="76E58661" w:rsidR="00B84320" w:rsidRPr="00B84320" w:rsidRDefault="00B84320" w:rsidP="00B84320">
      <w:pPr>
        <w:rPr>
          <w:lang w:val="en-GB" w:eastAsia="en-AU"/>
        </w:rPr>
        <w:sectPr w:rsidR="00B84320" w:rsidRPr="00B84320" w:rsidSect="00EC795B">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0DD4CFF4" w14:textId="24FD9073" w:rsidR="00D31DBA" w:rsidRPr="00D31DBA" w:rsidRDefault="00322377" w:rsidP="00BA666E">
      <w:r>
        <w:rPr>
          <w:noProof/>
          <w:lang w:val="en-GB" w:eastAsia="en-AU"/>
          <w14:ligatures w14:val="standardContextual"/>
        </w:rPr>
        <w:drawing>
          <wp:anchor distT="0" distB="0" distL="114300" distR="114300" simplePos="0" relativeHeight="251658241" behindDoc="0" locked="0" layoutInCell="1" allowOverlap="1" wp14:anchorId="6BA07B52" wp14:editId="0EF89D1A">
            <wp:simplePos x="0" y="0"/>
            <wp:positionH relativeFrom="column">
              <wp:posOffset>0</wp:posOffset>
            </wp:positionH>
            <wp:positionV relativeFrom="page">
              <wp:posOffset>8851747</wp:posOffset>
            </wp:positionV>
            <wp:extent cx="1574800" cy="801370"/>
            <wp:effectExtent l="0" t="0" r="0" b="0"/>
            <wp:wrapNone/>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r w:rsidR="00D31DBA">
        <w:rPr>
          <w:lang w:val="en-GB" w:eastAsia="en-AU"/>
        </w:rPr>
        <w:br w:type="page"/>
      </w:r>
    </w:p>
    <w:tbl>
      <w:tblPr>
        <w:tblStyle w:val="Breakoutbox"/>
        <w:tblW w:w="0" w:type="auto"/>
        <w:tblLook w:val="04A0" w:firstRow="1" w:lastRow="0" w:firstColumn="1" w:lastColumn="0" w:noHBand="0" w:noVBand="1"/>
      </w:tblPr>
      <w:tblGrid>
        <w:gridCol w:w="4149"/>
      </w:tblGrid>
      <w:tr w:rsidR="001E7A46" w14:paraId="69DB2BE5" w14:textId="77777777" w:rsidTr="0085272F">
        <w:tc>
          <w:tcPr>
            <w:tcW w:w="4149" w:type="dxa"/>
          </w:tcPr>
          <w:p w14:paraId="5E434817" w14:textId="6E64FA8A" w:rsidR="001E7A46" w:rsidRPr="001E7A46" w:rsidRDefault="001E7A46" w:rsidP="00607FEE">
            <w:pPr>
              <w:pStyle w:val="Heading3"/>
            </w:pPr>
            <w:bookmarkStart w:id="0" w:name="_Toc214401080"/>
            <w:r w:rsidRPr="001E7A46">
              <w:lastRenderedPageBreak/>
              <w:t>Acknowledgement of</w:t>
            </w:r>
            <w:r w:rsidR="00A720D7">
              <w:t> </w:t>
            </w:r>
            <w:r w:rsidRPr="001E7A46">
              <w:t>Country</w:t>
            </w:r>
            <w:bookmarkEnd w:id="0"/>
          </w:p>
          <w:p w14:paraId="56317671" w14:textId="659A6658" w:rsidR="001E7A46" w:rsidRPr="00472915" w:rsidRDefault="001E7A46" w:rsidP="00BA666E">
            <w:pPr>
              <w:rPr>
                <w:rFonts w:eastAsiaTheme="majorEastAsia"/>
                <w:lang w:val="en-GB" w:eastAsia="en-AU"/>
              </w:rPr>
            </w:pPr>
            <w:r w:rsidRPr="00472915">
              <w:rPr>
                <w:rFonts w:eastAsiaTheme="majorEastAsia"/>
                <w:lang w:val="en-GB" w:eastAsia="en-AU"/>
              </w:rPr>
              <w:t xml:space="preserve">The </w:t>
            </w:r>
            <w:r w:rsidR="005F4189">
              <w:rPr>
                <w:rFonts w:eastAsiaTheme="majorEastAsia"/>
                <w:lang w:val="en-GB" w:eastAsia="en-AU"/>
              </w:rPr>
              <w:t>Chief Minister, Treasury and Economic Development</w:t>
            </w:r>
            <w:r w:rsidRPr="00472915">
              <w:rPr>
                <w:rFonts w:eastAsiaTheme="majorEastAsia"/>
                <w:lang w:val="en-GB" w:eastAsia="en-AU"/>
              </w:rPr>
              <w:t xml:space="preserve"> Directorate acknowledges the Ngunnawal people as traditional custodians of the ACT and recognise any other people or families with connection to the lands of the ACT and region.</w:t>
            </w:r>
          </w:p>
          <w:p w14:paraId="4C295CD5" w14:textId="00E30AB4" w:rsidR="001E7A46" w:rsidRPr="001E7A46" w:rsidRDefault="001E7A46" w:rsidP="00BA666E">
            <w:pPr>
              <w:rPr>
                <w:rFonts w:eastAsiaTheme="majorEastAsia"/>
                <w:lang w:val="en-GB" w:eastAsia="en-AU"/>
              </w:rPr>
            </w:pPr>
            <w:r w:rsidRPr="00472915">
              <w:rPr>
                <w:rFonts w:eastAsiaTheme="majorEastAsia"/>
                <w:lang w:val="en-GB" w:eastAsia="en-AU"/>
              </w:rPr>
              <w:t>We respect the Aboriginal and Torres Strait Islander people, particularly our Aboriginal and Torres Strait Islander staff, and their continuing culture and contribution they make to the Canberra region and the life of our</w:t>
            </w:r>
            <w:r w:rsidR="0085272F">
              <w:rPr>
                <w:rFonts w:eastAsiaTheme="majorEastAsia"/>
                <w:lang w:val="en-GB" w:eastAsia="en-AU"/>
              </w:rPr>
              <w:t> </w:t>
            </w:r>
            <w:r w:rsidRPr="00472915">
              <w:rPr>
                <w:rFonts w:eastAsiaTheme="majorEastAsia"/>
                <w:lang w:val="en-GB" w:eastAsia="en-AU"/>
              </w:rPr>
              <w:t xml:space="preserve">city. </w:t>
            </w:r>
          </w:p>
        </w:tc>
      </w:tr>
    </w:tbl>
    <w:p w14:paraId="1A77F94E" w14:textId="77777777" w:rsidR="00A720D7" w:rsidRDefault="00A720D7" w:rsidP="00BA666E"/>
    <w:p w14:paraId="32C6DB0D" w14:textId="17CDD693" w:rsidR="001D1A8A" w:rsidRDefault="001D1A8A" w:rsidP="00BA666E">
      <w:r>
        <w:t xml:space="preserve">© Australian Capital Territory, Canberra </w:t>
      </w:r>
      <w:r w:rsidR="005F4189">
        <w:t>2025</w:t>
      </w:r>
    </w:p>
    <w:p w14:paraId="30720FAD" w14:textId="42D2580E" w:rsidR="00A720D7" w:rsidRDefault="001D1A8A" w:rsidP="00BA666E">
      <w:r>
        <w:t>Material in this publication may be reproduced provided due acknowledgement is made.</w:t>
      </w:r>
    </w:p>
    <w:p w14:paraId="24315CF5" w14:textId="57C6D957" w:rsidR="001D1A8A" w:rsidRDefault="001D1A8A" w:rsidP="00BA666E">
      <w:r>
        <w:t xml:space="preserve">Produced by the </w:t>
      </w:r>
      <w:r w:rsidR="005F4189">
        <w:t>Chief Minister, Treasury and Economic Development Directorate.</w:t>
      </w:r>
      <w:r>
        <w:t xml:space="preserve"> Enquiries about this publication should be directed to the </w:t>
      </w:r>
      <w:r w:rsidR="005F4189">
        <w:t>Office of Industrial Relations and Workforce Strategy, Chief Minister, Treasury and Economic Development Directorate.</w:t>
      </w:r>
    </w:p>
    <w:p w14:paraId="30589199" w14:textId="59043A42" w:rsidR="001E7A46" w:rsidRDefault="001D1A8A" w:rsidP="00BA666E">
      <w:r>
        <w:t>GPO Box 158, Canberra City 2601</w:t>
      </w:r>
      <w:r>
        <w:br/>
      </w:r>
      <w:r w:rsidRPr="001D1A8A">
        <w:rPr>
          <w:b/>
        </w:rPr>
        <w:t>act.gov.au</w:t>
      </w:r>
      <w:r>
        <w:rPr>
          <w:b/>
        </w:rPr>
        <w:br/>
      </w:r>
      <w:r>
        <w:t>Telephone: Access Canberra – 13</w:t>
      </w:r>
      <w:r w:rsidR="00A720D7">
        <w:t> </w:t>
      </w:r>
      <w:r>
        <w:t>22</w:t>
      </w:r>
      <w:r w:rsidR="00A720D7">
        <w:t> </w:t>
      </w:r>
      <w:r>
        <w:t>81</w:t>
      </w:r>
    </w:p>
    <w:p w14:paraId="0BDE566D" w14:textId="1AE1F8CC" w:rsidR="00B000A2" w:rsidRPr="00472915" w:rsidRDefault="00B000A2" w:rsidP="00BA666E">
      <w:pPr>
        <w:rPr>
          <w:rFonts w:eastAsiaTheme="majorEastAsia"/>
          <w:lang w:val="en-GB" w:eastAsia="en-AU"/>
        </w:rPr>
      </w:pPr>
      <w:r w:rsidRPr="00472915">
        <w:rPr>
          <w:rFonts w:eastAsiaTheme="majorEastAsia"/>
          <w:lang w:val="en-GB" w:eastAsia="en-AU"/>
        </w:rPr>
        <w:t>If you are deaf, or have a hearing or speech impairment, and need the telephone typewriter (TTY) service, please phone 13</w:t>
      </w:r>
      <w:r w:rsidR="00A720D7">
        <w:rPr>
          <w:rFonts w:eastAsiaTheme="majorEastAsia"/>
          <w:lang w:val="en-GB" w:eastAsia="en-AU"/>
        </w:rPr>
        <w:t> </w:t>
      </w:r>
      <w:r w:rsidRPr="00472915">
        <w:rPr>
          <w:rFonts w:eastAsiaTheme="majorEastAsia"/>
          <w:lang w:val="en-GB" w:eastAsia="en-AU"/>
        </w:rPr>
        <w:t>36</w:t>
      </w:r>
      <w:r w:rsidR="00A720D7">
        <w:rPr>
          <w:rFonts w:eastAsiaTheme="majorEastAsia"/>
          <w:lang w:val="en-GB" w:eastAsia="en-AU"/>
        </w:rPr>
        <w:t> </w:t>
      </w:r>
      <w:r w:rsidRPr="00472915">
        <w:rPr>
          <w:rFonts w:eastAsiaTheme="majorEastAsia"/>
          <w:lang w:val="en-GB" w:eastAsia="en-AU"/>
        </w:rPr>
        <w:t>77 and ask for 13</w:t>
      </w:r>
      <w:r w:rsidR="00163361">
        <w:rPr>
          <w:rFonts w:eastAsiaTheme="majorEastAsia"/>
          <w:lang w:val="en-GB" w:eastAsia="en-AU"/>
        </w:rPr>
        <w:t> </w:t>
      </w:r>
      <w:r w:rsidRPr="00472915">
        <w:rPr>
          <w:rFonts w:eastAsiaTheme="majorEastAsia"/>
          <w:lang w:val="en-GB" w:eastAsia="en-AU"/>
        </w:rPr>
        <w:t>22</w:t>
      </w:r>
      <w:r w:rsidR="00163361">
        <w:rPr>
          <w:rFonts w:eastAsiaTheme="majorEastAsia"/>
          <w:lang w:val="en-GB" w:eastAsia="en-AU"/>
        </w:rPr>
        <w:t> </w:t>
      </w:r>
      <w:r w:rsidRPr="00472915">
        <w:rPr>
          <w:rFonts w:eastAsiaTheme="majorEastAsia"/>
          <w:lang w:val="en-GB" w:eastAsia="en-AU"/>
        </w:rPr>
        <w:t>81.</w:t>
      </w:r>
    </w:p>
    <w:p w14:paraId="6BA651B6" w14:textId="1468B2C8" w:rsidR="00B000A2" w:rsidRPr="00472915" w:rsidRDefault="00B000A2" w:rsidP="00BA666E">
      <w:pPr>
        <w:rPr>
          <w:rFonts w:eastAsiaTheme="majorEastAsia"/>
          <w:lang w:val="en-GB" w:eastAsia="en-AU"/>
        </w:rPr>
      </w:pPr>
      <w:r w:rsidRPr="00472915">
        <w:rPr>
          <w:rFonts w:eastAsiaTheme="majorEastAsia"/>
          <w:lang w:val="en-GB" w:eastAsia="en-AU"/>
        </w:rPr>
        <w:t>For speak and listen users, please phone 1300</w:t>
      </w:r>
      <w:r w:rsidR="00A720D7">
        <w:rPr>
          <w:rFonts w:eastAsiaTheme="majorEastAsia"/>
          <w:lang w:val="en-GB" w:eastAsia="en-AU"/>
        </w:rPr>
        <w:t> </w:t>
      </w:r>
      <w:r w:rsidRPr="00472915">
        <w:rPr>
          <w:rFonts w:eastAsiaTheme="majorEastAsia"/>
          <w:lang w:val="en-GB" w:eastAsia="en-AU"/>
        </w:rPr>
        <w:t>555</w:t>
      </w:r>
      <w:r w:rsidR="00A720D7">
        <w:rPr>
          <w:rFonts w:eastAsiaTheme="majorEastAsia"/>
          <w:lang w:val="en-GB" w:eastAsia="en-AU"/>
        </w:rPr>
        <w:t> </w:t>
      </w:r>
      <w:r w:rsidRPr="00472915">
        <w:rPr>
          <w:rFonts w:eastAsiaTheme="majorEastAsia"/>
          <w:lang w:val="en-GB" w:eastAsia="en-AU"/>
        </w:rPr>
        <w:t>727.</w:t>
      </w:r>
    </w:p>
    <w:p w14:paraId="6699A335" w14:textId="772C6165" w:rsidR="00B000A2" w:rsidRPr="00472915" w:rsidRDefault="00B000A2" w:rsidP="00BA666E">
      <w:pPr>
        <w:rPr>
          <w:rFonts w:eastAsiaTheme="majorEastAsia"/>
          <w:lang w:val="en-GB" w:eastAsia="en-AU"/>
        </w:rPr>
      </w:pPr>
      <w:r w:rsidRPr="00472915">
        <w:rPr>
          <w:rFonts w:eastAsiaTheme="majorEastAsia"/>
          <w:lang w:val="en-GB" w:eastAsia="en-AU"/>
        </w:rPr>
        <w:t xml:space="preserve">For more information on these services, contact us through the National Relay Service: </w:t>
      </w:r>
      <w:hyperlink r:id="rId16" w:history="1">
        <w:r w:rsidR="001169FA" w:rsidRPr="00310D0D">
          <w:rPr>
            <w:rStyle w:val="Hyperlink"/>
            <w:rFonts w:eastAsiaTheme="majorEastAsia" w:cs="Calibri"/>
            <w:bCs w:val="0"/>
            <w:iCs w:val="0"/>
            <w:lang w:val="en-GB" w:eastAsia="en-AU"/>
          </w:rPr>
          <w:t>www.accesshub.gov.au</w:t>
        </w:r>
      </w:hyperlink>
      <w:r w:rsidRPr="00472915">
        <w:rPr>
          <w:rFonts w:eastAsiaTheme="majorEastAsia"/>
          <w:lang w:val="en-GB" w:eastAsia="en-AU"/>
        </w:rPr>
        <w:t>.</w:t>
      </w:r>
    </w:p>
    <w:p w14:paraId="2F171E44" w14:textId="3B024BF1" w:rsidR="00B000A2" w:rsidRPr="00472915" w:rsidRDefault="00B000A2" w:rsidP="00BA666E">
      <w:pPr>
        <w:rPr>
          <w:rFonts w:eastAsiaTheme="majorEastAsia"/>
          <w:lang w:val="en-GB" w:eastAsia="en-AU"/>
        </w:rPr>
      </w:pPr>
      <w:r w:rsidRPr="00472915">
        <w:rPr>
          <w:rFonts w:eastAsiaTheme="majorEastAsia"/>
          <w:lang w:val="en-GB" w:eastAsia="en-AU"/>
        </w:rPr>
        <w:t>If English is not your first language and you require a translating and interpreting service, please telephone Access Canberra on 13</w:t>
      </w:r>
      <w:r w:rsidR="00A720D7">
        <w:rPr>
          <w:rFonts w:eastAsiaTheme="majorEastAsia"/>
          <w:lang w:val="en-GB" w:eastAsia="en-AU"/>
        </w:rPr>
        <w:t> </w:t>
      </w:r>
      <w:r w:rsidRPr="00472915">
        <w:rPr>
          <w:rFonts w:eastAsiaTheme="majorEastAsia"/>
          <w:lang w:val="en-GB" w:eastAsia="en-AU"/>
        </w:rPr>
        <w:t>22</w:t>
      </w:r>
      <w:r w:rsidR="00A720D7">
        <w:rPr>
          <w:rFonts w:eastAsiaTheme="majorEastAsia"/>
          <w:lang w:val="en-GB" w:eastAsia="en-AU"/>
        </w:rPr>
        <w:t> </w:t>
      </w:r>
      <w:r w:rsidRPr="00472915">
        <w:rPr>
          <w:rFonts w:eastAsiaTheme="majorEastAsia"/>
          <w:lang w:val="en-GB" w:eastAsia="en-AU"/>
        </w:rPr>
        <w:t>81.</w:t>
      </w:r>
    </w:p>
    <w:p w14:paraId="226EA44C" w14:textId="0D766253" w:rsidR="00A720D7" w:rsidRDefault="00906D82" w:rsidP="00906D82">
      <w:r>
        <w:rPr>
          <w:rFonts w:eastAsiaTheme="majorEastAsia"/>
          <w:lang w:val="en-GB" w:eastAsia="en-AU"/>
        </w:rPr>
        <w:br w:type="column"/>
      </w:r>
    </w:p>
    <w:p w14:paraId="4A274155" w14:textId="77777777" w:rsidR="00A720D7" w:rsidRPr="00A720D7" w:rsidRDefault="00A720D7" w:rsidP="00906D82">
      <w:pPr>
        <w:sectPr w:rsidR="00A720D7" w:rsidRPr="00A720D7" w:rsidSect="00EC795B">
          <w:footerReference w:type="default" r:id="rId17"/>
          <w:type w:val="continuous"/>
          <w:pgSz w:w="11906" w:h="16838"/>
          <w:pgMar w:top="1440" w:right="1440" w:bottom="1440" w:left="1440" w:header="708" w:footer="708" w:gutter="0"/>
          <w:cols w:num="2" w:space="708"/>
          <w:titlePg/>
          <w:docGrid w:linePitch="360"/>
        </w:sectPr>
      </w:pPr>
    </w:p>
    <w:p w14:paraId="132FE0BD" w14:textId="77777777" w:rsidR="00F72E5A" w:rsidRDefault="00FD38BD" w:rsidP="00E57ACC">
      <w:pPr>
        <w:pStyle w:val="Heading1"/>
        <w:rPr>
          <w:noProof/>
        </w:rPr>
      </w:pPr>
      <w:bookmarkStart w:id="1" w:name="_Toc214401081"/>
      <w:r w:rsidRPr="001C1BF2">
        <w:lastRenderedPageBreak/>
        <w:t>Contents</w:t>
      </w:r>
      <w:bookmarkEnd w:id="1"/>
      <w:r>
        <w:rPr>
          <w:rFonts w:eastAsia="Calibri"/>
          <w:b/>
        </w:rPr>
        <w:fldChar w:fldCharType="begin"/>
      </w:r>
      <w:r>
        <w:instrText xml:space="preserve"> TOC \o "1-3" \h \z </w:instrText>
      </w:r>
      <w:r>
        <w:rPr>
          <w:rFonts w:eastAsia="Calibri"/>
          <w:b/>
        </w:rPr>
        <w:fldChar w:fldCharType="separate"/>
      </w:r>
    </w:p>
    <w:p w14:paraId="2ECD5F3E" w14:textId="52F0A6FA" w:rsidR="00F72E5A" w:rsidRDefault="00F72E5A">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401080" w:history="1">
        <w:r w:rsidRPr="00A91390">
          <w:rPr>
            <w:rStyle w:val="Hyperlink"/>
          </w:rPr>
          <w:t>Acknowledgement of Country</w:t>
        </w:r>
        <w:r>
          <w:rPr>
            <w:webHidden/>
          </w:rPr>
          <w:tab/>
        </w:r>
        <w:r>
          <w:rPr>
            <w:webHidden/>
          </w:rPr>
          <w:fldChar w:fldCharType="begin"/>
        </w:r>
        <w:r>
          <w:rPr>
            <w:webHidden/>
          </w:rPr>
          <w:instrText xml:space="preserve"> PAGEREF _Toc214401080 \h </w:instrText>
        </w:r>
        <w:r>
          <w:rPr>
            <w:webHidden/>
          </w:rPr>
        </w:r>
        <w:r>
          <w:rPr>
            <w:webHidden/>
          </w:rPr>
          <w:fldChar w:fldCharType="separate"/>
        </w:r>
        <w:r w:rsidR="00FB5DB3">
          <w:rPr>
            <w:webHidden/>
          </w:rPr>
          <w:t>2</w:t>
        </w:r>
        <w:r>
          <w:rPr>
            <w:webHidden/>
          </w:rPr>
          <w:fldChar w:fldCharType="end"/>
        </w:r>
      </w:hyperlink>
    </w:p>
    <w:p w14:paraId="17CBAA4A" w14:textId="26A511C8" w:rsidR="00F72E5A" w:rsidRDefault="00F72E5A">
      <w:pPr>
        <w:pStyle w:val="TOC1"/>
        <w:rPr>
          <w:rFonts w:asciiTheme="minorHAnsi" w:eastAsiaTheme="minorEastAsia" w:hAnsiTheme="minorHAnsi" w:cstheme="minorBidi"/>
          <w:b w:val="0"/>
          <w:iCs w:val="0"/>
          <w:color w:val="auto"/>
          <w:kern w:val="2"/>
          <w:sz w:val="24"/>
          <w:szCs w:val="24"/>
          <w:lang w:eastAsia="en-AU"/>
          <w14:ligatures w14:val="standardContextual"/>
        </w:rPr>
      </w:pPr>
      <w:hyperlink w:anchor="_Toc214401081" w:history="1">
        <w:r w:rsidRPr="00A91390">
          <w:rPr>
            <w:rStyle w:val="Hyperlink"/>
          </w:rPr>
          <w:t>Contents</w:t>
        </w:r>
        <w:r>
          <w:rPr>
            <w:webHidden/>
          </w:rPr>
          <w:tab/>
        </w:r>
        <w:r>
          <w:rPr>
            <w:webHidden/>
          </w:rPr>
          <w:fldChar w:fldCharType="begin"/>
        </w:r>
        <w:r>
          <w:rPr>
            <w:webHidden/>
          </w:rPr>
          <w:instrText xml:space="preserve"> PAGEREF _Toc214401081 \h </w:instrText>
        </w:r>
        <w:r>
          <w:rPr>
            <w:webHidden/>
          </w:rPr>
        </w:r>
        <w:r>
          <w:rPr>
            <w:webHidden/>
          </w:rPr>
          <w:fldChar w:fldCharType="separate"/>
        </w:r>
        <w:r w:rsidR="00FB5DB3">
          <w:rPr>
            <w:webHidden/>
          </w:rPr>
          <w:t>3</w:t>
        </w:r>
        <w:r>
          <w:rPr>
            <w:webHidden/>
          </w:rPr>
          <w:fldChar w:fldCharType="end"/>
        </w:r>
      </w:hyperlink>
    </w:p>
    <w:p w14:paraId="7B508769" w14:textId="3701D3D4"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82" w:history="1">
        <w:r w:rsidRPr="00A91390">
          <w:rPr>
            <w:rStyle w:val="Hyperlink"/>
          </w:rPr>
          <w:t>Introduction</w:t>
        </w:r>
        <w:r>
          <w:rPr>
            <w:webHidden/>
          </w:rPr>
          <w:tab/>
        </w:r>
        <w:r>
          <w:rPr>
            <w:webHidden/>
          </w:rPr>
          <w:fldChar w:fldCharType="begin"/>
        </w:r>
        <w:r>
          <w:rPr>
            <w:webHidden/>
          </w:rPr>
          <w:instrText xml:space="preserve"> PAGEREF _Toc214401082 \h </w:instrText>
        </w:r>
        <w:r>
          <w:rPr>
            <w:webHidden/>
          </w:rPr>
        </w:r>
        <w:r>
          <w:rPr>
            <w:webHidden/>
          </w:rPr>
          <w:fldChar w:fldCharType="separate"/>
        </w:r>
        <w:r w:rsidR="00FB5DB3">
          <w:rPr>
            <w:webHidden/>
          </w:rPr>
          <w:t>4</w:t>
        </w:r>
        <w:r>
          <w:rPr>
            <w:webHidden/>
          </w:rPr>
          <w:fldChar w:fldCharType="end"/>
        </w:r>
      </w:hyperlink>
    </w:p>
    <w:p w14:paraId="5B67BFA1" w14:textId="10ADACFE"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83" w:history="1">
        <w:r w:rsidRPr="00A91390">
          <w:rPr>
            <w:rStyle w:val="Hyperlink"/>
          </w:rPr>
          <w:t>Application</w:t>
        </w:r>
        <w:r>
          <w:rPr>
            <w:webHidden/>
          </w:rPr>
          <w:tab/>
        </w:r>
        <w:r>
          <w:rPr>
            <w:webHidden/>
          </w:rPr>
          <w:fldChar w:fldCharType="begin"/>
        </w:r>
        <w:r>
          <w:rPr>
            <w:webHidden/>
          </w:rPr>
          <w:instrText xml:space="preserve"> PAGEREF _Toc214401083 \h </w:instrText>
        </w:r>
        <w:r>
          <w:rPr>
            <w:webHidden/>
          </w:rPr>
        </w:r>
        <w:r>
          <w:rPr>
            <w:webHidden/>
          </w:rPr>
          <w:fldChar w:fldCharType="separate"/>
        </w:r>
        <w:r w:rsidR="00FB5DB3">
          <w:rPr>
            <w:webHidden/>
          </w:rPr>
          <w:t>4</w:t>
        </w:r>
        <w:r>
          <w:rPr>
            <w:webHidden/>
          </w:rPr>
          <w:fldChar w:fldCharType="end"/>
        </w:r>
      </w:hyperlink>
    </w:p>
    <w:p w14:paraId="362F6053" w14:textId="29BC3C3C"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84" w:history="1">
        <w:r w:rsidRPr="00A91390">
          <w:rPr>
            <w:rStyle w:val="Hyperlink"/>
          </w:rPr>
          <w:t>Entitlements</w:t>
        </w:r>
        <w:r>
          <w:rPr>
            <w:webHidden/>
          </w:rPr>
          <w:tab/>
        </w:r>
        <w:r>
          <w:rPr>
            <w:webHidden/>
          </w:rPr>
          <w:fldChar w:fldCharType="begin"/>
        </w:r>
        <w:r>
          <w:rPr>
            <w:webHidden/>
          </w:rPr>
          <w:instrText xml:space="preserve"> PAGEREF _Toc214401084 \h </w:instrText>
        </w:r>
        <w:r>
          <w:rPr>
            <w:webHidden/>
          </w:rPr>
        </w:r>
        <w:r>
          <w:rPr>
            <w:webHidden/>
          </w:rPr>
          <w:fldChar w:fldCharType="separate"/>
        </w:r>
        <w:r w:rsidR="00FB5DB3">
          <w:rPr>
            <w:webHidden/>
          </w:rPr>
          <w:t>4</w:t>
        </w:r>
        <w:r>
          <w:rPr>
            <w:webHidden/>
          </w:rPr>
          <w:fldChar w:fldCharType="end"/>
        </w:r>
      </w:hyperlink>
    </w:p>
    <w:p w14:paraId="528F2C03" w14:textId="2E2A1783"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85" w:history="1">
        <w:r w:rsidRPr="00A91390">
          <w:rPr>
            <w:rStyle w:val="Hyperlink"/>
          </w:rPr>
          <w:t>Conditions</w:t>
        </w:r>
        <w:r>
          <w:rPr>
            <w:webHidden/>
          </w:rPr>
          <w:tab/>
        </w:r>
        <w:r>
          <w:rPr>
            <w:webHidden/>
          </w:rPr>
          <w:fldChar w:fldCharType="begin"/>
        </w:r>
        <w:r>
          <w:rPr>
            <w:webHidden/>
          </w:rPr>
          <w:instrText xml:space="preserve"> PAGEREF _Toc214401085 \h </w:instrText>
        </w:r>
        <w:r>
          <w:rPr>
            <w:webHidden/>
          </w:rPr>
        </w:r>
        <w:r>
          <w:rPr>
            <w:webHidden/>
          </w:rPr>
          <w:fldChar w:fldCharType="separate"/>
        </w:r>
        <w:r w:rsidR="00FB5DB3">
          <w:rPr>
            <w:webHidden/>
          </w:rPr>
          <w:t>5</w:t>
        </w:r>
        <w:r>
          <w:rPr>
            <w:webHidden/>
          </w:rPr>
          <w:fldChar w:fldCharType="end"/>
        </w:r>
      </w:hyperlink>
    </w:p>
    <w:p w14:paraId="59986374" w14:textId="42BA5111" w:rsidR="00F72E5A" w:rsidRDefault="00F72E5A">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401086" w:history="1">
        <w:r w:rsidRPr="00A91390">
          <w:rPr>
            <w:rStyle w:val="Hyperlink"/>
          </w:rPr>
          <w:t>Personal leave without pay</w:t>
        </w:r>
        <w:r>
          <w:rPr>
            <w:webHidden/>
          </w:rPr>
          <w:tab/>
        </w:r>
        <w:r>
          <w:rPr>
            <w:webHidden/>
          </w:rPr>
          <w:fldChar w:fldCharType="begin"/>
        </w:r>
        <w:r>
          <w:rPr>
            <w:webHidden/>
          </w:rPr>
          <w:instrText xml:space="preserve"> PAGEREF _Toc214401086 \h </w:instrText>
        </w:r>
        <w:r>
          <w:rPr>
            <w:webHidden/>
          </w:rPr>
        </w:r>
        <w:r>
          <w:rPr>
            <w:webHidden/>
          </w:rPr>
          <w:fldChar w:fldCharType="separate"/>
        </w:r>
        <w:r w:rsidR="00FB5DB3">
          <w:rPr>
            <w:webHidden/>
          </w:rPr>
          <w:t>6</w:t>
        </w:r>
        <w:r>
          <w:rPr>
            <w:webHidden/>
          </w:rPr>
          <w:fldChar w:fldCharType="end"/>
        </w:r>
      </w:hyperlink>
    </w:p>
    <w:p w14:paraId="462C365A" w14:textId="1700333C"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87" w:history="1">
        <w:r w:rsidRPr="00A91390">
          <w:rPr>
            <w:rStyle w:val="Hyperlink"/>
          </w:rPr>
          <w:t>Documentary Evidence</w:t>
        </w:r>
        <w:r>
          <w:rPr>
            <w:webHidden/>
          </w:rPr>
          <w:tab/>
        </w:r>
        <w:r>
          <w:rPr>
            <w:webHidden/>
          </w:rPr>
          <w:fldChar w:fldCharType="begin"/>
        </w:r>
        <w:r>
          <w:rPr>
            <w:webHidden/>
          </w:rPr>
          <w:instrText xml:space="preserve"> PAGEREF _Toc214401087 \h </w:instrText>
        </w:r>
        <w:r>
          <w:rPr>
            <w:webHidden/>
          </w:rPr>
        </w:r>
        <w:r>
          <w:rPr>
            <w:webHidden/>
          </w:rPr>
          <w:fldChar w:fldCharType="separate"/>
        </w:r>
        <w:r w:rsidR="00FB5DB3">
          <w:rPr>
            <w:webHidden/>
          </w:rPr>
          <w:t>6</w:t>
        </w:r>
        <w:r>
          <w:rPr>
            <w:webHidden/>
          </w:rPr>
          <w:fldChar w:fldCharType="end"/>
        </w:r>
      </w:hyperlink>
    </w:p>
    <w:p w14:paraId="292DF30A" w14:textId="6EDC5245"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88" w:history="1">
        <w:r w:rsidRPr="00A91390">
          <w:rPr>
            <w:rStyle w:val="Hyperlink"/>
          </w:rPr>
          <w:t>Referral for Medical Examination</w:t>
        </w:r>
        <w:r>
          <w:rPr>
            <w:webHidden/>
          </w:rPr>
          <w:tab/>
        </w:r>
        <w:r>
          <w:rPr>
            <w:webHidden/>
          </w:rPr>
          <w:fldChar w:fldCharType="begin"/>
        </w:r>
        <w:r>
          <w:rPr>
            <w:webHidden/>
          </w:rPr>
          <w:instrText xml:space="preserve"> PAGEREF _Toc214401088 \h </w:instrText>
        </w:r>
        <w:r>
          <w:rPr>
            <w:webHidden/>
          </w:rPr>
        </w:r>
        <w:r>
          <w:rPr>
            <w:webHidden/>
          </w:rPr>
          <w:fldChar w:fldCharType="separate"/>
        </w:r>
        <w:r w:rsidR="00FB5DB3">
          <w:rPr>
            <w:webHidden/>
          </w:rPr>
          <w:t>8</w:t>
        </w:r>
        <w:r>
          <w:rPr>
            <w:webHidden/>
          </w:rPr>
          <w:fldChar w:fldCharType="end"/>
        </w:r>
      </w:hyperlink>
    </w:p>
    <w:p w14:paraId="62D18007" w14:textId="483945E3"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89" w:history="1">
        <w:r w:rsidRPr="00A91390">
          <w:rPr>
            <w:rStyle w:val="Hyperlink"/>
          </w:rPr>
          <w:t>Notifying and Applying for Personal Leave</w:t>
        </w:r>
        <w:r>
          <w:rPr>
            <w:webHidden/>
          </w:rPr>
          <w:tab/>
        </w:r>
        <w:r>
          <w:rPr>
            <w:webHidden/>
          </w:rPr>
          <w:fldChar w:fldCharType="begin"/>
        </w:r>
        <w:r>
          <w:rPr>
            <w:webHidden/>
          </w:rPr>
          <w:instrText xml:space="preserve"> PAGEREF _Toc214401089 \h </w:instrText>
        </w:r>
        <w:r>
          <w:rPr>
            <w:webHidden/>
          </w:rPr>
        </w:r>
        <w:r>
          <w:rPr>
            <w:webHidden/>
          </w:rPr>
          <w:fldChar w:fldCharType="separate"/>
        </w:r>
        <w:r w:rsidR="00FB5DB3">
          <w:rPr>
            <w:webHidden/>
          </w:rPr>
          <w:t>8</w:t>
        </w:r>
        <w:r>
          <w:rPr>
            <w:webHidden/>
          </w:rPr>
          <w:fldChar w:fldCharType="end"/>
        </w:r>
      </w:hyperlink>
    </w:p>
    <w:p w14:paraId="1A296BA1" w14:textId="66E4818D" w:rsidR="00F72E5A" w:rsidRDefault="00F72E5A">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401090" w:history="1">
        <w:r w:rsidRPr="00A91390">
          <w:rPr>
            <w:rStyle w:val="Hyperlink"/>
          </w:rPr>
          <w:t>Notification</w:t>
        </w:r>
        <w:r>
          <w:rPr>
            <w:webHidden/>
          </w:rPr>
          <w:tab/>
        </w:r>
        <w:r>
          <w:rPr>
            <w:webHidden/>
          </w:rPr>
          <w:fldChar w:fldCharType="begin"/>
        </w:r>
        <w:r>
          <w:rPr>
            <w:webHidden/>
          </w:rPr>
          <w:instrText xml:space="preserve"> PAGEREF _Toc214401090 \h </w:instrText>
        </w:r>
        <w:r>
          <w:rPr>
            <w:webHidden/>
          </w:rPr>
        </w:r>
        <w:r>
          <w:rPr>
            <w:webHidden/>
          </w:rPr>
          <w:fldChar w:fldCharType="separate"/>
        </w:r>
        <w:r w:rsidR="00FB5DB3">
          <w:rPr>
            <w:webHidden/>
          </w:rPr>
          <w:t>8</w:t>
        </w:r>
        <w:r>
          <w:rPr>
            <w:webHidden/>
          </w:rPr>
          <w:fldChar w:fldCharType="end"/>
        </w:r>
      </w:hyperlink>
    </w:p>
    <w:p w14:paraId="4212C639" w14:textId="3FA87475" w:rsidR="00F72E5A" w:rsidRDefault="00F72E5A">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401091" w:history="1">
        <w:r w:rsidRPr="00A91390">
          <w:rPr>
            <w:rStyle w:val="Hyperlink"/>
          </w:rPr>
          <w:t>Application</w:t>
        </w:r>
        <w:r>
          <w:rPr>
            <w:webHidden/>
          </w:rPr>
          <w:tab/>
        </w:r>
        <w:r>
          <w:rPr>
            <w:webHidden/>
          </w:rPr>
          <w:fldChar w:fldCharType="begin"/>
        </w:r>
        <w:r>
          <w:rPr>
            <w:webHidden/>
          </w:rPr>
          <w:instrText xml:space="preserve"> PAGEREF _Toc214401091 \h </w:instrText>
        </w:r>
        <w:r>
          <w:rPr>
            <w:webHidden/>
          </w:rPr>
        </w:r>
        <w:r>
          <w:rPr>
            <w:webHidden/>
          </w:rPr>
          <w:fldChar w:fldCharType="separate"/>
        </w:r>
        <w:r w:rsidR="00FB5DB3">
          <w:rPr>
            <w:webHidden/>
          </w:rPr>
          <w:t>8</w:t>
        </w:r>
        <w:r>
          <w:rPr>
            <w:webHidden/>
          </w:rPr>
          <w:fldChar w:fldCharType="end"/>
        </w:r>
      </w:hyperlink>
    </w:p>
    <w:p w14:paraId="654B3E2A" w14:textId="59ED6E4A"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92" w:history="1">
        <w:r w:rsidRPr="00A91390">
          <w:rPr>
            <w:rStyle w:val="Hyperlink"/>
          </w:rPr>
          <w:t>When Personal Leave Credits are Exhausted</w:t>
        </w:r>
        <w:r>
          <w:rPr>
            <w:webHidden/>
          </w:rPr>
          <w:tab/>
        </w:r>
        <w:r>
          <w:rPr>
            <w:webHidden/>
          </w:rPr>
          <w:fldChar w:fldCharType="begin"/>
        </w:r>
        <w:r>
          <w:rPr>
            <w:webHidden/>
          </w:rPr>
          <w:instrText xml:space="preserve"> PAGEREF _Toc214401092 \h </w:instrText>
        </w:r>
        <w:r>
          <w:rPr>
            <w:webHidden/>
          </w:rPr>
        </w:r>
        <w:r>
          <w:rPr>
            <w:webHidden/>
          </w:rPr>
          <w:fldChar w:fldCharType="separate"/>
        </w:r>
        <w:r w:rsidR="00FB5DB3">
          <w:rPr>
            <w:webHidden/>
          </w:rPr>
          <w:t>10</w:t>
        </w:r>
        <w:r>
          <w:rPr>
            <w:webHidden/>
          </w:rPr>
          <w:fldChar w:fldCharType="end"/>
        </w:r>
      </w:hyperlink>
    </w:p>
    <w:p w14:paraId="129CB9B6" w14:textId="7AAE5B43" w:rsidR="00F72E5A" w:rsidRDefault="00F72E5A">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401093" w:history="1">
        <w:r w:rsidRPr="00A91390">
          <w:rPr>
            <w:rStyle w:val="Hyperlink"/>
          </w:rPr>
          <w:t>Granting additional paid or unpaid leave</w:t>
        </w:r>
        <w:r>
          <w:rPr>
            <w:webHidden/>
          </w:rPr>
          <w:tab/>
        </w:r>
        <w:r>
          <w:rPr>
            <w:webHidden/>
          </w:rPr>
          <w:fldChar w:fldCharType="begin"/>
        </w:r>
        <w:r>
          <w:rPr>
            <w:webHidden/>
          </w:rPr>
          <w:instrText xml:space="preserve"> PAGEREF _Toc214401093 \h </w:instrText>
        </w:r>
        <w:r>
          <w:rPr>
            <w:webHidden/>
          </w:rPr>
        </w:r>
        <w:r>
          <w:rPr>
            <w:webHidden/>
          </w:rPr>
          <w:fldChar w:fldCharType="separate"/>
        </w:r>
        <w:r w:rsidR="00FB5DB3">
          <w:rPr>
            <w:webHidden/>
          </w:rPr>
          <w:t>10</w:t>
        </w:r>
        <w:r>
          <w:rPr>
            <w:webHidden/>
          </w:rPr>
          <w:fldChar w:fldCharType="end"/>
        </w:r>
      </w:hyperlink>
    </w:p>
    <w:p w14:paraId="218D368A" w14:textId="4B8D03CC"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94" w:history="1">
        <w:r w:rsidRPr="00A91390">
          <w:rPr>
            <w:rStyle w:val="Hyperlink"/>
          </w:rPr>
          <w:t>Interaction with Other Leave Types and Entitlements</w:t>
        </w:r>
        <w:r>
          <w:rPr>
            <w:webHidden/>
          </w:rPr>
          <w:tab/>
        </w:r>
        <w:r>
          <w:rPr>
            <w:webHidden/>
          </w:rPr>
          <w:fldChar w:fldCharType="begin"/>
        </w:r>
        <w:r>
          <w:rPr>
            <w:webHidden/>
          </w:rPr>
          <w:instrText xml:space="preserve"> PAGEREF _Toc214401094 \h </w:instrText>
        </w:r>
        <w:r>
          <w:rPr>
            <w:webHidden/>
          </w:rPr>
        </w:r>
        <w:r>
          <w:rPr>
            <w:webHidden/>
          </w:rPr>
          <w:fldChar w:fldCharType="separate"/>
        </w:r>
        <w:r w:rsidR="00FB5DB3">
          <w:rPr>
            <w:webHidden/>
          </w:rPr>
          <w:t>11</w:t>
        </w:r>
        <w:r>
          <w:rPr>
            <w:webHidden/>
          </w:rPr>
          <w:fldChar w:fldCharType="end"/>
        </w:r>
      </w:hyperlink>
    </w:p>
    <w:p w14:paraId="4172012F" w14:textId="15A217A2"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95" w:history="1">
        <w:r w:rsidRPr="00A91390">
          <w:rPr>
            <w:rStyle w:val="Hyperlink"/>
          </w:rPr>
          <w:t>Contact with Employees during Personal Leave</w:t>
        </w:r>
        <w:r>
          <w:rPr>
            <w:webHidden/>
          </w:rPr>
          <w:tab/>
        </w:r>
        <w:r>
          <w:rPr>
            <w:webHidden/>
          </w:rPr>
          <w:fldChar w:fldCharType="begin"/>
        </w:r>
        <w:r>
          <w:rPr>
            <w:webHidden/>
          </w:rPr>
          <w:instrText xml:space="preserve"> PAGEREF _Toc214401095 \h </w:instrText>
        </w:r>
        <w:r>
          <w:rPr>
            <w:webHidden/>
          </w:rPr>
        </w:r>
        <w:r>
          <w:rPr>
            <w:webHidden/>
          </w:rPr>
          <w:fldChar w:fldCharType="separate"/>
        </w:r>
        <w:r w:rsidR="00FB5DB3">
          <w:rPr>
            <w:webHidden/>
          </w:rPr>
          <w:t>12</w:t>
        </w:r>
        <w:r>
          <w:rPr>
            <w:webHidden/>
          </w:rPr>
          <w:fldChar w:fldCharType="end"/>
        </w:r>
      </w:hyperlink>
    </w:p>
    <w:p w14:paraId="4DA432A1" w14:textId="471C6F95"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96" w:history="1">
        <w:r w:rsidRPr="00A91390">
          <w:rPr>
            <w:rStyle w:val="Hyperlink"/>
          </w:rPr>
          <w:t>Personal Leave in Special, Extraordinary and Unforeseen Circumstances</w:t>
        </w:r>
        <w:r>
          <w:rPr>
            <w:webHidden/>
          </w:rPr>
          <w:tab/>
        </w:r>
        <w:r>
          <w:rPr>
            <w:webHidden/>
          </w:rPr>
          <w:fldChar w:fldCharType="begin"/>
        </w:r>
        <w:r>
          <w:rPr>
            <w:webHidden/>
          </w:rPr>
          <w:instrText xml:space="preserve"> PAGEREF _Toc214401096 \h </w:instrText>
        </w:r>
        <w:r>
          <w:rPr>
            <w:webHidden/>
          </w:rPr>
        </w:r>
        <w:r>
          <w:rPr>
            <w:webHidden/>
          </w:rPr>
          <w:fldChar w:fldCharType="separate"/>
        </w:r>
        <w:r w:rsidR="00FB5DB3">
          <w:rPr>
            <w:webHidden/>
          </w:rPr>
          <w:t>13</w:t>
        </w:r>
        <w:r>
          <w:rPr>
            <w:webHidden/>
          </w:rPr>
          <w:fldChar w:fldCharType="end"/>
        </w:r>
      </w:hyperlink>
    </w:p>
    <w:p w14:paraId="2F371A10" w14:textId="524F8E63" w:rsidR="00F72E5A" w:rsidRDefault="00F72E5A">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401097" w:history="1">
        <w:r w:rsidRPr="00A91390">
          <w:rPr>
            <w:rStyle w:val="Hyperlink"/>
          </w:rPr>
          <w:t>Entitlements</w:t>
        </w:r>
        <w:r>
          <w:rPr>
            <w:webHidden/>
          </w:rPr>
          <w:tab/>
        </w:r>
        <w:r>
          <w:rPr>
            <w:webHidden/>
          </w:rPr>
          <w:fldChar w:fldCharType="begin"/>
        </w:r>
        <w:r>
          <w:rPr>
            <w:webHidden/>
          </w:rPr>
          <w:instrText xml:space="preserve"> PAGEREF _Toc214401097 \h </w:instrText>
        </w:r>
        <w:r>
          <w:rPr>
            <w:webHidden/>
          </w:rPr>
        </w:r>
        <w:r>
          <w:rPr>
            <w:webHidden/>
          </w:rPr>
          <w:fldChar w:fldCharType="separate"/>
        </w:r>
        <w:r w:rsidR="00FB5DB3">
          <w:rPr>
            <w:webHidden/>
          </w:rPr>
          <w:t>13</w:t>
        </w:r>
        <w:r>
          <w:rPr>
            <w:webHidden/>
          </w:rPr>
          <w:fldChar w:fldCharType="end"/>
        </w:r>
      </w:hyperlink>
    </w:p>
    <w:p w14:paraId="6FEFADE7" w14:textId="6121633E"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98" w:history="1">
        <w:r w:rsidRPr="00A91390">
          <w:rPr>
            <w:rStyle w:val="Hyperlink"/>
          </w:rPr>
          <w:t>Payment and Service</w:t>
        </w:r>
        <w:r>
          <w:rPr>
            <w:webHidden/>
          </w:rPr>
          <w:tab/>
        </w:r>
        <w:r>
          <w:rPr>
            <w:webHidden/>
          </w:rPr>
          <w:fldChar w:fldCharType="begin"/>
        </w:r>
        <w:r>
          <w:rPr>
            <w:webHidden/>
          </w:rPr>
          <w:instrText xml:space="preserve"> PAGEREF _Toc214401098 \h </w:instrText>
        </w:r>
        <w:r>
          <w:rPr>
            <w:webHidden/>
          </w:rPr>
        </w:r>
        <w:r>
          <w:rPr>
            <w:webHidden/>
          </w:rPr>
          <w:fldChar w:fldCharType="separate"/>
        </w:r>
        <w:r w:rsidR="00FB5DB3">
          <w:rPr>
            <w:webHidden/>
          </w:rPr>
          <w:t>15</w:t>
        </w:r>
        <w:r>
          <w:rPr>
            <w:webHidden/>
          </w:rPr>
          <w:fldChar w:fldCharType="end"/>
        </w:r>
      </w:hyperlink>
    </w:p>
    <w:p w14:paraId="58EF6BCE" w14:textId="06B0D813"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099" w:history="1">
        <w:r w:rsidRPr="00A91390">
          <w:rPr>
            <w:rStyle w:val="Hyperlink"/>
          </w:rPr>
          <w:t>References</w:t>
        </w:r>
        <w:r>
          <w:rPr>
            <w:webHidden/>
          </w:rPr>
          <w:tab/>
        </w:r>
        <w:r>
          <w:rPr>
            <w:webHidden/>
          </w:rPr>
          <w:fldChar w:fldCharType="begin"/>
        </w:r>
        <w:r>
          <w:rPr>
            <w:webHidden/>
          </w:rPr>
          <w:instrText xml:space="preserve"> PAGEREF _Toc214401099 \h </w:instrText>
        </w:r>
        <w:r>
          <w:rPr>
            <w:webHidden/>
          </w:rPr>
        </w:r>
        <w:r>
          <w:rPr>
            <w:webHidden/>
          </w:rPr>
          <w:fldChar w:fldCharType="separate"/>
        </w:r>
        <w:r w:rsidR="00FB5DB3">
          <w:rPr>
            <w:webHidden/>
          </w:rPr>
          <w:t>15</w:t>
        </w:r>
        <w:r>
          <w:rPr>
            <w:webHidden/>
          </w:rPr>
          <w:fldChar w:fldCharType="end"/>
        </w:r>
      </w:hyperlink>
    </w:p>
    <w:p w14:paraId="7407A575" w14:textId="37BB04D3"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100" w:history="1">
        <w:r w:rsidRPr="00A91390">
          <w:rPr>
            <w:rStyle w:val="Hyperlink"/>
          </w:rPr>
          <w:t>Consultation</w:t>
        </w:r>
        <w:r>
          <w:rPr>
            <w:webHidden/>
          </w:rPr>
          <w:tab/>
        </w:r>
        <w:r>
          <w:rPr>
            <w:webHidden/>
          </w:rPr>
          <w:fldChar w:fldCharType="begin"/>
        </w:r>
        <w:r>
          <w:rPr>
            <w:webHidden/>
          </w:rPr>
          <w:instrText xml:space="preserve"> PAGEREF _Toc214401100 \h </w:instrText>
        </w:r>
        <w:r>
          <w:rPr>
            <w:webHidden/>
          </w:rPr>
        </w:r>
        <w:r>
          <w:rPr>
            <w:webHidden/>
          </w:rPr>
          <w:fldChar w:fldCharType="separate"/>
        </w:r>
        <w:r w:rsidR="00FB5DB3">
          <w:rPr>
            <w:webHidden/>
          </w:rPr>
          <w:t>15</w:t>
        </w:r>
        <w:r>
          <w:rPr>
            <w:webHidden/>
          </w:rPr>
          <w:fldChar w:fldCharType="end"/>
        </w:r>
      </w:hyperlink>
    </w:p>
    <w:p w14:paraId="646381B9" w14:textId="61A2894F"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101" w:history="1">
        <w:r w:rsidRPr="00A91390">
          <w:rPr>
            <w:rStyle w:val="Hyperlink"/>
          </w:rPr>
          <w:t>Further Information and Feedback</w:t>
        </w:r>
        <w:r>
          <w:rPr>
            <w:webHidden/>
          </w:rPr>
          <w:tab/>
        </w:r>
        <w:r>
          <w:rPr>
            <w:webHidden/>
          </w:rPr>
          <w:fldChar w:fldCharType="begin"/>
        </w:r>
        <w:r>
          <w:rPr>
            <w:webHidden/>
          </w:rPr>
          <w:instrText xml:space="preserve"> PAGEREF _Toc214401101 \h </w:instrText>
        </w:r>
        <w:r>
          <w:rPr>
            <w:webHidden/>
          </w:rPr>
        </w:r>
        <w:r>
          <w:rPr>
            <w:webHidden/>
          </w:rPr>
          <w:fldChar w:fldCharType="separate"/>
        </w:r>
        <w:r w:rsidR="00FB5DB3">
          <w:rPr>
            <w:webHidden/>
          </w:rPr>
          <w:t>15</w:t>
        </w:r>
        <w:r>
          <w:rPr>
            <w:webHidden/>
          </w:rPr>
          <w:fldChar w:fldCharType="end"/>
        </w:r>
      </w:hyperlink>
    </w:p>
    <w:p w14:paraId="587478BD" w14:textId="7EB3A181"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102" w:history="1">
        <w:r w:rsidRPr="00A91390">
          <w:rPr>
            <w:rStyle w:val="Hyperlink"/>
          </w:rPr>
          <w:t>Review</w:t>
        </w:r>
        <w:r>
          <w:rPr>
            <w:webHidden/>
          </w:rPr>
          <w:tab/>
        </w:r>
        <w:r>
          <w:rPr>
            <w:webHidden/>
          </w:rPr>
          <w:fldChar w:fldCharType="begin"/>
        </w:r>
        <w:r>
          <w:rPr>
            <w:webHidden/>
          </w:rPr>
          <w:instrText xml:space="preserve"> PAGEREF _Toc214401102 \h </w:instrText>
        </w:r>
        <w:r>
          <w:rPr>
            <w:webHidden/>
          </w:rPr>
        </w:r>
        <w:r>
          <w:rPr>
            <w:webHidden/>
          </w:rPr>
          <w:fldChar w:fldCharType="separate"/>
        </w:r>
        <w:r w:rsidR="00FB5DB3">
          <w:rPr>
            <w:webHidden/>
          </w:rPr>
          <w:t>15</w:t>
        </w:r>
        <w:r>
          <w:rPr>
            <w:webHidden/>
          </w:rPr>
          <w:fldChar w:fldCharType="end"/>
        </w:r>
      </w:hyperlink>
    </w:p>
    <w:p w14:paraId="0748BF08" w14:textId="7A472870"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103" w:history="1">
        <w:r w:rsidRPr="00A91390">
          <w:rPr>
            <w:rStyle w:val="Hyperlink"/>
          </w:rPr>
          <w:t>Approval Authority</w:t>
        </w:r>
        <w:r>
          <w:rPr>
            <w:webHidden/>
          </w:rPr>
          <w:tab/>
        </w:r>
        <w:r>
          <w:rPr>
            <w:webHidden/>
          </w:rPr>
          <w:fldChar w:fldCharType="begin"/>
        </w:r>
        <w:r>
          <w:rPr>
            <w:webHidden/>
          </w:rPr>
          <w:instrText xml:space="preserve"> PAGEREF _Toc214401103 \h </w:instrText>
        </w:r>
        <w:r>
          <w:rPr>
            <w:webHidden/>
          </w:rPr>
        </w:r>
        <w:r>
          <w:rPr>
            <w:webHidden/>
          </w:rPr>
          <w:fldChar w:fldCharType="separate"/>
        </w:r>
        <w:r w:rsidR="00FB5DB3">
          <w:rPr>
            <w:webHidden/>
          </w:rPr>
          <w:t>16</w:t>
        </w:r>
        <w:r>
          <w:rPr>
            <w:webHidden/>
          </w:rPr>
          <w:fldChar w:fldCharType="end"/>
        </w:r>
      </w:hyperlink>
    </w:p>
    <w:p w14:paraId="0CD55D9E" w14:textId="40C9C729"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104" w:history="1">
        <w:r w:rsidRPr="00A91390">
          <w:rPr>
            <w:rStyle w:val="Hyperlink"/>
          </w:rPr>
          <w:t>Appendix A – Frequently Asked Questions (FAQs)</w:t>
        </w:r>
        <w:r>
          <w:rPr>
            <w:webHidden/>
          </w:rPr>
          <w:tab/>
        </w:r>
        <w:r>
          <w:rPr>
            <w:webHidden/>
          </w:rPr>
          <w:fldChar w:fldCharType="begin"/>
        </w:r>
        <w:r>
          <w:rPr>
            <w:webHidden/>
          </w:rPr>
          <w:instrText xml:space="preserve"> PAGEREF _Toc214401104 \h </w:instrText>
        </w:r>
        <w:r>
          <w:rPr>
            <w:webHidden/>
          </w:rPr>
        </w:r>
        <w:r>
          <w:rPr>
            <w:webHidden/>
          </w:rPr>
          <w:fldChar w:fldCharType="separate"/>
        </w:r>
        <w:r w:rsidR="00FB5DB3">
          <w:rPr>
            <w:webHidden/>
          </w:rPr>
          <w:t>17</w:t>
        </w:r>
        <w:r>
          <w:rPr>
            <w:webHidden/>
          </w:rPr>
          <w:fldChar w:fldCharType="end"/>
        </w:r>
      </w:hyperlink>
    </w:p>
    <w:p w14:paraId="7075235A" w14:textId="14408A45" w:rsidR="00F72E5A" w:rsidRDefault="00F72E5A">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401105" w:history="1">
        <w:r w:rsidRPr="00A91390">
          <w:rPr>
            <w:rStyle w:val="Hyperlink"/>
          </w:rPr>
          <w:t>Appendix B – Manager/Supervisor and Employee Checklist</w:t>
        </w:r>
        <w:r>
          <w:rPr>
            <w:webHidden/>
          </w:rPr>
          <w:tab/>
        </w:r>
        <w:r>
          <w:rPr>
            <w:webHidden/>
          </w:rPr>
          <w:fldChar w:fldCharType="begin"/>
        </w:r>
        <w:r>
          <w:rPr>
            <w:webHidden/>
          </w:rPr>
          <w:instrText xml:space="preserve"> PAGEREF _Toc214401105 \h </w:instrText>
        </w:r>
        <w:r>
          <w:rPr>
            <w:webHidden/>
          </w:rPr>
        </w:r>
        <w:r>
          <w:rPr>
            <w:webHidden/>
          </w:rPr>
          <w:fldChar w:fldCharType="separate"/>
        </w:r>
        <w:r w:rsidR="00FB5DB3">
          <w:rPr>
            <w:webHidden/>
          </w:rPr>
          <w:t>19</w:t>
        </w:r>
        <w:r>
          <w:rPr>
            <w:webHidden/>
          </w:rPr>
          <w:fldChar w:fldCharType="end"/>
        </w:r>
      </w:hyperlink>
    </w:p>
    <w:p w14:paraId="58DA334C" w14:textId="633F6300" w:rsidR="00F72E5A" w:rsidRDefault="00F72E5A">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401106" w:history="1">
        <w:r w:rsidRPr="00A91390">
          <w:rPr>
            <w:rStyle w:val="Hyperlink"/>
          </w:rPr>
          <w:t>Employees</w:t>
        </w:r>
        <w:r>
          <w:rPr>
            <w:webHidden/>
          </w:rPr>
          <w:tab/>
        </w:r>
        <w:r>
          <w:rPr>
            <w:webHidden/>
          </w:rPr>
          <w:fldChar w:fldCharType="begin"/>
        </w:r>
        <w:r>
          <w:rPr>
            <w:webHidden/>
          </w:rPr>
          <w:instrText xml:space="preserve"> PAGEREF _Toc214401106 \h </w:instrText>
        </w:r>
        <w:r>
          <w:rPr>
            <w:webHidden/>
          </w:rPr>
        </w:r>
        <w:r>
          <w:rPr>
            <w:webHidden/>
          </w:rPr>
          <w:fldChar w:fldCharType="separate"/>
        </w:r>
        <w:r w:rsidR="00FB5DB3">
          <w:rPr>
            <w:webHidden/>
          </w:rPr>
          <w:t>19</w:t>
        </w:r>
        <w:r>
          <w:rPr>
            <w:webHidden/>
          </w:rPr>
          <w:fldChar w:fldCharType="end"/>
        </w:r>
      </w:hyperlink>
    </w:p>
    <w:p w14:paraId="45EED156" w14:textId="6D7C332E" w:rsidR="00F72E5A" w:rsidRDefault="00F72E5A">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401107" w:history="1">
        <w:r w:rsidRPr="00A91390">
          <w:rPr>
            <w:rStyle w:val="Hyperlink"/>
          </w:rPr>
          <w:t>Managers/Supervisor</w:t>
        </w:r>
        <w:r>
          <w:rPr>
            <w:webHidden/>
          </w:rPr>
          <w:tab/>
        </w:r>
        <w:r>
          <w:rPr>
            <w:webHidden/>
          </w:rPr>
          <w:fldChar w:fldCharType="begin"/>
        </w:r>
        <w:r>
          <w:rPr>
            <w:webHidden/>
          </w:rPr>
          <w:instrText xml:space="preserve"> PAGEREF _Toc214401107 \h </w:instrText>
        </w:r>
        <w:r>
          <w:rPr>
            <w:webHidden/>
          </w:rPr>
        </w:r>
        <w:r>
          <w:rPr>
            <w:webHidden/>
          </w:rPr>
          <w:fldChar w:fldCharType="separate"/>
        </w:r>
        <w:r w:rsidR="00FB5DB3">
          <w:rPr>
            <w:webHidden/>
          </w:rPr>
          <w:t>19</w:t>
        </w:r>
        <w:r>
          <w:rPr>
            <w:webHidden/>
          </w:rPr>
          <w:fldChar w:fldCharType="end"/>
        </w:r>
      </w:hyperlink>
    </w:p>
    <w:p w14:paraId="4E25B2C4" w14:textId="20CCF8D3" w:rsidR="00CA5A65" w:rsidRDefault="00FD38BD" w:rsidP="00CA5A65">
      <w:pPr>
        <w:rPr>
          <w:noProof/>
        </w:rPr>
      </w:pPr>
      <w:r>
        <w:rPr>
          <w:noProof/>
        </w:rPr>
        <w:fldChar w:fldCharType="end"/>
      </w:r>
    </w:p>
    <w:p w14:paraId="19772F7C" w14:textId="77777777" w:rsidR="002806C1" w:rsidRDefault="002806C1" w:rsidP="00607FEE">
      <w:pPr>
        <w:pStyle w:val="Heading2"/>
      </w:pPr>
    </w:p>
    <w:p w14:paraId="2B96C5C3" w14:textId="77777777" w:rsidR="002806C1" w:rsidRDefault="002806C1" w:rsidP="002806C1"/>
    <w:p w14:paraId="38CDFFD6" w14:textId="77777777" w:rsidR="002806C1" w:rsidRPr="002806C1" w:rsidRDefault="002806C1" w:rsidP="002806C1"/>
    <w:p w14:paraId="4B14EC6B" w14:textId="77A8955E" w:rsidR="006723B6" w:rsidRDefault="00CA5A65" w:rsidP="00607FEE">
      <w:pPr>
        <w:pStyle w:val="Heading2"/>
      </w:pPr>
      <w:bookmarkStart w:id="2" w:name="_Toc214401082"/>
      <w:r>
        <w:lastRenderedPageBreak/>
        <w:t>I</w:t>
      </w:r>
      <w:r w:rsidR="005F4189">
        <w:t>ntroduction</w:t>
      </w:r>
      <w:bookmarkEnd w:id="2"/>
    </w:p>
    <w:p w14:paraId="539F4194" w14:textId="77777777" w:rsidR="00902C24" w:rsidRDefault="00902C24" w:rsidP="00902C24">
      <w:pPr>
        <w:pStyle w:val="BulletNumbers"/>
      </w:pPr>
      <w:r w:rsidRPr="6CAD484E">
        <w:t xml:space="preserve">Personal leave is available to eligible employees who need to be absent from </w:t>
      </w:r>
      <w:r>
        <w:t>duty</w:t>
      </w:r>
      <w:r w:rsidRPr="6CAD484E">
        <w:t xml:space="preserve">: </w:t>
      </w:r>
    </w:p>
    <w:p w14:paraId="1FA3B085" w14:textId="77777777" w:rsidR="00902C24" w:rsidRDefault="00902C24" w:rsidP="00902C24">
      <w:pPr>
        <w:pStyle w:val="IntroParagraph"/>
        <w:numPr>
          <w:ilvl w:val="1"/>
          <w:numId w:val="3"/>
        </w:numPr>
        <w:rPr>
          <w:color w:val="auto"/>
        </w:rPr>
      </w:pPr>
      <w:r>
        <w:rPr>
          <w:color w:val="auto"/>
        </w:rPr>
        <w:t>W</w:t>
      </w:r>
      <w:r w:rsidRPr="00175874">
        <w:rPr>
          <w:color w:val="auto"/>
        </w:rPr>
        <w:t xml:space="preserve">hen they are </w:t>
      </w:r>
      <w:r>
        <w:rPr>
          <w:color w:val="auto"/>
        </w:rPr>
        <w:t>unfit for work because of a personal illness, or personal injury;</w:t>
      </w:r>
      <w:r w:rsidRPr="00175874">
        <w:rPr>
          <w:color w:val="auto"/>
        </w:rPr>
        <w:t xml:space="preserve"> </w:t>
      </w:r>
    </w:p>
    <w:p w14:paraId="65B7AB6A" w14:textId="30D92142" w:rsidR="00902C24" w:rsidRDefault="00902C24" w:rsidP="00902C24">
      <w:pPr>
        <w:pStyle w:val="IntroParagraph"/>
        <w:numPr>
          <w:ilvl w:val="1"/>
          <w:numId w:val="3"/>
        </w:numPr>
        <w:rPr>
          <w:color w:val="auto"/>
        </w:rPr>
      </w:pPr>
      <w:r>
        <w:rPr>
          <w:color w:val="auto"/>
        </w:rPr>
        <w:t>T</w:t>
      </w:r>
      <w:r w:rsidRPr="00175874">
        <w:rPr>
          <w:color w:val="auto"/>
        </w:rPr>
        <w:t xml:space="preserve">o care </w:t>
      </w:r>
      <w:r>
        <w:rPr>
          <w:color w:val="auto"/>
        </w:rPr>
        <w:t xml:space="preserve">or support </w:t>
      </w:r>
      <w:r w:rsidRPr="00175874">
        <w:rPr>
          <w:color w:val="auto"/>
        </w:rPr>
        <w:t xml:space="preserve">members of their immediate family or household </w:t>
      </w:r>
      <w:r>
        <w:rPr>
          <w:rStyle w:val="FootnoteReference"/>
          <w:color w:val="auto"/>
        </w:rPr>
        <w:footnoteReference w:id="2"/>
      </w:r>
      <w:r>
        <w:rPr>
          <w:color w:val="auto"/>
        </w:rPr>
        <w:t xml:space="preserve"> </w:t>
      </w:r>
      <w:r w:rsidRPr="00175874">
        <w:rPr>
          <w:color w:val="auto"/>
        </w:rPr>
        <w:t>who are ill or injured</w:t>
      </w:r>
      <w:r>
        <w:rPr>
          <w:color w:val="auto"/>
        </w:rPr>
        <w:t xml:space="preserve">, or </w:t>
      </w:r>
      <w:r w:rsidRPr="000916AC">
        <w:rPr>
          <w:color w:val="auto"/>
        </w:rPr>
        <w:t>affected by an unexpected emergency</w:t>
      </w:r>
      <w:r w:rsidR="00D633BD">
        <w:rPr>
          <w:color w:val="auto"/>
        </w:rPr>
        <w:t>;</w:t>
      </w:r>
    </w:p>
    <w:p w14:paraId="5237FE30" w14:textId="77777777" w:rsidR="00902C24" w:rsidRDefault="00902C24" w:rsidP="00902C24">
      <w:pPr>
        <w:pStyle w:val="IntroParagraph"/>
        <w:numPr>
          <w:ilvl w:val="1"/>
          <w:numId w:val="3"/>
        </w:numPr>
        <w:rPr>
          <w:color w:val="auto"/>
        </w:rPr>
      </w:pPr>
      <w:r w:rsidRPr="4B69ECAA">
        <w:rPr>
          <w:color w:val="auto"/>
        </w:rPr>
        <w:t>To attend a medical appointment for themself, or a member of their immediate family or household, with a registered health professional who is operating within their scope of practice.</w:t>
      </w:r>
    </w:p>
    <w:p w14:paraId="491F5ADE" w14:textId="77777777" w:rsidR="00902C24" w:rsidRPr="00492323" w:rsidRDefault="00902C24" w:rsidP="00902C24">
      <w:pPr>
        <w:pStyle w:val="BulletNumbers"/>
      </w:pPr>
      <w:r w:rsidRPr="31FAF992">
        <w:t>Outside of the above scenarios, personal leave is also available for up to 10 days</w:t>
      </w:r>
      <w:r>
        <w:t xml:space="preserve"> per accrual year</w:t>
      </w:r>
      <w:r w:rsidRPr="31FAF992">
        <w:t xml:space="preserve"> in special, extraordinary or unforeseen circumstances (SEUC). </w:t>
      </w:r>
    </w:p>
    <w:p w14:paraId="52EDD1E9" w14:textId="47B6D915" w:rsidR="00902C24" w:rsidRPr="000B3096" w:rsidRDefault="00902C24" w:rsidP="00902C24">
      <w:pPr>
        <w:pStyle w:val="BulletNumbers"/>
      </w:pPr>
      <w:r w:rsidRPr="000041E4">
        <w:t xml:space="preserve">This document provides guidance to employees, managers and </w:t>
      </w:r>
      <w:r>
        <w:t>delegates</w:t>
      </w:r>
      <w:r w:rsidRPr="000041E4">
        <w:t xml:space="preserve"> on accessing </w:t>
      </w:r>
      <w:r>
        <w:t xml:space="preserve">entitlements for </w:t>
      </w:r>
      <w:r w:rsidRPr="000041E4">
        <w:t>personal leave and personal leave in SEUC</w:t>
      </w:r>
      <w:r>
        <w:t xml:space="preserve"> in accordance with </w:t>
      </w:r>
      <w:r w:rsidRPr="000041E4">
        <w:t>ACT</w:t>
      </w:r>
      <w:r>
        <w:t xml:space="preserve"> </w:t>
      </w:r>
      <w:r w:rsidRPr="000041E4">
        <w:t>P</w:t>
      </w:r>
      <w:r>
        <w:t xml:space="preserve">ublic </w:t>
      </w:r>
      <w:r w:rsidRPr="000041E4">
        <w:t>S</w:t>
      </w:r>
      <w:r>
        <w:t>ector (ACTPS) ‘core’ enterprise agreement provisions</w:t>
      </w:r>
      <w:r w:rsidRPr="000041E4">
        <w:t>.</w:t>
      </w:r>
      <w:r>
        <w:t xml:space="preserve"> </w:t>
      </w:r>
      <w:r w:rsidRPr="000B3096">
        <w:t xml:space="preserve">This guidance should be read in conjunction with clauses E4 and E5 of </w:t>
      </w:r>
      <w:hyperlink r:id="rId18" w:history="1">
        <w:r w:rsidRPr="00344EFA">
          <w:rPr>
            <w:rStyle w:val="Hyperlink"/>
          </w:rPr>
          <w:t xml:space="preserve">ACTPS </w:t>
        </w:r>
        <w:r w:rsidR="0002527C">
          <w:rPr>
            <w:rStyle w:val="Hyperlink"/>
          </w:rPr>
          <w:t>E</w:t>
        </w:r>
        <w:r w:rsidRPr="00344EFA">
          <w:rPr>
            <w:rStyle w:val="Hyperlink"/>
          </w:rPr>
          <w:t xml:space="preserve">nterprise </w:t>
        </w:r>
        <w:r w:rsidR="0002527C">
          <w:rPr>
            <w:rStyle w:val="Hyperlink"/>
          </w:rPr>
          <w:t>A</w:t>
        </w:r>
        <w:r w:rsidRPr="00344EFA">
          <w:rPr>
            <w:rStyle w:val="Hyperlink"/>
          </w:rPr>
          <w:t>greements</w:t>
        </w:r>
      </w:hyperlink>
      <w:r w:rsidRPr="000B3096">
        <w:t>.</w:t>
      </w:r>
      <w:r w:rsidRPr="000041E4">
        <w:rPr>
          <w:sz w:val="20"/>
          <w:vertAlign w:val="superscript"/>
        </w:rPr>
        <w:footnoteReference w:id="3"/>
      </w:r>
      <w:r w:rsidRPr="000B3096">
        <w:t xml:space="preserve">  </w:t>
      </w:r>
    </w:p>
    <w:p w14:paraId="746D905B" w14:textId="23862A46" w:rsidR="00156530" w:rsidRDefault="00156530" w:rsidP="00156530">
      <w:pPr>
        <w:pStyle w:val="Heading2"/>
      </w:pPr>
      <w:bookmarkStart w:id="3" w:name="_Toc214401083"/>
      <w:bookmarkStart w:id="4" w:name="_Hlk207916564"/>
      <w:r>
        <w:t>Application</w:t>
      </w:r>
      <w:bookmarkEnd w:id="3"/>
    </w:p>
    <w:p w14:paraId="59FE81FF" w14:textId="77777777" w:rsidR="00902C24" w:rsidRPr="001066C0" w:rsidRDefault="00902C24" w:rsidP="00902C24">
      <w:pPr>
        <w:pStyle w:val="BulletNumbers"/>
      </w:pPr>
      <w:r w:rsidRPr="001066C0">
        <w:t>Th</w:t>
      </w:r>
      <w:r>
        <w:t>ese guidelines are</w:t>
      </w:r>
      <w:r w:rsidRPr="001066C0">
        <w:t xml:space="preserve"> a whole-of-government strategy issued by the Head of Service under section 17(2)(a) of the </w:t>
      </w:r>
      <w:hyperlink r:id="rId19">
        <w:r w:rsidRPr="618007EF">
          <w:rPr>
            <w:rStyle w:val="Hyperlink"/>
            <w:i/>
            <w:iCs/>
          </w:rPr>
          <w:t>Public Sector Management Act 1994</w:t>
        </w:r>
      </w:hyperlink>
      <w:r w:rsidRPr="00600CCD">
        <w:rPr>
          <w:i/>
          <w:iCs/>
        </w:rPr>
        <w:t xml:space="preserve"> </w:t>
      </w:r>
      <w:r w:rsidRPr="001066C0">
        <w:t xml:space="preserve">(PSM Act) and binds all employees engaged under the PSM Act and all public sector employers within the meaning of section 152(1)(a) of the PSM Act. </w:t>
      </w:r>
    </w:p>
    <w:p w14:paraId="13CDFEB6" w14:textId="77777777" w:rsidR="00902C24" w:rsidRPr="001066C0" w:rsidRDefault="00902C24" w:rsidP="00902C24">
      <w:pPr>
        <w:pStyle w:val="BulletNumbers"/>
      </w:pPr>
      <w:proofErr w:type="gramStart"/>
      <w:r w:rsidRPr="001066C0">
        <w:t>For the purpose of</w:t>
      </w:r>
      <w:proofErr w:type="gramEnd"/>
      <w:r w:rsidRPr="001066C0">
        <w:t xml:space="preserve"> </w:t>
      </w:r>
      <w:r>
        <w:t>these guidelines</w:t>
      </w:r>
      <w:r w:rsidRPr="001066C0">
        <w:t xml:space="preserve">, any reference to the Head of Service and/or Director General is also taken to be a reference to a public sector employer within the meaning of section 152(1) of the PSM Act. </w:t>
      </w:r>
    </w:p>
    <w:p w14:paraId="60B1553F" w14:textId="082BF2A3" w:rsidR="00902C24" w:rsidRDefault="00902C24" w:rsidP="00902C24">
      <w:pPr>
        <w:pStyle w:val="BulletNumbers"/>
      </w:pPr>
      <w:proofErr w:type="gramStart"/>
      <w:r w:rsidRPr="001066C0">
        <w:t>For the purpose of</w:t>
      </w:r>
      <w:proofErr w:type="gramEnd"/>
      <w:r w:rsidRPr="001066C0">
        <w:t xml:space="preserve"> </w:t>
      </w:r>
      <w:r>
        <w:t>these guidelines</w:t>
      </w:r>
      <w:r w:rsidRPr="001066C0">
        <w:t xml:space="preserve">, </w:t>
      </w:r>
      <w:r w:rsidRPr="00902C24">
        <w:rPr>
          <w:b/>
          <w:bCs/>
        </w:rPr>
        <w:t>employees</w:t>
      </w:r>
      <w:r w:rsidRPr="001066C0">
        <w:t xml:space="preserve"> are defined as including executives</w:t>
      </w:r>
      <w:r>
        <w:rPr>
          <w:rStyle w:val="FootnoteReference"/>
        </w:rPr>
        <w:footnoteReference w:id="4"/>
      </w:r>
      <w:r w:rsidRPr="001066C0">
        <w:t>, officers, temporary employees</w:t>
      </w:r>
      <w:r>
        <w:t xml:space="preserve"> (other than casuals)</w:t>
      </w:r>
      <w:r w:rsidRPr="001066C0">
        <w:t>, public sector employers and a public sector employer’s staff member who is employed on either a permanent or temporary</w:t>
      </w:r>
      <w:r>
        <w:t xml:space="preserve"> (other than casuals)</w:t>
      </w:r>
      <w:r w:rsidRPr="001066C0">
        <w:t xml:space="preserve"> basis</w:t>
      </w:r>
      <w:r>
        <w:t xml:space="preserve">. </w:t>
      </w:r>
    </w:p>
    <w:p w14:paraId="0E203685" w14:textId="77777777" w:rsidR="00902C24" w:rsidRPr="001066C0" w:rsidRDefault="00902C24" w:rsidP="00902C24">
      <w:pPr>
        <w:pStyle w:val="BulletNumbers"/>
      </w:pPr>
      <w:r w:rsidRPr="785F35DB">
        <w:t>For clarity, these guidelines do not apply to casual employees.</w:t>
      </w:r>
    </w:p>
    <w:p w14:paraId="04D83DA0" w14:textId="77777777" w:rsidR="00902C24" w:rsidRPr="000B3096" w:rsidRDefault="00902C24" w:rsidP="00902C24">
      <w:pPr>
        <w:pStyle w:val="BulletNumbers"/>
      </w:pPr>
      <w:proofErr w:type="gramStart"/>
      <w:r w:rsidRPr="001066C0">
        <w:t>For the purpose of</w:t>
      </w:r>
      <w:proofErr w:type="gramEnd"/>
      <w:r w:rsidRPr="001066C0">
        <w:t xml:space="preserve"> </w:t>
      </w:r>
      <w:r>
        <w:t>these guidelines</w:t>
      </w:r>
      <w:r w:rsidRPr="001066C0">
        <w:t xml:space="preserve">, any necessary change is made to the terms of the </w:t>
      </w:r>
      <w:r>
        <w:t>guidelines</w:t>
      </w:r>
      <w:r w:rsidRPr="001066C0">
        <w:t xml:space="preserve"> </w:t>
      </w:r>
      <w:proofErr w:type="gramStart"/>
      <w:r w:rsidRPr="001066C0">
        <w:t>so as to</w:t>
      </w:r>
      <w:proofErr w:type="gramEnd"/>
      <w:r w:rsidRPr="001066C0">
        <w:t xml:space="preserve"> apply the </w:t>
      </w:r>
      <w:r>
        <w:t>guidelines</w:t>
      </w:r>
      <w:r w:rsidRPr="001066C0">
        <w:t xml:space="preserve"> to a public sector employer and their staff members. </w:t>
      </w:r>
    </w:p>
    <w:p w14:paraId="1C937765" w14:textId="5DE3D979" w:rsidR="00156530" w:rsidRDefault="00902C24" w:rsidP="00156530">
      <w:pPr>
        <w:pStyle w:val="Heading2"/>
      </w:pPr>
      <w:bookmarkStart w:id="5" w:name="_Toc214401084"/>
      <w:bookmarkStart w:id="6" w:name="_Hlk207910378"/>
      <w:bookmarkEnd w:id="4"/>
      <w:r>
        <w:t>Entitlements</w:t>
      </w:r>
      <w:bookmarkEnd w:id="5"/>
    </w:p>
    <w:bookmarkEnd w:id="6"/>
    <w:p w14:paraId="3F3606F3" w14:textId="77777777" w:rsidR="00902C24" w:rsidRPr="0002527C" w:rsidRDefault="00902C24" w:rsidP="00902C24">
      <w:pPr>
        <w:pStyle w:val="BulletNumbers"/>
        <w:rPr>
          <w:rFonts w:cs="Calibri"/>
        </w:rPr>
      </w:pPr>
      <w:r w:rsidRPr="0002527C">
        <w:rPr>
          <w:rFonts w:cs="Calibri"/>
        </w:rPr>
        <w:t>A personal leave ‘balance’ or ‘credit’ is the amount of personal leave an employee has available to use. Personal leave credit accrues progressively over an employee’s eligible period of employment.</w:t>
      </w:r>
    </w:p>
    <w:p w14:paraId="795E1DC3" w14:textId="77777777" w:rsidR="00902C24" w:rsidRPr="0002527C" w:rsidRDefault="00902C24" w:rsidP="00902C24">
      <w:pPr>
        <w:pStyle w:val="BulletNumbers"/>
        <w:rPr>
          <w:rStyle w:val="FootnoteReference"/>
          <w:rFonts w:cs="Calibri"/>
          <w:vertAlign w:val="baseline"/>
        </w:rPr>
      </w:pPr>
      <w:bookmarkStart w:id="7" w:name="_Hlk170299627"/>
      <w:r w:rsidRPr="0002527C">
        <w:rPr>
          <w:rFonts w:cs="Calibri"/>
        </w:rPr>
        <w:t xml:space="preserve">A </w:t>
      </w:r>
      <w:r w:rsidRPr="0002527C">
        <w:rPr>
          <w:rFonts w:cs="Calibri"/>
          <w:b/>
          <w:bCs/>
        </w:rPr>
        <w:t>permanent full-time employee</w:t>
      </w:r>
      <w:r w:rsidRPr="0002527C">
        <w:rPr>
          <w:rFonts w:cs="Calibri"/>
        </w:rPr>
        <w:t xml:space="preserve"> receives 3.6 weeks (18 days) personal leave credit on commencement. From there, personal leave accrues daily at approximately:</w:t>
      </w:r>
      <w:r w:rsidRPr="0002527C">
        <w:rPr>
          <w:rStyle w:val="FootnoteReference"/>
          <w:rFonts w:cs="Calibri"/>
        </w:rPr>
        <w:t xml:space="preserve"> </w:t>
      </w:r>
    </w:p>
    <w:p w14:paraId="1BC740DB" w14:textId="77777777" w:rsidR="00902C24" w:rsidRPr="0002527C" w:rsidRDefault="00902C24" w:rsidP="00902C24">
      <w:pPr>
        <w:pStyle w:val="BulletNumbers"/>
        <w:numPr>
          <w:ilvl w:val="1"/>
          <w:numId w:val="3"/>
        </w:numPr>
        <w:rPr>
          <w:rFonts w:cs="Calibri"/>
        </w:rPr>
      </w:pPr>
      <w:r w:rsidRPr="0002527C">
        <w:rPr>
          <w:rFonts w:cs="Calibri"/>
        </w:rPr>
        <w:lastRenderedPageBreak/>
        <w:t>2.54 hours each week for an employee who works 36.75 hours a week, totalling 132.3 hours each year (i.e. 3.6 weeks in a year).</w:t>
      </w:r>
    </w:p>
    <w:p w14:paraId="079D9B9D" w14:textId="7405C0ED" w:rsidR="00902C24" w:rsidRPr="0002527C" w:rsidRDefault="00902C24" w:rsidP="00902C24">
      <w:pPr>
        <w:pStyle w:val="BulletNumbers"/>
        <w:numPr>
          <w:ilvl w:val="1"/>
          <w:numId w:val="3"/>
        </w:numPr>
        <w:rPr>
          <w:rFonts w:cs="Calibri"/>
        </w:rPr>
      </w:pPr>
      <w:r w:rsidRPr="0002527C">
        <w:rPr>
          <w:rFonts w:cs="Calibri"/>
        </w:rPr>
        <w:t>2.62 hours each week for an employee who works 38 hours a week, totalling 136.8 hours each year (i.e. 3.6 weeks in a year).</w:t>
      </w:r>
    </w:p>
    <w:bookmarkEnd w:id="7"/>
    <w:p w14:paraId="44677B33" w14:textId="77777777" w:rsidR="00902C24" w:rsidRPr="0002527C" w:rsidRDefault="00902C24" w:rsidP="00902C24">
      <w:pPr>
        <w:pStyle w:val="BulletNumbers"/>
        <w:rPr>
          <w:rFonts w:cs="Calibri"/>
        </w:rPr>
      </w:pPr>
      <w:r w:rsidRPr="0002527C">
        <w:rPr>
          <w:rFonts w:cs="Calibri"/>
        </w:rPr>
        <w:t xml:space="preserve">A </w:t>
      </w:r>
      <w:r w:rsidRPr="0002527C">
        <w:rPr>
          <w:rFonts w:cs="Calibri"/>
          <w:b/>
          <w:bCs/>
        </w:rPr>
        <w:t xml:space="preserve">long-term temporary employee </w:t>
      </w:r>
      <w:r w:rsidRPr="0002527C">
        <w:rPr>
          <w:rFonts w:cs="Calibri"/>
        </w:rPr>
        <w:t>(employees on temporary contracts of 12 months or more)</w:t>
      </w:r>
      <w:r w:rsidRPr="0002527C">
        <w:rPr>
          <w:rFonts w:cs="Calibri"/>
          <w:b/>
          <w:bCs/>
        </w:rPr>
        <w:t xml:space="preserve"> </w:t>
      </w:r>
      <w:r w:rsidRPr="0002527C">
        <w:rPr>
          <w:rFonts w:cs="Calibri"/>
        </w:rPr>
        <w:t xml:space="preserve">receives the same credit on commencement and same accrual rate as a permanent employee. </w:t>
      </w:r>
    </w:p>
    <w:p w14:paraId="50EE30F6" w14:textId="77777777" w:rsidR="00902C24" w:rsidRPr="0002527C" w:rsidRDefault="00902C24" w:rsidP="00902C24">
      <w:pPr>
        <w:pStyle w:val="BulletNumbers"/>
        <w:rPr>
          <w:rFonts w:cs="Calibri"/>
        </w:rPr>
      </w:pPr>
      <w:r w:rsidRPr="0002527C">
        <w:rPr>
          <w:rFonts w:cs="Calibri"/>
        </w:rPr>
        <w:t xml:space="preserve">A </w:t>
      </w:r>
      <w:r w:rsidRPr="0002527C">
        <w:rPr>
          <w:rFonts w:cs="Calibri"/>
          <w:b/>
          <w:bCs/>
        </w:rPr>
        <w:t>short-term temporary employee</w:t>
      </w:r>
      <w:r w:rsidRPr="0002527C">
        <w:rPr>
          <w:rFonts w:cs="Calibri"/>
        </w:rPr>
        <w:t xml:space="preserve"> (employees on temporary contracts of less than 12 months) receives 1.8 weeks personal leave credit on commencement. From there, personal leave accrues daily at the same rate as a permanent employee. They receive a further 1.8 weeks credit upon appointed to a permanent position or where their contract is extended beyond 12 months. </w:t>
      </w:r>
    </w:p>
    <w:p w14:paraId="5CD93A9C" w14:textId="77777777" w:rsidR="00902C24" w:rsidRPr="0002527C" w:rsidRDefault="00902C24" w:rsidP="00902C24">
      <w:pPr>
        <w:pStyle w:val="BulletNumbers"/>
        <w:rPr>
          <w:rFonts w:cs="Calibri"/>
        </w:rPr>
      </w:pPr>
      <w:r w:rsidRPr="0002527C">
        <w:rPr>
          <w:rFonts w:cs="Calibri"/>
        </w:rPr>
        <w:t xml:space="preserve">A </w:t>
      </w:r>
      <w:r w:rsidRPr="0002527C">
        <w:rPr>
          <w:rFonts w:cs="Calibri"/>
          <w:b/>
          <w:bCs/>
        </w:rPr>
        <w:t>part-time employee</w:t>
      </w:r>
      <w:r w:rsidRPr="0002527C">
        <w:rPr>
          <w:rFonts w:cs="Calibri"/>
        </w:rPr>
        <w:t xml:space="preserve"> or an employee working less than full-time hours is credited and accrues personal leave on a pro-rata basis.</w:t>
      </w:r>
      <w:r w:rsidRPr="0002527C">
        <w:rPr>
          <w:rStyle w:val="FootnoteReference"/>
          <w:rFonts w:cs="Calibri"/>
        </w:rPr>
        <w:footnoteReference w:id="5"/>
      </w:r>
      <w:r w:rsidRPr="0002527C">
        <w:rPr>
          <w:rFonts w:cs="Calibri"/>
        </w:rPr>
        <w:t xml:space="preserve"> This includes employees working part-time on a long-term or short-term temporary contract. </w:t>
      </w:r>
    </w:p>
    <w:p w14:paraId="14AA6C6F" w14:textId="77777777" w:rsidR="00902C24" w:rsidRPr="0002527C" w:rsidRDefault="00902C24" w:rsidP="00902C24">
      <w:pPr>
        <w:pStyle w:val="BulletNumbers"/>
        <w:rPr>
          <w:rFonts w:cs="Calibri"/>
        </w:rPr>
      </w:pPr>
      <w:r w:rsidRPr="0002527C">
        <w:rPr>
          <w:rFonts w:cs="Calibri"/>
        </w:rPr>
        <w:t xml:space="preserve">Eligible employees may request that personal leave accrued with a previous public service employer be recognised for the purposes of personal leave credit within the ACTPS in accordance with the </w:t>
      </w:r>
      <w:hyperlink r:id="rId20" w:history="1">
        <w:r w:rsidRPr="0002527C">
          <w:rPr>
            <w:rStyle w:val="Hyperlink"/>
            <w:rFonts w:cs="Calibri"/>
          </w:rPr>
          <w:t>Public Sector Management Standards 2016</w:t>
        </w:r>
      </w:hyperlink>
      <w:r w:rsidRPr="0002527C">
        <w:rPr>
          <w:rFonts w:cs="Calibri"/>
        </w:rPr>
        <w:t>.</w:t>
      </w:r>
      <w:r w:rsidRPr="0002527C">
        <w:rPr>
          <w:rStyle w:val="FootnoteReference"/>
          <w:rFonts w:cs="Calibri"/>
        </w:rPr>
        <w:footnoteReference w:id="6"/>
      </w:r>
      <w:r w:rsidRPr="0002527C">
        <w:rPr>
          <w:rFonts w:cs="Calibri"/>
        </w:rPr>
        <w:t xml:space="preserve"> </w:t>
      </w:r>
    </w:p>
    <w:p w14:paraId="690E982B" w14:textId="77777777" w:rsidR="00902C24" w:rsidRPr="0002527C" w:rsidRDefault="00902C24" w:rsidP="00902C24">
      <w:pPr>
        <w:pStyle w:val="BulletNumbers"/>
        <w:rPr>
          <w:rFonts w:cs="Calibri"/>
        </w:rPr>
      </w:pPr>
      <w:r w:rsidRPr="0002527C">
        <w:rPr>
          <w:rFonts w:cs="Calibri"/>
        </w:rPr>
        <w:t xml:space="preserve">There is no limit as to how much personal leave an employee can accrue. </w:t>
      </w:r>
    </w:p>
    <w:p w14:paraId="6FF08C26" w14:textId="77777777" w:rsidR="00902C24" w:rsidRPr="0002527C" w:rsidRDefault="00902C24" w:rsidP="00902C24">
      <w:pPr>
        <w:pStyle w:val="BulletNumbers"/>
        <w:rPr>
          <w:rFonts w:cs="Calibri"/>
        </w:rPr>
      </w:pPr>
      <w:r w:rsidRPr="0002527C">
        <w:rPr>
          <w:rFonts w:cs="Calibri"/>
        </w:rPr>
        <w:t>Personal leave does not accrue during periods of unauthorised absence or periods of leave without pay that do not count as service.</w:t>
      </w:r>
    </w:p>
    <w:p w14:paraId="7A3D8889" w14:textId="77777777" w:rsidR="00902C24" w:rsidRPr="0002527C" w:rsidRDefault="00902C24" w:rsidP="00902C24">
      <w:pPr>
        <w:pStyle w:val="BulletNumbers"/>
        <w:rPr>
          <w:rFonts w:cs="Calibri"/>
        </w:rPr>
      </w:pPr>
      <w:r w:rsidRPr="0002527C">
        <w:rPr>
          <w:rFonts w:cs="Calibri"/>
        </w:rPr>
        <w:t xml:space="preserve">An employee in receipt of workers compensation for more than 45 weeks will accrue personal leave based on hours worked. </w:t>
      </w:r>
    </w:p>
    <w:p w14:paraId="25ABDDFE" w14:textId="77777777" w:rsidR="00902C24" w:rsidRDefault="00902C24" w:rsidP="00902C24">
      <w:pPr>
        <w:pStyle w:val="BulletNumbers"/>
        <w:rPr>
          <w:rFonts w:asciiTheme="minorHAnsi" w:hAnsiTheme="minorHAnsi" w:cstheme="minorHAnsi"/>
        </w:rPr>
      </w:pPr>
      <w:r w:rsidRPr="0002527C">
        <w:rPr>
          <w:rFonts w:cs="Calibri"/>
        </w:rPr>
        <w:t>Personal leave credit is not paid out when employment ends</w:t>
      </w:r>
      <w:r w:rsidRPr="002426D5">
        <w:rPr>
          <w:rFonts w:asciiTheme="minorHAnsi" w:hAnsiTheme="minorHAnsi" w:cstheme="minorHAnsi"/>
        </w:rPr>
        <w:t>.</w:t>
      </w:r>
    </w:p>
    <w:p w14:paraId="718E8DD4" w14:textId="3628CCDF" w:rsidR="00902C24" w:rsidRDefault="00902C24" w:rsidP="00902C24">
      <w:pPr>
        <w:pStyle w:val="Heading2"/>
      </w:pPr>
      <w:bookmarkStart w:id="8" w:name="_Toc214401085"/>
      <w:r>
        <w:t>Conditions</w:t>
      </w:r>
      <w:bookmarkEnd w:id="8"/>
    </w:p>
    <w:p w14:paraId="22160C2B" w14:textId="77777777" w:rsidR="00902C24" w:rsidRPr="00975F6A" w:rsidRDefault="00902C24" w:rsidP="00902C24">
      <w:pPr>
        <w:pStyle w:val="BulletNumbers"/>
      </w:pPr>
      <w:r w:rsidRPr="00975F6A">
        <w:t xml:space="preserve">Employees may be granted paid </w:t>
      </w:r>
      <w:r>
        <w:t>personal leave</w:t>
      </w:r>
      <w:r w:rsidRPr="00975F6A">
        <w:t xml:space="preserve"> up to their available credit from their first day of service. </w:t>
      </w:r>
    </w:p>
    <w:p w14:paraId="42DD81FF" w14:textId="77777777" w:rsidR="00902C24" w:rsidRPr="00ED60CE" w:rsidRDefault="00902C24" w:rsidP="00902C24">
      <w:pPr>
        <w:pStyle w:val="BulletNumbers"/>
        <w:rPr>
          <w:rFonts w:asciiTheme="minorHAnsi" w:hAnsiTheme="minorHAnsi" w:cstheme="minorHAnsi"/>
        </w:rPr>
      </w:pPr>
      <w:r w:rsidRPr="00ED60CE">
        <w:t xml:space="preserve">In </w:t>
      </w:r>
      <w:r>
        <w:t xml:space="preserve">stipulated </w:t>
      </w:r>
      <w:bookmarkStart w:id="9" w:name="_Hlk176180318"/>
      <w:r w:rsidRPr="00ED60CE">
        <w:t>circumstances or when requested by the delegate, employees must provide</w:t>
      </w:r>
      <w:r w:rsidRPr="00ED60CE">
        <w:rPr>
          <w:b/>
          <w:bCs/>
        </w:rPr>
        <w:t xml:space="preserve"> </w:t>
      </w:r>
      <w:r w:rsidRPr="00ED60CE">
        <w:t xml:space="preserve">documentary evidence </w:t>
      </w:r>
      <w:bookmarkEnd w:id="9"/>
      <w:r w:rsidRPr="00ED60CE">
        <w:t>when accessing paid or unpaid personal leave</w:t>
      </w:r>
      <w:r w:rsidRPr="00ED60CE">
        <w:rPr>
          <w:rFonts w:asciiTheme="minorHAnsi" w:hAnsiTheme="minorHAnsi" w:cstheme="minorHAnsi"/>
        </w:rPr>
        <w:t xml:space="preserve"> (also referred to as personal leave without pay). </w:t>
      </w:r>
    </w:p>
    <w:p w14:paraId="46D0EC34" w14:textId="77777777" w:rsidR="00902C24" w:rsidRPr="00912AC2" w:rsidRDefault="00902C24" w:rsidP="00902C24">
      <w:pPr>
        <w:pStyle w:val="BulletNumbers"/>
        <w:rPr>
          <w:rFonts w:asciiTheme="minorHAnsi" w:hAnsiTheme="minorHAnsi" w:cstheme="minorHAnsi"/>
        </w:rPr>
      </w:pPr>
      <w:r w:rsidRPr="00450240">
        <w:rPr>
          <w:b/>
          <w:bCs/>
        </w:rPr>
        <w:t xml:space="preserve">Paid </w:t>
      </w:r>
      <w:r>
        <w:rPr>
          <w:b/>
          <w:bCs/>
        </w:rPr>
        <w:t>personal leave</w:t>
      </w:r>
      <w:r>
        <w:t xml:space="preserve"> may be approved </w:t>
      </w:r>
      <w:r w:rsidRPr="00450240">
        <w:rPr>
          <w:b/>
          <w:bCs/>
        </w:rPr>
        <w:t>without documentary evidence</w:t>
      </w:r>
      <w:r>
        <w:t xml:space="preserve"> subject to the following restrictions: </w:t>
      </w:r>
    </w:p>
    <w:p w14:paraId="44FB1AEF" w14:textId="77777777" w:rsidR="00902C24" w:rsidRPr="003334AD" w:rsidRDefault="00902C24" w:rsidP="003334AD">
      <w:pPr>
        <w:pStyle w:val="BulletNumbers"/>
        <w:numPr>
          <w:ilvl w:val="1"/>
          <w:numId w:val="3"/>
        </w:numPr>
        <w:rPr>
          <w:rFonts w:cs="Calibri"/>
        </w:rPr>
      </w:pPr>
      <w:r w:rsidRPr="003334AD">
        <w:rPr>
          <w:rFonts w:cs="Calibri"/>
        </w:rPr>
        <w:t xml:space="preserve">The total number of days that paid personal leave may be accessed without documentary evidence is </w:t>
      </w:r>
      <w:r w:rsidRPr="003334AD">
        <w:rPr>
          <w:rFonts w:cs="Calibri"/>
          <w:b/>
        </w:rPr>
        <w:t xml:space="preserve">7 days in an accrual year. </w:t>
      </w:r>
      <w:r w:rsidRPr="003334AD">
        <w:rPr>
          <w:rFonts w:cs="Calibri"/>
        </w:rPr>
        <w:t xml:space="preserve">The 7 day maximum will reset each accrual year. </w:t>
      </w:r>
    </w:p>
    <w:p w14:paraId="6E210058" w14:textId="48FAAB69" w:rsidR="00902C24" w:rsidRPr="003334AD" w:rsidRDefault="00902C24" w:rsidP="00334D19">
      <w:pPr>
        <w:pStyle w:val="BulletNumbers"/>
        <w:numPr>
          <w:ilvl w:val="1"/>
          <w:numId w:val="3"/>
        </w:numPr>
        <w:rPr>
          <w:rFonts w:cs="Calibri"/>
        </w:rPr>
      </w:pPr>
      <w:r w:rsidRPr="003334AD">
        <w:rPr>
          <w:rFonts w:cs="Calibri"/>
        </w:rPr>
        <w:t xml:space="preserve">The maximum number of days that paid personal leave may be accessed in a row without documentary evidence is </w:t>
      </w:r>
      <w:r w:rsidRPr="003334AD">
        <w:rPr>
          <w:rFonts w:cs="Calibri"/>
          <w:b/>
          <w:bCs/>
        </w:rPr>
        <w:t>3 consecutive days</w:t>
      </w:r>
      <w:r w:rsidRPr="003334AD">
        <w:rPr>
          <w:rFonts w:cs="Calibri"/>
        </w:rPr>
        <w:t xml:space="preserve"> </w:t>
      </w:r>
      <w:r w:rsidRPr="003334AD">
        <w:rPr>
          <w:rFonts w:cs="Calibri"/>
          <w:b/>
          <w:bCs/>
        </w:rPr>
        <w:t xml:space="preserve">on each occasion. </w:t>
      </w:r>
    </w:p>
    <w:p w14:paraId="639CE83E" w14:textId="7A7CC6B5" w:rsidR="00156530" w:rsidRDefault="00902C24" w:rsidP="00156530">
      <w:pPr>
        <w:pStyle w:val="Heading3"/>
      </w:pPr>
      <w:bookmarkStart w:id="10" w:name="_Toc214401086"/>
      <w:bookmarkStart w:id="11" w:name="_Hlk207910277"/>
      <w:r>
        <w:lastRenderedPageBreak/>
        <w:t>Personal leave without pay</w:t>
      </w:r>
      <w:bookmarkEnd w:id="10"/>
    </w:p>
    <w:bookmarkEnd w:id="11"/>
    <w:p w14:paraId="5A1E86C4" w14:textId="77777777" w:rsidR="00902C24" w:rsidRPr="00D16880" w:rsidRDefault="00902C24" w:rsidP="00902C24">
      <w:pPr>
        <w:pStyle w:val="BulletNumbers"/>
        <w:rPr>
          <w:rFonts w:asciiTheme="minorHAnsi" w:hAnsiTheme="minorHAnsi" w:cstheme="minorHAnsi"/>
        </w:rPr>
      </w:pPr>
      <w:r w:rsidRPr="00E20053">
        <w:rPr>
          <w:rFonts w:asciiTheme="minorHAnsi" w:hAnsiTheme="minorHAnsi" w:cstheme="minorHAnsi"/>
        </w:rPr>
        <w:t xml:space="preserve">The manager or delegate must </w:t>
      </w:r>
      <w:r>
        <w:rPr>
          <w:rFonts w:asciiTheme="minorHAnsi" w:hAnsiTheme="minorHAnsi" w:cstheme="minorHAnsi"/>
        </w:rPr>
        <w:t>provide the</w:t>
      </w:r>
      <w:r w:rsidRPr="00E20053">
        <w:rPr>
          <w:rFonts w:asciiTheme="minorHAnsi" w:hAnsiTheme="minorHAnsi" w:cstheme="minorHAnsi"/>
        </w:rPr>
        <w:t xml:space="preserve"> employee </w:t>
      </w:r>
      <w:r>
        <w:rPr>
          <w:rFonts w:asciiTheme="minorHAnsi" w:hAnsiTheme="minorHAnsi" w:cstheme="minorHAnsi"/>
        </w:rPr>
        <w:t>with reasonable opportunity to produce</w:t>
      </w:r>
      <w:r w:rsidRPr="00E20053">
        <w:rPr>
          <w:rFonts w:asciiTheme="minorHAnsi" w:hAnsiTheme="minorHAnsi" w:cstheme="minorHAnsi"/>
        </w:rPr>
        <w:t xml:space="preserve"> </w:t>
      </w:r>
      <w:r w:rsidRPr="00E20053">
        <w:t>documentary evidence</w:t>
      </w:r>
      <w:r>
        <w:t xml:space="preserve"> in a reasonable time</w:t>
      </w:r>
      <w:r w:rsidRPr="00E20053">
        <w:t xml:space="preserve"> </w:t>
      </w:r>
      <w:r>
        <w:t>when approving a personal leave application (see ‘Notifying and Applying for personal leave’ section)</w:t>
      </w:r>
      <w:r w:rsidRPr="00E20053">
        <w:t xml:space="preserve">. </w:t>
      </w:r>
      <w:r>
        <w:t>Where the employee does not produce evidence</w:t>
      </w:r>
      <w:r w:rsidRPr="001929EB">
        <w:rPr>
          <w:rFonts w:asciiTheme="minorHAnsi" w:hAnsiTheme="minorHAnsi" w:cstheme="minorHAnsi"/>
        </w:rPr>
        <w:t xml:space="preserve"> </w:t>
      </w:r>
      <w:r>
        <w:rPr>
          <w:rFonts w:asciiTheme="minorHAnsi" w:hAnsiTheme="minorHAnsi" w:cstheme="minorHAnsi"/>
        </w:rPr>
        <w:t>and this triggers the employee to exceed the 3 consecutive days or 7 day maximum without documentary evidence</w:t>
      </w:r>
      <w:r>
        <w:t xml:space="preserve">, the leave is to be processed without pay. In these circumstances, the employee may apply </w:t>
      </w:r>
      <w:r>
        <w:rPr>
          <w:rFonts w:asciiTheme="minorHAnsi" w:hAnsiTheme="minorHAnsi" w:cstheme="minorHAnsi"/>
        </w:rPr>
        <w:t>to utilise another suitable leave type as appropriate to their available credits</w:t>
      </w:r>
      <w:r>
        <w:t xml:space="preserve">. </w:t>
      </w:r>
    </w:p>
    <w:p w14:paraId="6024FF8B" w14:textId="77777777" w:rsidR="00902C24" w:rsidRDefault="00902C24" w:rsidP="00902C24">
      <w:pPr>
        <w:pStyle w:val="BulletNumbers"/>
      </w:pPr>
      <w:r w:rsidRPr="008D6862">
        <w:t xml:space="preserve">An employee may </w:t>
      </w:r>
      <w:r>
        <w:t>apply for</w:t>
      </w:r>
      <w:r w:rsidRPr="008D6862">
        <w:t xml:space="preserve"> </w:t>
      </w:r>
      <w:r>
        <w:t xml:space="preserve">personal leave without pay (also referred to as </w:t>
      </w:r>
      <w:r w:rsidRPr="009D0DE9">
        <w:t>unpaid personal leave)</w:t>
      </w:r>
      <w:r>
        <w:rPr>
          <w:b/>
          <w:bCs/>
        </w:rPr>
        <w:t xml:space="preserve"> </w:t>
      </w:r>
      <w:r w:rsidRPr="00C96841">
        <w:t>where they are eligible</w:t>
      </w:r>
      <w:r>
        <w:rPr>
          <w:b/>
          <w:bCs/>
        </w:rPr>
        <w:t xml:space="preserve"> </w:t>
      </w:r>
      <w:r>
        <w:t>in accordance with the enterprise agreement provisions</w:t>
      </w:r>
      <w:r w:rsidRPr="008D6862">
        <w:t xml:space="preserve">, including where their </w:t>
      </w:r>
      <w:r>
        <w:t>personal leave</w:t>
      </w:r>
      <w:r w:rsidRPr="008D6862">
        <w:t xml:space="preserve"> credits are </w:t>
      </w:r>
      <w:r>
        <w:t>still available</w:t>
      </w:r>
      <w:r w:rsidRPr="008D6862">
        <w:t>.</w:t>
      </w:r>
      <w:r>
        <w:t xml:space="preserve"> Documentary evidence must be submitted with an application for unpaid personal leave. </w:t>
      </w:r>
      <w:r w:rsidRPr="009F13FF">
        <w:t xml:space="preserve">If documentary evidence </w:t>
      </w:r>
      <w:r>
        <w:t>is not provided</w:t>
      </w:r>
      <w:r w:rsidRPr="009F13FF">
        <w:t xml:space="preserve">, </w:t>
      </w:r>
      <w:r>
        <w:t>the employee</w:t>
      </w:r>
      <w:r w:rsidRPr="009F13FF">
        <w:t xml:space="preserve"> </w:t>
      </w:r>
      <w:r>
        <w:t>does</w:t>
      </w:r>
      <w:r w:rsidRPr="009F13FF">
        <w:t xml:space="preserve"> not meet requirements for </w:t>
      </w:r>
      <w:r>
        <w:t>unpaid personal leave</w:t>
      </w:r>
      <w:r w:rsidRPr="009F13FF">
        <w:t xml:space="preserve"> and </w:t>
      </w:r>
      <w:r>
        <w:t>may</w:t>
      </w:r>
      <w:r w:rsidRPr="009F13FF">
        <w:t xml:space="preserve"> be directed to apply for another suitable leave type.</w:t>
      </w:r>
      <w:r>
        <w:t xml:space="preserve"> </w:t>
      </w:r>
    </w:p>
    <w:p w14:paraId="066C5862" w14:textId="77777777" w:rsidR="00902C24" w:rsidRPr="009F13FF" w:rsidRDefault="00902C24" w:rsidP="00902C24">
      <w:pPr>
        <w:pStyle w:val="BulletNumbers"/>
      </w:pPr>
      <w:r w:rsidRPr="00522EF1">
        <w:rPr>
          <w:b/>
          <w:bCs/>
        </w:rPr>
        <w:t xml:space="preserve">Short-term </w:t>
      </w:r>
      <w:r>
        <w:rPr>
          <w:b/>
          <w:bCs/>
        </w:rPr>
        <w:t>t</w:t>
      </w:r>
      <w:r w:rsidRPr="00522EF1">
        <w:rPr>
          <w:b/>
          <w:bCs/>
        </w:rPr>
        <w:t>emporary employees</w:t>
      </w:r>
      <w:r w:rsidRPr="000A12F8">
        <w:t xml:space="preserve"> may be granted</w:t>
      </w:r>
      <w:r w:rsidRPr="00815EC9">
        <w:t xml:space="preserve"> 20 days unpaid </w:t>
      </w:r>
      <w:r>
        <w:t>personal leave</w:t>
      </w:r>
      <w:r w:rsidRPr="00815EC9">
        <w:t xml:space="preserve"> in their first 12 months of employment.</w:t>
      </w:r>
      <w:r>
        <w:t xml:space="preserve"> </w:t>
      </w:r>
    </w:p>
    <w:p w14:paraId="058755C3" w14:textId="77777777" w:rsidR="00902C24" w:rsidRPr="002426D5" w:rsidRDefault="00902C24" w:rsidP="00902C24">
      <w:pPr>
        <w:pStyle w:val="BulletNumbers"/>
      </w:pPr>
      <w:r>
        <w:t xml:space="preserve">It is important to note that any applications for </w:t>
      </w:r>
      <w:r w:rsidRPr="00E3436C">
        <w:t xml:space="preserve">unpaid </w:t>
      </w:r>
      <w:r>
        <w:t>personal leave will affect the relevant employee’s fortnightly pay and should be submitted as soon as possible to avoid overpayments.</w:t>
      </w:r>
      <w:r w:rsidRPr="00E3436C">
        <w:t xml:space="preserve"> </w:t>
      </w:r>
      <w:r>
        <w:t xml:space="preserve">Where an </w:t>
      </w:r>
      <w:r w:rsidRPr="00E3436C">
        <w:t xml:space="preserve">application </w:t>
      </w:r>
      <w:r>
        <w:t>is</w:t>
      </w:r>
      <w:r w:rsidRPr="00E3436C">
        <w:t xml:space="preserve"> not received </w:t>
      </w:r>
      <w:r>
        <w:t xml:space="preserve">or approved in time to process a salary adjustment for the relevant pay period, employee’s may be contacted with options to rectify an overpayment where one has occurred. </w:t>
      </w:r>
    </w:p>
    <w:p w14:paraId="33F1C91F" w14:textId="77777777" w:rsidR="00902C24" w:rsidRPr="00ED60CE" w:rsidRDefault="00902C24" w:rsidP="00902C24">
      <w:pPr>
        <w:pStyle w:val="BulletNumbers"/>
      </w:pPr>
      <w:r w:rsidRPr="00ED60CE">
        <w:t xml:space="preserve">Any </w:t>
      </w:r>
      <w:r>
        <w:t>unpaid personal leave</w:t>
      </w:r>
      <w:r w:rsidRPr="00ED60CE">
        <w:t xml:space="preserve"> that goes beyond a maximum continuous period of combined</w:t>
      </w:r>
      <w:r>
        <w:t xml:space="preserve"> </w:t>
      </w:r>
      <w:r w:rsidRPr="00ED60CE">
        <w:t>paid and unpaid personal leave of 78 weeks</w:t>
      </w:r>
      <w:r>
        <w:t>,</w:t>
      </w:r>
      <w:r w:rsidRPr="00ED60CE">
        <w:t xml:space="preserve"> does not count as service for any purpose</w:t>
      </w:r>
      <w:r>
        <w:t xml:space="preserve">. For the purposes of continuity towards the 78 weeks, this includes </w:t>
      </w:r>
      <w:r w:rsidRPr="00ED60CE">
        <w:t>other leave types used in lieu of unpaid personal leave</w:t>
      </w:r>
      <w:r>
        <w:t xml:space="preserve">, for example annual leave and long service leave. For clarity, when utilising paid personal leave (including paid annual leave and long service leave in lieu of unpaid personal leave) beyond 78 weeks, these periods will count as service, however, will not break the continuity of the personal leave counter. </w:t>
      </w:r>
    </w:p>
    <w:tbl>
      <w:tblPr>
        <w:tblStyle w:val="Breakoutbox"/>
        <w:tblW w:w="0" w:type="auto"/>
        <w:tblLook w:val="04A0" w:firstRow="1" w:lastRow="0" w:firstColumn="1" w:lastColumn="0" w:noHBand="0" w:noVBand="1"/>
      </w:tblPr>
      <w:tblGrid>
        <w:gridCol w:w="9465"/>
      </w:tblGrid>
      <w:tr w:rsidR="00902C24" w14:paraId="1FEADFEF" w14:textId="77777777" w:rsidTr="00334D19">
        <w:trPr>
          <w:trHeight w:val="3348"/>
        </w:trPr>
        <w:tc>
          <w:tcPr>
            <w:tcW w:w="9465" w:type="dxa"/>
          </w:tcPr>
          <w:p w14:paraId="3CA90D12" w14:textId="77777777" w:rsidR="00334D19" w:rsidRPr="00334D19" w:rsidRDefault="00334D19" w:rsidP="00334D19">
            <w:pPr>
              <w:pStyle w:val="Heading5"/>
              <w:rPr>
                <w:rFonts w:ascii="Calibri" w:hAnsi="Calibri" w:cs="Calibri"/>
                <w:color w:val="7030A0"/>
                <w:sz w:val="20"/>
                <w:szCs w:val="20"/>
              </w:rPr>
            </w:pPr>
            <w:bookmarkStart w:id="12" w:name="_Hlk172295350"/>
            <w:r w:rsidRPr="00334D19">
              <w:rPr>
                <w:rFonts w:ascii="Calibri" w:hAnsi="Calibri" w:cs="Calibri"/>
                <w:color w:val="7030A0"/>
                <w:sz w:val="20"/>
                <w:szCs w:val="20"/>
              </w:rPr>
              <w:t>Example: Personal leave after 78 weeks that does not count as service</w:t>
            </w:r>
          </w:p>
          <w:p w14:paraId="07D560AF" w14:textId="2487453C" w:rsidR="00902C24" w:rsidRPr="00334D19" w:rsidRDefault="00334D19" w:rsidP="00334D19">
            <w:pPr>
              <w:pStyle w:val="ListNumber"/>
              <w:numPr>
                <w:ilvl w:val="0"/>
                <w:numId w:val="0"/>
              </w:numPr>
              <w:spacing w:after="60"/>
              <w:rPr>
                <w:sz w:val="20"/>
              </w:rPr>
            </w:pPr>
            <w:r w:rsidRPr="00334D19">
              <w:rPr>
                <w:sz w:val="20"/>
              </w:rPr>
              <w:t xml:space="preserve">Shia has been on leave for a continuous period of 78 weeks, which includes periods of paid personal leave, unpaid personal leave, annual leave in lieu of personal leave and long service leave in lieu of personal leave. When Shia applied for annual leave and long service leave it was in lieu of personal leave, and therefore it did not break the 78 week continuous period. In accordance with the enterprise agreement, any further unpaid personal leave from the 78 week period will not count as service for any purpose. Shia has exhausted their personal leave credits but has 22.05 hours of annual leave credits available. Shia applies to use their available annual leave credits in lieu of personal leave in accordance with clause E4.59 of the enterprise agreement. This annual leave period will count as </w:t>
            </w:r>
            <w:proofErr w:type="gramStart"/>
            <w:r w:rsidRPr="00334D19">
              <w:rPr>
                <w:sz w:val="20"/>
              </w:rPr>
              <w:t>service,</w:t>
            </w:r>
            <w:proofErr w:type="gramEnd"/>
            <w:r w:rsidRPr="00334D19">
              <w:rPr>
                <w:sz w:val="20"/>
              </w:rPr>
              <w:t xml:space="preserve"> however it will not break the </w:t>
            </w:r>
            <w:proofErr w:type="gramStart"/>
            <w:r w:rsidRPr="00334D19">
              <w:rPr>
                <w:sz w:val="20"/>
              </w:rPr>
              <w:t>78 week</w:t>
            </w:r>
            <w:proofErr w:type="gramEnd"/>
            <w:r w:rsidRPr="00334D19">
              <w:rPr>
                <w:sz w:val="20"/>
              </w:rPr>
              <w:t xml:space="preserve"> count. Once the annual leave has been exhausted, Shia applies for unpaid personal leave. Shia’s leave is approved and this period of leave will not count as service for any purpose as it has progressed past the 78 weeks period.</w:t>
            </w:r>
            <w:bookmarkEnd w:id="12"/>
          </w:p>
        </w:tc>
      </w:tr>
    </w:tbl>
    <w:p w14:paraId="6EC40182" w14:textId="19C1842F" w:rsidR="00902C24" w:rsidRPr="00334D19" w:rsidRDefault="00334D19" w:rsidP="00334D19">
      <w:pPr>
        <w:pStyle w:val="Heading2"/>
      </w:pPr>
      <w:bookmarkStart w:id="13" w:name="_Toc214401087"/>
      <w:r>
        <w:t>Documentary Evidence</w:t>
      </w:r>
      <w:bookmarkEnd w:id="13"/>
    </w:p>
    <w:p w14:paraId="5AA691C6" w14:textId="77777777" w:rsidR="00334D19" w:rsidRPr="00334D19" w:rsidRDefault="00334D19" w:rsidP="00334D19">
      <w:pPr>
        <w:pStyle w:val="BulletNumbers"/>
        <w:rPr>
          <w:rFonts w:cs="Calibri"/>
        </w:rPr>
      </w:pPr>
      <w:r w:rsidRPr="00334D19">
        <w:rPr>
          <w:rFonts w:cs="Calibri"/>
        </w:rPr>
        <w:t>An employee must provide documentary evidence in a timely manner where required.</w:t>
      </w:r>
    </w:p>
    <w:p w14:paraId="433343C7" w14:textId="77777777" w:rsidR="00334D19" w:rsidRPr="00334D19" w:rsidRDefault="00334D19" w:rsidP="00334D19">
      <w:pPr>
        <w:pStyle w:val="BulletNumbers"/>
        <w:rPr>
          <w:rFonts w:cs="Calibri"/>
        </w:rPr>
      </w:pPr>
      <w:r w:rsidRPr="00334D19">
        <w:rPr>
          <w:rFonts w:cs="Calibri"/>
        </w:rPr>
        <w:lastRenderedPageBreak/>
        <w:t xml:space="preserve">Documentary evidence must include a time frame and/or specific dates where the employee is, or expected to be, unfit or absent from duty owing to the circumstances set out in paragraph 1. </w:t>
      </w:r>
    </w:p>
    <w:p w14:paraId="20BC03E2" w14:textId="77777777" w:rsidR="00334D19" w:rsidRPr="00334D19" w:rsidRDefault="00334D19" w:rsidP="00334D19">
      <w:pPr>
        <w:pStyle w:val="BulletNumbers"/>
        <w:rPr>
          <w:rFonts w:cs="Calibri"/>
        </w:rPr>
      </w:pPr>
      <w:r w:rsidRPr="00334D19">
        <w:rPr>
          <w:rFonts w:cs="Calibri"/>
        </w:rPr>
        <w:t>There are two forms of documentary evidence delegates can accept when considering an application for personal leave. These are:</w:t>
      </w:r>
    </w:p>
    <w:p w14:paraId="67EDBFBA" w14:textId="77777777" w:rsidR="00334D19" w:rsidRPr="00334D19" w:rsidRDefault="00334D19" w:rsidP="00334D19">
      <w:pPr>
        <w:pStyle w:val="ListNumber"/>
        <w:numPr>
          <w:ilvl w:val="1"/>
          <w:numId w:val="26"/>
        </w:numPr>
        <w:spacing w:after="60"/>
        <w:rPr>
          <w:rFonts w:cs="Calibri"/>
          <w:szCs w:val="22"/>
        </w:rPr>
      </w:pPr>
      <w:r w:rsidRPr="00334D19">
        <w:rPr>
          <w:rFonts w:cs="Calibri"/>
          <w:b/>
          <w:bCs/>
          <w:szCs w:val="22"/>
        </w:rPr>
        <w:t>Certificate.</w:t>
      </w:r>
    </w:p>
    <w:p w14:paraId="26E13F7A" w14:textId="77777777" w:rsidR="00334D19" w:rsidRPr="00334D19" w:rsidRDefault="00334D19" w:rsidP="00334D19">
      <w:pPr>
        <w:pStyle w:val="ListNumber"/>
        <w:numPr>
          <w:ilvl w:val="1"/>
          <w:numId w:val="26"/>
        </w:numPr>
        <w:spacing w:after="60"/>
        <w:rPr>
          <w:rFonts w:cs="Calibri"/>
        </w:rPr>
      </w:pPr>
      <w:r w:rsidRPr="00334D19">
        <w:rPr>
          <w:rFonts w:cs="Calibri"/>
          <w:b/>
          <w:bCs/>
        </w:rPr>
        <w:t>Statutory Declaration</w:t>
      </w:r>
      <w:r w:rsidRPr="00334D19">
        <w:rPr>
          <w:rFonts w:cs="Calibri"/>
        </w:rPr>
        <w:t>.</w:t>
      </w:r>
    </w:p>
    <w:p w14:paraId="2A4CFD4B" w14:textId="77777777" w:rsidR="00334D19" w:rsidRPr="00334D19" w:rsidRDefault="00334D19" w:rsidP="00334D19">
      <w:pPr>
        <w:pStyle w:val="BulletNumbers"/>
        <w:rPr>
          <w:rFonts w:cs="Calibri"/>
        </w:rPr>
      </w:pPr>
      <w:r w:rsidRPr="00334D19">
        <w:rPr>
          <w:rFonts w:cs="Calibri"/>
        </w:rPr>
        <w:t xml:space="preserve">A </w:t>
      </w:r>
      <w:r w:rsidRPr="00334D19">
        <w:rPr>
          <w:rFonts w:cs="Calibri"/>
          <w:b/>
        </w:rPr>
        <w:t>certificate</w:t>
      </w:r>
      <w:r w:rsidRPr="00334D19">
        <w:rPr>
          <w:rFonts w:cs="Calibri"/>
        </w:rPr>
        <w:t xml:space="preserve"> (also referred to as a medical, carers or attendance certificate) is provided by a registered medical practitioner or registered health professional operating within the scope of their practice.</w:t>
      </w:r>
      <w:r w:rsidRPr="00334D19">
        <w:rPr>
          <w:rStyle w:val="FootnoteReference"/>
          <w:rFonts w:cs="Calibri"/>
        </w:rPr>
        <w:footnoteReference w:id="7"/>
      </w:r>
      <w:r w:rsidRPr="00334D19">
        <w:rPr>
          <w:rFonts w:cs="Calibri"/>
        </w:rPr>
        <w:t xml:space="preserve"> </w:t>
      </w:r>
    </w:p>
    <w:p w14:paraId="669DF525" w14:textId="77777777" w:rsidR="00334D19" w:rsidRPr="00334D19" w:rsidRDefault="00334D19" w:rsidP="00334D19">
      <w:pPr>
        <w:pStyle w:val="BulletNumbers"/>
        <w:rPr>
          <w:rFonts w:cs="Calibri"/>
        </w:rPr>
      </w:pPr>
      <w:r w:rsidRPr="00334D19">
        <w:rPr>
          <w:rFonts w:cs="Calibri"/>
        </w:rPr>
        <w:t xml:space="preserve">A </w:t>
      </w:r>
      <w:r w:rsidRPr="00334D19">
        <w:rPr>
          <w:rFonts w:cs="Calibri"/>
          <w:b/>
          <w:bCs/>
        </w:rPr>
        <w:t>statutory declaration</w:t>
      </w:r>
      <w:r w:rsidRPr="00334D19">
        <w:rPr>
          <w:rFonts w:cs="Calibri"/>
        </w:rPr>
        <w:t xml:space="preserve"> (also known as a ‘stat dec’) is a legal document that sets out facts the employee declares to be true and accurate, generally in the presence of an authorised witness. Commonwealth statutory declaration requirements apply in the Australian Capital Territory and can be located at </w:t>
      </w:r>
      <w:hyperlink r:id="rId21" w:anchor="commonwealth-and-state-and-territory-statutory-declarations" w:history="1">
        <w:r w:rsidRPr="00334D19">
          <w:rPr>
            <w:rStyle w:val="Hyperlink"/>
            <w:rFonts w:cs="Calibri"/>
          </w:rPr>
          <w:t>About Commonwealth statutory declarations</w:t>
        </w:r>
      </w:hyperlink>
      <w:r w:rsidRPr="00334D19">
        <w:rPr>
          <w:rFonts w:cs="Calibri"/>
        </w:rPr>
        <w:t xml:space="preserve">, including to those of a witness. Recent changes to Commonwealth statutory declarations means they can now be made digitally without a witness via </w:t>
      </w:r>
      <w:hyperlink r:id="rId22" w:history="1">
        <w:r w:rsidRPr="00334D19">
          <w:rPr>
            <w:rStyle w:val="Hyperlink"/>
            <w:rFonts w:cs="Calibri"/>
          </w:rPr>
          <w:t>myGov</w:t>
        </w:r>
      </w:hyperlink>
      <w:r w:rsidRPr="00334D19">
        <w:rPr>
          <w:rFonts w:cs="Calibri"/>
        </w:rPr>
        <w:t>.</w:t>
      </w:r>
    </w:p>
    <w:p w14:paraId="5CD3E5CB" w14:textId="77777777" w:rsidR="00334D19" w:rsidRPr="00334D19" w:rsidRDefault="00334D19" w:rsidP="00334D19">
      <w:pPr>
        <w:pStyle w:val="BulletNumbers"/>
        <w:rPr>
          <w:rFonts w:cs="Calibri"/>
        </w:rPr>
      </w:pPr>
      <w:r w:rsidRPr="00334D19">
        <w:rPr>
          <w:rFonts w:cs="Calibri"/>
        </w:rPr>
        <w:t xml:space="preserve">A statutory declaration made by the employee can be submitted where a certificate is not reasonably practicable. Circumstances </w:t>
      </w:r>
      <w:bookmarkStart w:id="14" w:name="_Hlk176183547"/>
      <w:r w:rsidRPr="00334D19">
        <w:rPr>
          <w:rFonts w:cs="Calibri"/>
        </w:rPr>
        <w:t xml:space="preserve">where a statutory declaration may be appropriate </w:t>
      </w:r>
      <w:bookmarkEnd w:id="14"/>
      <w:r w:rsidRPr="00334D19">
        <w:rPr>
          <w:rFonts w:cs="Calibri"/>
        </w:rPr>
        <w:t>include:</w:t>
      </w:r>
    </w:p>
    <w:p w14:paraId="21D8D5E7" w14:textId="77777777" w:rsidR="00334D19" w:rsidRPr="00334D19" w:rsidRDefault="00334D19" w:rsidP="00334D19">
      <w:pPr>
        <w:pStyle w:val="BulletNumbers"/>
        <w:numPr>
          <w:ilvl w:val="1"/>
          <w:numId w:val="3"/>
        </w:numPr>
        <w:rPr>
          <w:rFonts w:cs="Calibri"/>
        </w:rPr>
      </w:pPr>
      <w:r w:rsidRPr="00334D19">
        <w:rPr>
          <w:rFonts w:cs="Calibri"/>
        </w:rPr>
        <w:t>Where it is not possible for an employee or their immediate family/household member to immediately see a doctor or health professional.</w:t>
      </w:r>
    </w:p>
    <w:p w14:paraId="10C2F426" w14:textId="77777777" w:rsidR="00334D19" w:rsidRPr="00334D19" w:rsidRDefault="00334D19" w:rsidP="00334D19">
      <w:pPr>
        <w:pStyle w:val="BulletNumbers"/>
        <w:numPr>
          <w:ilvl w:val="1"/>
          <w:numId w:val="3"/>
        </w:numPr>
        <w:rPr>
          <w:rFonts w:cs="Calibri"/>
        </w:rPr>
      </w:pPr>
      <w:r w:rsidRPr="00334D19">
        <w:rPr>
          <w:rFonts w:cs="Calibri"/>
        </w:rPr>
        <w:t>Where there is a prolonged or re-occurring health condition and the following apply:</w:t>
      </w:r>
    </w:p>
    <w:p w14:paraId="03528B21" w14:textId="77777777" w:rsidR="00334D19" w:rsidRPr="00334D19" w:rsidRDefault="00334D19" w:rsidP="00334D19">
      <w:pPr>
        <w:pStyle w:val="BulletNumbers"/>
        <w:numPr>
          <w:ilvl w:val="2"/>
          <w:numId w:val="3"/>
        </w:numPr>
        <w:rPr>
          <w:rFonts w:cs="Calibri"/>
        </w:rPr>
      </w:pPr>
      <w:r w:rsidRPr="00334D19">
        <w:rPr>
          <w:rFonts w:cs="Calibri"/>
        </w:rPr>
        <w:t>the nature of the condition is unlikely to have changed, and</w:t>
      </w:r>
    </w:p>
    <w:p w14:paraId="4F7D545A" w14:textId="77777777" w:rsidR="00334D19" w:rsidRPr="00334D19" w:rsidRDefault="00334D19" w:rsidP="00334D19">
      <w:pPr>
        <w:pStyle w:val="BulletNumbers"/>
        <w:numPr>
          <w:ilvl w:val="2"/>
          <w:numId w:val="3"/>
        </w:numPr>
        <w:rPr>
          <w:rFonts w:cs="Calibri"/>
        </w:rPr>
      </w:pPr>
      <w:r w:rsidRPr="00334D19">
        <w:rPr>
          <w:rFonts w:cs="Calibri"/>
        </w:rPr>
        <w:t>the employee previously submitted a certificate with adequate medical information.</w:t>
      </w:r>
    </w:p>
    <w:p w14:paraId="6A7AEB8D" w14:textId="77777777" w:rsidR="00334D19" w:rsidRPr="00334D19" w:rsidRDefault="00334D19" w:rsidP="00334D19">
      <w:pPr>
        <w:pStyle w:val="BulletNumbers"/>
        <w:numPr>
          <w:ilvl w:val="1"/>
          <w:numId w:val="3"/>
        </w:numPr>
        <w:rPr>
          <w:rFonts w:cs="Calibri"/>
        </w:rPr>
      </w:pPr>
      <w:r w:rsidRPr="00334D19">
        <w:rPr>
          <w:rFonts w:cs="Calibri"/>
        </w:rPr>
        <w:t>If there is an undue cost or hardship associated with obtaining a certificate. For example, the employee resides in a remote area and telehealth is unavailable. This is not related to the cost of the medical appointment.</w:t>
      </w:r>
    </w:p>
    <w:p w14:paraId="3742C454" w14:textId="4AB05A09" w:rsidR="00334D19" w:rsidRPr="00334D19" w:rsidRDefault="00334D19" w:rsidP="00334D19">
      <w:pPr>
        <w:pStyle w:val="BulletNumbers"/>
        <w:numPr>
          <w:ilvl w:val="1"/>
          <w:numId w:val="3"/>
        </w:numPr>
        <w:rPr>
          <w:rFonts w:cs="Calibri"/>
        </w:rPr>
      </w:pPr>
      <w:r w:rsidRPr="00334D19">
        <w:rPr>
          <w:rFonts w:cs="Calibri"/>
        </w:rPr>
        <w:t xml:space="preserve">Where a certificate is not practicable. For example, where an employee is applying for personal leave in SEUC. </w:t>
      </w:r>
    </w:p>
    <w:p w14:paraId="1772A40F" w14:textId="77777777" w:rsidR="00334D19" w:rsidRPr="00334D19" w:rsidRDefault="00334D19" w:rsidP="00334D19">
      <w:pPr>
        <w:pStyle w:val="BulletNumbers"/>
        <w:rPr>
          <w:rStyle w:val="cf01"/>
          <w:rFonts w:ascii="Calibri" w:hAnsi="Calibri" w:cs="Calibri"/>
          <w:sz w:val="22"/>
          <w:szCs w:val="22"/>
        </w:rPr>
      </w:pPr>
      <w:r w:rsidRPr="00334D19">
        <w:rPr>
          <w:rFonts w:cs="Calibri"/>
        </w:rPr>
        <w:t xml:space="preserve">An employee is responsible for providing true and accurate documentary evidence. </w:t>
      </w:r>
      <w:r w:rsidRPr="00334D19">
        <w:rPr>
          <w:rStyle w:val="cf01"/>
          <w:rFonts w:ascii="Calibri" w:hAnsi="Calibri" w:cs="Calibri"/>
          <w:sz w:val="22"/>
          <w:szCs w:val="22"/>
        </w:rPr>
        <w:t>Provision of false documentary evidence is inconsistent with public sector values and may be subject to the misconduct provisions in accordance with the relevant enterprise agreement.</w:t>
      </w:r>
    </w:p>
    <w:p w14:paraId="240C8940" w14:textId="5FB4FD88" w:rsidR="00334D19" w:rsidRPr="00334D19" w:rsidRDefault="00334D19" w:rsidP="00334D19">
      <w:pPr>
        <w:pStyle w:val="BulletNumbers"/>
        <w:rPr>
          <w:rStyle w:val="cf01"/>
          <w:rFonts w:ascii="Calibri" w:hAnsi="Calibri" w:cs="Calibri"/>
          <w:sz w:val="22"/>
          <w:szCs w:val="22"/>
        </w:rPr>
      </w:pPr>
      <w:r w:rsidRPr="00334D19">
        <w:rPr>
          <w:rStyle w:val="cf01"/>
          <w:rFonts w:ascii="Calibri" w:hAnsi="Calibri" w:cs="Calibri"/>
          <w:sz w:val="22"/>
          <w:szCs w:val="22"/>
        </w:rPr>
        <w:t xml:space="preserve">Where an employee applies for ongoing personal leave for caring purposes, subject to the privacy of the person being cared for, documentary evidence that provides sufficient </w:t>
      </w:r>
      <w:r w:rsidR="00D633BD" w:rsidRPr="00334D19">
        <w:rPr>
          <w:rStyle w:val="cf01"/>
          <w:rFonts w:ascii="Calibri" w:hAnsi="Calibri" w:cs="Calibri"/>
          <w:sz w:val="22"/>
          <w:szCs w:val="22"/>
        </w:rPr>
        <w:t>information for</w:t>
      </w:r>
      <w:r w:rsidRPr="00334D19">
        <w:rPr>
          <w:rStyle w:val="cf01"/>
          <w:rFonts w:ascii="Calibri" w:hAnsi="Calibri" w:cs="Calibri"/>
          <w:sz w:val="22"/>
          <w:szCs w:val="22"/>
        </w:rPr>
        <w:t xml:space="preserve"> a manager/delegate to approve the leave may be required. </w:t>
      </w:r>
    </w:p>
    <w:p w14:paraId="0FFA1FC3" w14:textId="77777777" w:rsidR="00334D19" w:rsidRPr="00334D19" w:rsidRDefault="00334D19" w:rsidP="00334D19">
      <w:pPr>
        <w:pStyle w:val="BulletNumbers"/>
        <w:rPr>
          <w:rStyle w:val="cf01"/>
          <w:rFonts w:ascii="Calibri" w:hAnsi="Calibri" w:cs="Calibri"/>
          <w:sz w:val="22"/>
          <w:szCs w:val="22"/>
        </w:rPr>
      </w:pPr>
      <w:r w:rsidRPr="00334D19">
        <w:rPr>
          <w:rStyle w:val="cf01"/>
          <w:rFonts w:ascii="Calibri" w:hAnsi="Calibri" w:cs="Calibri"/>
          <w:sz w:val="22"/>
          <w:szCs w:val="22"/>
        </w:rPr>
        <w:t xml:space="preserve">Documentary evidence is to be presented to managers and should not be stored in any records management system (including payroll) without the employee’s consent. To clarify, there is no requirement for personal leave documentary evidence to be attached to leave applications, stored in personal files, email folders or the like, unless express permission is granted from the employee to do so. </w:t>
      </w:r>
    </w:p>
    <w:p w14:paraId="424EA3CA" w14:textId="4102E871" w:rsidR="00334D19" w:rsidRDefault="00334D19" w:rsidP="00334D19">
      <w:pPr>
        <w:pStyle w:val="Heading2"/>
      </w:pPr>
      <w:bookmarkStart w:id="15" w:name="_Toc214401088"/>
      <w:r>
        <w:lastRenderedPageBreak/>
        <w:t>Referral for Medical Examination</w:t>
      </w:r>
      <w:bookmarkEnd w:id="15"/>
    </w:p>
    <w:p w14:paraId="0CA3FA38" w14:textId="77777777" w:rsidR="00334D19" w:rsidRPr="00334D19" w:rsidRDefault="00334D19" w:rsidP="00334D19">
      <w:pPr>
        <w:pStyle w:val="BulletNumbers"/>
        <w:rPr>
          <w:rFonts w:cs="Calibri"/>
        </w:rPr>
      </w:pPr>
      <w:r w:rsidRPr="00334D19">
        <w:rPr>
          <w:rFonts w:cs="Calibri"/>
        </w:rPr>
        <w:t>Managers have a positive duty to ensure, as far as reasonably practicable, the health and safety of employees at work. An e</w:t>
      </w:r>
      <w:bookmarkStart w:id="16" w:name="_Hlk176183879"/>
      <w:r w:rsidRPr="00334D19">
        <w:rPr>
          <w:rFonts w:cs="Calibri"/>
        </w:rPr>
        <w:t>mployee may be referred for an independent medical examination</w:t>
      </w:r>
      <w:bookmarkEnd w:id="16"/>
      <w:r w:rsidRPr="00334D19">
        <w:rPr>
          <w:rFonts w:cs="Calibri"/>
        </w:rPr>
        <w:t xml:space="preserve"> under the </w:t>
      </w:r>
      <w:r w:rsidRPr="00334D19">
        <w:rPr>
          <w:rFonts w:cs="Calibri"/>
          <w:iCs/>
        </w:rPr>
        <w:t>Public Sector Management Standards 2016</w:t>
      </w:r>
      <w:r w:rsidRPr="00334D19">
        <w:rPr>
          <w:rFonts w:cs="Calibri"/>
        </w:rPr>
        <w:t xml:space="preserve"> (health assessment) or their enterprise agreement (medical examination).</w:t>
      </w:r>
    </w:p>
    <w:p w14:paraId="237CE61B" w14:textId="1AFD90AD" w:rsidR="00334D19" w:rsidRPr="00334D19" w:rsidRDefault="00334D19" w:rsidP="00334D19">
      <w:pPr>
        <w:pStyle w:val="BulletNumbers"/>
        <w:rPr>
          <w:rFonts w:cs="Calibri"/>
        </w:rPr>
      </w:pPr>
      <w:r w:rsidRPr="00334D19">
        <w:rPr>
          <w:rFonts w:cs="Calibri"/>
        </w:rPr>
        <w:t xml:space="preserve">Delegates should seek guidance from their Injury Management HR Team when referring an employee for an independent medical examination. </w:t>
      </w:r>
    </w:p>
    <w:p w14:paraId="09945036" w14:textId="77777777" w:rsidR="00334D19" w:rsidRPr="00334D19" w:rsidRDefault="00334D19" w:rsidP="00334D19">
      <w:pPr>
        <w:pStyle w:val="BulletNumbers"/>
        <w:rPr>
          <w:rFonts w:cs="Calibri"/>
        </w:rPr>
      </w:pPr>
      <w:r w:rsidRPr="00334D19">
        <w:rPr>
          <w:rFonts w:cs="Calibri"/>
        </w:rPr>
        <w:t>An employee may be directed to take personal leave based on the results of the medical examination. This will be deducted from the employee’s personal leave balance/credits, and if exhausted, the employee will be placed onto unpaid personal leave or can use annual leave or long service leave in lieu of personal leave.</w:t>
      </w:r>
    </w:p>
    <w:p w14:paraId="2E7E657C" w14:textId="0EB7AD1D" w:rsidR="00334D19" w:rsidRDefault="00334D19" w:rsidP="00334D19">
      <w:pPr>
        <w:pStyle w:val="Heading2"/>
      </w:pPr>
      <w:bookmarkStart w:id="17" w:name="_Toc214401089"/>
      <w:r>
        <w:t>Notifying and Applying for Personal Leave</w:t>
      </w:r>
      <w:bookmarkEnd w:id="17"/>
    </w:p>
    <w:p w14:paraId="4F927DEE" w14:textId="77777777" w:rsidR="00334D19" w:rsidRPr="00D53A84" w:rsidRDefault="00334D19" w:rsidP="00334D19">
      <w:pPr>
        <w:pStyle w:val="BulletNumbers"/>
      </w:pPr>
      <w:r w:rsidRPr="00075A1F">
        <w:t xml:space="preserve">Employees and managers must ensure </w:t>
      </w:r>
      <w:r>
        <w:t>the n</w:t>
      </w:r>
      <w:r w:rsidRPr="00075A1F">
        <w:t xml:space="preserve">otification and application requirements </w:t>
      </w:r>
      <w:r>
        <w:t>of personal leave</w:t>
      </w:r>
      <w:r w:rsidRPr="00075A1F">
        <w:t xml:space="preserve"> are </w:t>
      </w:r>
      <w:r>
        <w:t>met</w:t>
      </w:r>
      <w:r w:rsidRPr="00075A1F">
        <w:t xml:space="preserve">. If </w:t>
      </w:r>
      <w:r>
        <w:t xml:space="preserve">documentary </w:t>
      </w:r>
      <w:r w:rsidRPr="00075A1F">
        <w:t xml:space="preserve">evidence is required, this must be provided </w:t>
      </w:r>
      <w:r>
        <w:t>as soon as practicable.</w:t>
      </w:r>
    </w:p>
    <w:p w14:paraId="16C3E2FD" w14:textId="3E74FF0A" w:rsidR="00334D19" w:rsidRDefault="00334D19" w:rsidP="00334D19">
      <w:pPr>
        <w:pStyle w:val="Heading3"/>
      </w:pPr>
      <w:bookmarkStart w:id="18" w:name="_Toc214401090"/>
      <w:r>
        <w:t>Notification</w:t>
      </w:r>
      <w:bookmarkEnd w:id="18"/>
    </w:p>
    <w:p w14:paraId="2FBAE9A5" w14:textId="77777777" w:rsidR="00D240A9" w:rsidRPr="00D240A9" w:rsidRDefault="00D240A9" w:rsidP="00D240A9">
      <w:pPr>
        <w:pStyle w:val="BulletNumbers"/>
        <w:rPr>
          <w:rFonts w:cs="Calibri"/>
        </w:rPr>
      </w:pPr>
      <w:r w:rsidRPr="00D240A9">
        <w:rPr>
          <w:rFonts w:cs="Calibri"/>
        </w:rPr>
        <w:t>Employees must notify their manager of their intention to take personal leave and its duration, or expected duration, as soon as practicable.</w:t>
      </w:r>
    </w:p>
    <w:p w14:paraId="30A21F02" w14:textId="77777777" w:rsidR="00D240A9" w:rsidRPr="00D240A9" w:rsidRDefault="00D240A9" w:rsidP="00D240A9">
      <w:pPr>
        <w:pStyle w:val="BulletNumbers"/>
        <w:rPr>
          <w:rFonts w:cs="Calibri"/>
        </w:rPr>
      </w:pPr>
      <w:r w:rsidRPr="00D240A9">
        <w:rPr>
          <w:rFonts w:cs="Calibri"/>
        </w:rPr>
        <w:t xml:space="preserve">Where there is </w:t>
      </w:r>
      <w:r w:rsidRPr="00D240A9">
        <w:rPr>
          <w:rFonts w:cs="Calibri"/>
          <w:b/>
          <w:bCs/>
        </w:rPr>
        <w:t>sudden illness/injury</w:t>
      </w:r>
      <w:r w:rsidRPr="00D240A9">
        <w:rPr>
          <w:rFonts w:cs="Calibri"/>
        </w:rPr>
        <w:t xml:space="preserve"> </w:t>
      </w:r>
      <w:r w:rsidRPr="00D240A9">
        <w:rPr>
          <w:rFonts w:cs="Calibri"/>
          <w:b/>
          <w:bCs/>
        </w:rPr>
        <w:t xml:space="preserve">or </w:t>
      </w:r>
      <w:r w:rsidRPr="00D240A9">
        <w:rPr>
          <w:rFonts w:cs="Calibri"/>
          <w:b/>
        </w:rPr>
        <w:t>SEUC</w:t>
      </w:r>
      <w:r w:rsidRPr="00D240A9">
        <w:rPr>
          <w:rFonts w:cs="Calibri"/>
        </w:rPr>
        <w:t xml:space="preserve">, notification may be at a time immediately after leave has commenced. Notice should be given at or close to the time the employee would normally start their work hours or shift. </w:t>
      </w:r>
    </w:p>
    <w:p w14:paraId="568C4ED1" w14:textId="77777777" w:rsidR="00D240A9" w:rsidRPr="00D240A9" w:rsidRDefault="00D240A9" w:rsidP="00D240A9">
      <w:pPr>
        <w:pStyle w:val="BulletNumbers"/>
        <w:rPr>
          <w:rFonts w:cs="Calibri"/>
        </w:rPr>
      </w:pPr>
      <w:r w:rsidRPr="00D240A9">
        <w:rPr>
          <w:rFonts w:cs="Calibri"/>
        </w:rPr>
        <w:t>Prompt communication where possible of any unexpected absences ensures managers can arrange for work/shift coverage and avoids them needing to initiate contact and complete a welfare check when an employee does not arrive for work as expected. Managers should document leave notification expectations with their staff, including when onboarding staff.</w:t>
      </w:r>
    </w:p>
    <w:p w14:paraId="5FB87F84" w14:textId="77777777" w:rsidR="00D240A9" w:rsidRPr="00D240A9" w:rsidRDefault="00D240A9" w:rsidP="00D240A9">
      <w:pPr>
        <w:pStyle w:val="BulletNumbers"/>
        <w:rPr>
          <w:rFonts w:cs="Calibri"/>
        </w:rPr>
      </w:pPr>
      <w:r w:rsidRPr="00D240A9">
        <w:rPr>
          <w:rFonts w:cs="Calibri"/>
        </w:rPr>
        <w:t xml:space="preserve">Where there is reasonable cause, a manager may request an employee provide a </w:t>
      </w:r>
      <w:r w:rsidRPr="00D240A9">
        <w:rPr>
          <w:rFonts w:cs="Calibri"/>
          <w:b/>
          <w:bCs/>
        </w:rPr>
        <w:t xml:space="preserve">certificate or statutory declaration, </w:t>
      </w:r>
      <w:r w:rsidRPr="00D240A9">
        <w:rPr>
          <w:rFonts w:cs="Calibri"/>
        </w:rPr>
        <w:t xml:space="preserve">at the employee’s choice, at the time of notification of their intention to apply for personal leave. Prior to making a request, the manager should consider the employee’s circumstances, length of the leave application, and reason for leave. </w:t>
      </w:r>
    </w:p>
    <w:p w14:paraId="3A54E0FE" w14:textId="216DA017" w:rsidR="00D240A9" w:rsidRDefault="00D240A9" w:rsidP="00D240A9">
      <w:pPr>
        <w:pStyle w:val="Heading3"/>
      </w:pPr>
      <w:bookmarkStart w:id="19" w:name="_Toc214401091"/>
      <w:r>
        <w:t>Application</w:t>
      </w:r>
      <w:bookmarkEnd w:id="19"/>
    </w:p>
    <w:p w14:paraId="7C1364F5" w14:textId="77777777" w:rsidR="00D240A9" w:rsidRDefault="00D240A9" w:rsidP="00D240A9">
      <w:pPr>
        <w:pStyle w:val="BulletNumbers"/>
      </w:pPr>
      <w:bookmarkStart w:id="20" w:name="_Hlk160099024"/>
      <w:r>
        <w:t>A personal leave application must be submitted as soon as practicable following notification</w:t>
      </w:r>
      <w:r>
        <w:rPr>
          <w:rStyle w:val="FootnoteReference"/>
        </w:rPr>
        <w:footnoteReference w:id="8"/>
      </w:r>
      <w:r>
        <w:t>. Personal leave applications may be submitted through one of the following:</w:t>
      </w:r>
    </w:p>
    <w:p w14:paraId="23935309" w14:textId="77777777" w:rsidR="00D240A9" w:rsidRDefault="00D240A9" w:rsidP="00D240A9">
      <w:pPr>
        <w:pStyle w:val="BulletNumbers"/>
        <w:numPr>
          <w:ilvl w:val="1"/>
          <w:numId w:val="3"/>
        </w:numPr>
      </w:pPr>
      <w:hyperlink r:id="rId23" w:history="1">
        <w:r w:rsidRPr="00D240A9">
          <w:rPr>
            <w:rStyle w:val="Hyperlink"/>
          </w:rPr>
          <w:t>HR21</w:t>
        </w:r>
      </w:hyperlink>
      <w:r w:rsidRPr="00D240A9">
        <w:t>.</w:t>
      </w:r>
    </w:p>
    <w:p w14:paraId="11A66BB3" w14:textId="126764D1" w:rsidR="00D240A9" w:rsidRPr="00D240A9" w:rsidRDefault="00D240A9" w:rsidP="00D240A9">
      <w:pPr>
        <w:pStyle w:val="BulletNumbers"/>
        <w:numPr>
          <w:ilvl w:val="1"/>
          <w:numId w:val="3"/>
        </w:numPr>
        <w:rPr>
          <w:rStyle w:val="Hyperlink"/>
          <w:color w:val="auto"/>
          <w:u w:val="none"/>
        </w:rPr>
      </w:pPr>
      <w:r w:rsidRPr="00D240A9">
        <w:t xml:space="preserve">The </w:t>
      </w:r>
      <w:hyperlink r:id="rId24" w:history="1">
        <w:r w:rsidRPr="00D240A9">
          <w:rPr>
            <w:rStyle w:val="Hyperlink"/>
          </w:rPr>
          <w:t>Apply for Leave Form on the OneGov Service Centre website</w:t>
        </w:r>
      </w:hyperlink>
      <w:r w:rsidRPr="00D240A9">
        <w:rPr>
          <w:rStyle w:val="Hyperlink"/>
        </w:rPr>
        <w:t>.</w:t>
      </w:r>
    </w:p>
    <w:p w14:paraId="69FE130F" w14:textId="77777777" w:rsidR="00D240A9" w:rsidRDefault="00D240A9" w:rsidP="00D240A9">
      <w:pPr>
        <w:pStyle w:val="ListNumber"/>
        <w:numPr>
          <w:ilvl w:val="0"/>
          <w:numId w:val="0"/>
        </w:numPr>
        <w:spacing w:after="60"/>
        <w:ind w:left="1080"/>
        <w:rPr>
          <w:szCs w:val="22"/>
        </w:rPr>
      </w:pPr>
      <w:r>
        <w:rPr>
          <w:szCs w:val="22"/>
        </w:rPr>
        <w:t xml:space="preserve">Note: Applications for </w:t>
      </w:r>
      <w:r>
        <w:rPr>
          <w:b/>
          <w:bCs/>
          <w:szCs w:val="22"/>
        </w:rPr>
        <w:t>personal leave</w:t>
      </w:r>
      <w:r w:rsidRPr="00E15C2D">
        <w:rPr>
          <w:b/>
          <w:bCs/>
          <w:szCs w:val="22"/>
        </w:rPr>
        <w:t xml:space="preserve"> in SEUC</w:t>
      </w:r>
      <w:r>
        <w:rPr>
          <w:szCs w:val="22"/>
        </w:rPr>
        <w:t xml:space="preserve"> can only be processed through the OneGov Service Centre.</w:t>
      </w:r>
    </w:p>
    <w:p w14:paraId="5B290A9E" w14:textId="4193C646" w:rsidR="00D240A9" w:rsidRPr="00D40506" w:rsidRDefault="00D240A9" w:rsidP="00D40506">
      <w:pPr>
        <w:pStyle w:val="ListNumber"/>
        <w:numPr>
          <w:ilvl w:val="1"/>
          <w:numId w:val="3"/>
        </w:numPr>
        <w:spacing w:after="60"/>
        <w:rPr>
          <w:szCs w:val="22"/>
        </w:rPr>
      </w:pPr>
      <w:r>
        <w:rPr>
          <w:szCs w:val="22"/>
        </w:rPr>
        <w:t>T</w:t>
      </w:r>
      <w:r w:rsidRPr="00075A1F">
        <w:rPr>
          <w:szCs w:val="22"/>
        </w:rPr>
        <w:t>he rostering system of their work area</w:t>
      </w:r>
      <w:r>
        <w:rPr>
          <w:szCs w:val="22"/>
        </w:rPr>
        <w:t>. For example,</w:t>
      </w:r>
      <w:r w:rsidRPr="00075A1F">
        <w:rPr>
          <w:szCs w:val="22"/>
        </w:rPr>
        <w:t xml:space="preserve"> ProACT, Kronos etc.</w:t>
      </w:r>
      <w:bookmarkEnd w:id="20"/>
    </w:p>
    <w:p w14:paraId="3F7E34AE" w14:textId="77777777" w:rsidR="00D240A9" w:rsidRDefault="00D240A9" w:rsidP="00D240A9">
      <w:pPr>
        <w:pStyle w:val="BulletNumbers"/>
      </w:pPr>
      <w:r>
        <w:lastRenderedPageBreak/>
        <w:t>Managers and delegates should provide employees with reasonable opportunity to submit a personal leave application. An employee should communicate where they need time to:</w:t>
      </w:r>
    </w:p>
    <w:p w14:paraId="3CB406D0" w14:textId="77777777" w:rsidR="00D240A9" w:rsidRDefault="00D240A9" w:rsidP="00D240A9">
      <w:pPr>
        <w:pStyle w:val="BulletNumbers"/>
        <w:numPr>
          <w:ilvl w:val="1"/>
          <w:numId w:val="3"/>
        </w:numPr>
      </w:pPr>
      <w:r w:rsidRPr="00D240A9">
        <w:t xml:space="preserve">Obtain appropriate documentary evidence. </w:t>
      </w:r>
    </w:p>
    <w:p w14:paraId="73C3B8A2" w14:textId="77777777" w:rsidR="00D240A9" w:rsidRDefault="00D240A9" w:rsidP="00D240A9">
      <w:pPr>
        <w:pStyle w:val="BulletNumbers"/>
        <w:numPr>
          <w:ilvl w:val="1"/>
          <w:numId w:val="3"/>
        </w:numPr>
      </w:pPr>
      <w:r w:rsidRPr="00D240A9">
        <w:t xml:space="preserve">Return to the workplace to submit their application. </w:t>
      </w:r>
    </w:p>
    <w:p w14:paraId="17D78F0A" w14:textId="77777777" w:rsidR="00D240A9" w:rsidRDefault="00D240A9" w:rsidP="00D240A9">
      <w:pPr>
        <w:pStyle w:val="BulletNumbers"/>
        <w:numPr>
          <w:ilvl w:val="1"/>
          <w:numId w:val="3"/>
        </w:numPr>
      </w:pPr>
      <w:r w:rsidRPr="00D240A9">
        <w:t xml:space="preserve">Organise remote access to submit their application.  </w:t>
      </w:r>
    </w:p>
    <w:p w14:paraId="4C830A8B" w14:textId="6A5346FF" w:rsidR="00D240A9" w:rsidRPr="00D240A9" w:rsidRDefault="00D240A9" w:rsidP="00D240A9">
      <w:pPr>
        <w:pStyle w:val="BulletNumbers"/>
        <w:numPr>
          <w:ilvl w:val="1"/>
          <w:numId w:val="3"/>
        </w:numPr>
      </w:pPr>
      <w:r w:rsidRPr="00D240A9">
        <w:t xml:space="preserve">Arrange for a proxy to apply for leave on their behalf. </w:t>
      </w:r>
    </w:p>
    <w:p w14:paraId="5A386769" w14:textId="77777777" w:rsidR="00D240A9" w:rsidRPr="00D53A84" w:rsidRDefault="00D240A9" w:rsidP="00D240A9">
      <w:pPr>
        <w:pStyle w:val="BulletNumbers"/>
      </w:pPr>
      <w:r w:rsidRPr="00075A1F">
        <w:t xml:space="preserve">Managers </w:t>
      </w:r>
      <w:r>
        <w:t xml:space="preserve">and delegates </w:t>
      </w:r>
      <w:r w:rsidRPr="00075A1F">
        <w:t xml:space="preserve">should review </w:t>
      </w:r>
      <w:r>
        <w:t>personal leave</w:t>
      </w:r>
      <w:r w:rsidRPr="00075A1F">
        <w:t xml:space="preserve"> applications and advise the employee </w:t>
      </w:r>
      <w:r>
        <w:t>if</w:t>
      </w:r>
      <w:r w:rsidRPr="00075A1F">
        <w:t xml:space="preserve"> </w:t>
      </w:r>
      <w:r>
        <w:t>they are</w:t>
      </w:r>
      <w:r w:rsidRPr="00075A1F">
        <w:t xml:space="preserve"> approved or declined as soon as possible. </w:t>
      </w:r>
      <w:r>
        <w:t>Where a</w:t>
      </w:r>
      <w:r w:rsidRPr="00D53A84">
        <w:t xml:space="preserve"> manager declines a</w:t>
      </w:r>
      <w:r>
        <w:t xml:space="preserve">n application </w:t>
      </w:r>
      <w:r w:rsidRPr="00D53A84">
        <w:t xml:space="preserve">for </w:t>
      </w:r>
      <w:r>
        <w:t xml:space="preserve">personal leave, the employee must be consulted to determine mutually convenient alternative arrangements. An employee may also request </w:t>
      </w:r>
      <w:r w:rsidRPr="00D53A84">
        <w:t>the reason be given in writing</w:t>
      </w:r>
      <w:r>
        <w:t>.</w:t>
      </w:r>
    </w:p>
    <w:p w14:paraId="40E41D15" w14:textId="77777777" w:rsidR="00D240A9" w:rsidRPr="00075A1F" w:rsidRDefault="00D240A9" w:rsidP="00D240A9">
      <w:pPr>
        <w:pStyle w:val="BulletNumbers"/>
      </w:pPr>
      <w:r w:rsidRPr="00075A1F">
        <w:t xml:space="preserve">Employees must have access </w:t>
      </w:r>
      <w:r>
        <w:t>to information about their</w:t>
      </w:r>
      <w:r w:rsidRPr="00075A1F">
        <w:t xml:space="preserve"> </w:t>
      </w:r>
      <w:r>
        <w:t>personal leave</w:t>
      </w:r>
      <w:r w:rsidRPr="00075A1F">
        <w:t xml:space="preserve"> entitlements</w:t>
      </w:r>
      <w:r>
        <w:t>,</w:t>
      </w:r>
      <w:r w:rsidRPr="00075A1F">
        <w:t xml:space="preserve"> including where to locate their </w:t>
      </w:r>
      <w:r>
        <w:t>personal leave</w:t>
      </w:r>
      <w:r w:rsidRPr="00075A1F">
        <w:t xml:space="preserve"> balance </w:t>
      </w:r>
      <w:r>
        <w:t>and where to</w:t>
      </w:r>
      <w:r w:rsidRPr="00075A1F">
        <w:t xml:space="preserve"> </w:t>
      </w:r>
      <w:r>
        <w:t xml:space="preserve">apply for leave. </w:t>
      </w:r>
    </w:p>
    <w:p w14:paraId="14638010" w14:textId="77777777" w:rsidR="00D240A9" w:rsidRDefault="00D240A9" w:rsidP="00D240A9">
      <w:pPr>
        <w:pStyle w:val="Heading5"/>
        <w:rPr>
          <w:rFonts w:ascii="Calibri" w:hAnsi="Calibri" w:cs="Calibri"/>
          <w:color w:val="7030A0"/>
          <w:sz w:val="20"/>
          <w:szCs w:val="20"/>
        </w:rPr>
      </w:pPr>
    </w:p>
    <w:tbl>
      <w:tblPr>
        <w:tblStyle w:val="Breakoutbox"/>
        <w:tblW w:w="0" w:type="auto"/>
        <w:tblLook w:val="04A0" w:firstRow="1" w:lastRow="0" w:firstColumn="1" w:lastColumn="0" w:noHBand="0" w:noVBand="1"/>
      </w:tblPr>
      <w:tblGrid>
        <w:gridCol w:w="9465"/>
      </w:tblGrid>
      <w:tr w:rsidR="00D240A9" w:rsidRPr="00D240A9" w14:paraId="3316295C" w14:textId="77777777" w:rsidTr="00D240A9">
        <w:tc>
          <w:tcPr>
            <w:tcW w:w="9465" w:type="dxa"/>
          </w:tcPr>
          <w:p w14:paraId="4FE5846D" w14:textId="70A767BD" w:rsidR="00D240A9" w:rsidRPr="00D240A9" w:rsidRDefault="00D240A9" w:rsidP="008B0141">
            <w:pPr>
              <w:pStyle w:val="Heading5"/>
              <w:rPr>
                <w:rFonts w:ascii="Calibri" w:hAnsi="Calibri" w:cs="Calibri"/>
                <w:color w:val="7030A0"/>
                <w:sz w:val="20"/>
                <w:szCs w:val="20"/>
              </w:rPr>
            </w:pPr>
            <w:r w:rsidRPr="00D240A9">
              <w:rPr>
                <w:rFonts w:ascii="Calibri" w:hAnsi="Calibri" w:cs="Calibri"/>
                <w:color w:val="7030A0"/>
                <w:sz w:val="20"/>
                <w:szCs w:val="20"/>
              </w:rPr>
              <w:t xml:space="preserve">Example: </w:t>
            </w:r>
            <w:r>
              <w:rPr>
                <w:rFonts w:ascii="Calibri" w:hAnsi="Calibri" w:cs="Calibri"/>
                <w:color w:val="7030A0"/>
                <w:sz w:val="20"/>
                <w:szCs w:val="20"/>
              </w:rPr>
              <w:t>Notification after leave commences</w:t>
            </w:r>
          </w:p>
        </w:tc>
      </w:tr>
      <w:tr w:rsidR="00D240A9" w:rsidRPr="00D240A9" w14:paraId="74628962" w14:textId="77777777" w:rsidTr="00D240A9">
        <w:tc>
          <w:tcPr>
            <w:tcW w:w="9465" w:type="dxa"/>
          </w:tcPr>
          <w:p w14:paraId="743D729B" w14:textId="1F287CA4" w:rsidR="00D240A9" w:rsidRPr="003334AD" w:rsidRDefault="00D240A9" w:rsidP="003334AD">
            <w:pPr>
              <w:pStyle w:val="ListNumber"/>
              <w:numPr>
                <w:ilvl w:val="0"/>
                <w:numId w:val="0"/>
              </w:numPr>
              <w:spacing w:after="60"/>
              <w:rPr>
                <w:rFonts w:cs="Calibri"/>
                <w:sz w:val="20"/>
              </w:rPr>
            </w:pPr>
            <w:r w:rsidRPr="00D240A9">
              <w:rPr>
                <w:rFonts w:cs="Calibri"/>
                <w:sz w:val="20"/>
              </w:rPr>
              <w:t xml:space="preserve">Cameron wakes up on Monday morning ill with suspected food-poisoning. Cameron notifies their manager as soon as possible via their team’s online message chat just after the start of their shift that they are unwell. Cameron notes that they will not be in the office that day but will most likely return to work the next day. When Cameron returns to work, they </w:t>
            </w:r>
            <w:proofErr w:type="gramStart"/>
            <w:r w:rsidRPr="00D240A9">
              <w:rPr>
                <w:rFonts w:cs="Calibri"/>
                <w:sz w:val="20"/>
              </w:rPr>
              <w:t>submit an application</w:t>
            </w:r>
            <w:proofErr w:type="gramEnd"/>
            <w:r w:rsidRPr="00D240A9">
              <w:rPr>
                <w:rFonts w:cs="Calibri"/>
                <w:sz w:val="20"/>
              </w:rPr>
              <w:t xml:space="preserve"> for personal leave through HR21.</w:t>
            </w:r>
          </w:p>
        </w:tc>
      </w:tr>
    </w:tbl>
    <w:p w14:paraId="5F019463" w14:textId="77777777" w:rsidR="00334D19" w:rsidRDefault="00334D19" w:rsidP="00334D19">
      <w:pPr>
        <w:pStyle w:val="BulletNumbers"/>
        <w:numPr>
          <w:ilvl w:val="0"/>
          <w:numId w:val="0"/>
        </w:numPr>
        <w:rPr>
          <w:lang w:val="en-US"/>
        </w:rPr>
      </w:pPr>
    </w:p>
    <w:tbl>
      <w:tblPr>
        <w:tblStyle w:val="Breakoutbox"/>
        <w:tblW w:w="0" w:type="auto"/>
        <w:tblLook w:val="04A0" w:firstRow="1" w:lastRow="0" w:firstColumn="1" w:lastColumn="0" w:noHBand="0" w:noVBand="1"/>
      </w:tblPr>
      <w:tblGrid>
        <w:gridCol w:w="9465"/>
      </w:tblGrid>
      <w:tr w:rsidR="00D240A9" w:rsidRPr="00D240A9" w14:paraId="3603AD8E" w14:textId="77777777" w:rsidTr="00343B6C">
        <w:tc>
          <w:tcPr>
            <w:tcW w:w="9465" w:type="dxa"/>
          </w:tcPr>
          <w:p w14:paraId="2FCF1274" w14:textId="6FCC1133" w:rsidR="00D240A9" w:rsidRPr="00D240A9" w:rsidRDefault="00D240A9" w:rsidP="00343B6C">
            <w:pPr>
              <w:pStyle w:val="Heading5"/>
              <w:rPr>
                <w:rFonts w:ascii="Calibri" w:hAnsi="Calibri" w:cs="Calibri"/>
                <w:color w:val="7030A0"/>
                <w:sz w:val="20"/>
                <w:szCs w:val="20"/>
              </w:rPr>
            </w:pPr>
            <w:r w:rsidRPr="00D240A9">
              <w:rPr>
                <w:rFonts w:ascii="Calibri" w:hAnsi="Calibri" w:cs="Calibri"/>
                <w:color w:val="7030A0"/>
                <w:sz w:val="20"/>
                <w:szCs w:val="20"/>
              </w:rPr>
              <w:t xml:space="preserve">Example: </w:t>
            </w:r>
            <w:r>
              <w:rPr>
                <w:rFonts w:ascii="Calibri" w:hAnsi="Calibri" w:cs="Calibri"/>
                <w:color w:val="7030A0"/>
                <w:sz w:val="20"/>
                <w:szCs w:val="20"/>
              </w:rPr>
              <w:t>Reasonable time to obtain documentary evidence after notification</w:t>
            </w:r>
          </w:p>
        </w:tc>
      </w:tr>
      <w:tr w:rsidR="00D240A9" w:rsidRPr="00D240A9" w14:paraId="159F0F67" w14:textId="77777777" w:rsidTr="00343B6C">
        <w:tc>
          <w:tcPr>
            <w:tcW w:w="9465" w:type="dxa"/>
          </w:tcPr>
          <w:p w14:paraId="378F7598" w14:textId="4BEE4029" w:rsidR="00D240A9" w:rsidRPr="00D240A9" w:rsidRDefault="00D240A9" w:rsidP="00D240A9">
            <w:pPr>
              <w:rPr>
                <w:sz w:val="20"/>
                <w:szCs w:val="20"/>
              </w:rPr>
            </w:pPr>
            <w:r w:rsidRPr="00D240A9">
              <w:rPr>
                <w:sz w:val="20"/>
                <w:szCs w:val="20"/>
              </w:rPr>
              <w:t xml:space="preserve">Micheal has scheduled a </w:t>
            </w:r>
            <w:r w:rsidRPr="00D240A9">
              <w:rPr>
                <w:rStyle w:val="ui-provider"/>
                <w:sz w:val="20"/>
                <w:szCs w:val="20"/>
              </w:rPr>
              <w:t>surgery and informs their manager, providing the dates he will apply to access personal leave. Micheal requests a certificate for this absence from the medical practitioner performing the procedure. The medical practitioner confirms they will provide this certificate after the surgery. Micheal relays this information to his manager, informing them they will submit a personal leave application and supporting documentation as soon as possible following the surgery. If Michael does not apply for leave, presented the supporting documentation and has not communicated or provided a timeframe to do so, it may be deemed to be an unauthorised absence, which will be without pay, will not count for service, and may have conduct implications for Michael.</w:t>
            </w:r>
          </w:p>
        </w:tc>
      </w:tr>
    </w:tbl>
    <w:p w14:paraId="69E3075D" w14:textId="77777777" w:rsidR="00D240A9" w:rsidRDefault="00D240A9" w:rsidP="00334D19">
      <w:pPr>
        <w:pStyle w:val="BulletNumbers"/>
        <w:numPr>
          <w:ilvl w:val="0"/>
          <w:numId w:val="0"/>
        </w:numPr>
        <w:rPr>
          <w:lang w:val="en-US"/>
        </w:rPr>
      </w:pPr>
    </w:p>
    <w:tbl>
      <w:tblPr>
        <w:tblStyle w:val="Breakoutbox"/>
        <w:tblW w:w="0" w:type="auto"/>
        <w:tblLook w:val="04A0" w:firstRow="1" w:lastRow="0" w:firstColumn="1" w:lastColumn="0" w:noHBand="0" w:noVBand="1"/>
      </w:tblPr>
      <w:tblGrid>
        <w:gridCol w:w="9465"/>
      </w:tblGrid>
      <w:tr w:rsidR="00D240A9" w:rsidRPr="00D240A9" w14:paraId="35E9FB5B" w14:textId="77777777" w:rsidTr="00343B6C">
        <w:tc>
          <w:tcPr>
            <w:tcW w:w="9465" w:type="dxa"/>
          </w:tcPr>
          <w:p w14:paraId="3DA9CB53" w14:textId="14792960" w:rsidR="00D240A9" w:rsidRPr="00D240A9" w:rsidRDefault="00D240A9" w:rsidP="00343B6C">
            <w:pPr>
              <w:pStyle w:val="Heading5"/>
              <w:rPr>
                <w:rFonts w:ascii="Calibri" w:hAnsi="Calibri" w:cs="Calibri"/>
                <w:color w:val="7030A0"/>
                <w:sz w:val="20"/>
                <w:szCs w:val="20"/>
              </w:rPr>
            </w:pPr>
            <w:r w:rsidRPr="00D240A9">
              <w:rPr>
                <w:rFonts w:ascii="Calibri" w:hAnsi="Calibri" w:cs="Calibri"/>
                <w:color w:val="7030A0"/>
                <w:sz w:val="20"/>
                <w:szCs w:val="20"/>
              </w:rPr>
              <w:t xml:space="preserve">Example: </w:t>
            </w:r>
            <w:r>
              <w:rPr>
                <w:rFonts w:ascii="Calibri" w:hAnsi="Calibri" w:cs="Calibri"/>
                <w:color w:val="7030A0"/>
                <w:sz w:val="20"/>
                <w:szCs w:val="20"/>
              </w:rPr>
              <w:t>Reasonable efforts to notify</w:t>
            </w:r>
          </w:p>
        </w:tc>
      </w:tr>
      <w:tr w:rsidR="00D240A9" w:rsidRPr="00D240A9" w14:paraId="33DED3BC" w14:textId="77777777" w:rsidTr="00343B6C">
        <w:tc>
          <w:tcPr>
            <w:tcW w:w="9465" w:type="dxa"/>
          </w:tcPr>
          <w:p w14:paraId="38ABDA34" w14:textId="6EDA68AA" w:rsidR="00D240A9" w:rsidRPr="00D240A9" w:rsidRDefault="00D240A9" w:rsidP="00D240A9">
            <w:pPr>
              <w:pStyle w:val="ListNumber"/>
              <w:numPr>
                <w:ilvl w:val="0"/>
                <w:numId w:val="0"/>
              </w:numPr>
              <w:spacing w:after="60"/>
              <w:rPr>
                <w:rFonts w:cs="Calibri"/>
                <w:sz w:val="20"/>
              </w:rPr>
            </w:pPr>
            <w:r w:rsidRPr="00D240A9">
              <w:rPr>
                <w:rFonts w:cs="Calibri"/>
                <w:sz w:val="20"/>
              </w:rPr>
              <w:t xml:space="preserve">Sasha works in a customer-facing role. Sasha’s mother messages them toward the end of their normal work hours about </w:t>
            </w:r>
            <w:proofErr w:type="gramStart"/>
            <w:r w:rsidRPr="00D240A9">
              <w:rPr>
                <w:rFonts w:cs="Calibri"/>
                <w:sz w:val="20"/>
              </w:rPr>
              <w:t>an unexpected emergency</w:t>
            </w:r>
            <w:proofErr w:type="gramEnd"/>
            <w:r w:rsidRPr="00D240A9">
              <w:rPr>
                <w:rFonts w:cs="Calibri"/>
                <w:sz w:val="20"/>
              </w:rPr>
              <w:t>. Sasha emails their manager that evening notifying that they cannot attend work the next day. Though the circumstances are beyond their control, Sasha has taken reasonable steps to ensure their manager was notified as soon as possible. When Sasha returns to work, they apply for personal leave in SEUC through the OneGov service centre.</w:t>
            </w:r>
          </w:p>
        </w:tc>
      </w:tr>
    </w:tbl>
    <w:p w14:paraId="07B17388" w14:textId="77777777" w:rsidR="00D240A9" w:rsidRDefault="00D240A9" w:rsidP="00334D19">
      <w:pPr>
        <w:pStyle w:val="BulletNumbers"/>
        <w:numPr>
          <w:ilvl w:val="0"/>
          <w:numId w:val="0"/>
        </w:numPr>
        <w:rPr>
          <w:lang w:val="en-US"/>
        </w:rPr>
      </w:pPr>
    </w:p>
    <w:tbl>
      <w:tblPr>
        <w:tblStyle w:val="Breakoutbox"/>
        <w:tblW w:w="0" w:type="auto"/>
        <w:tblLook w:val="04A0" w:firstRow="1" w:lastRow="0" w:firstColumn="1" w:lastColumn="0" w:noHBand="0" w:noVBand="1"/>
      </w:tblPr>
      <w:tblGrid>
        <w:gridCol w:w="9465"/>
      </w:tblGrid>
      <w:tr w:rsidR="00D240A9" w:rsidRPr="00D240A9" w14:paraId="2AF900F1" w14:textId="77777777" w:rsidTr="00343B6C">
        <w:tc>
          <w:tcPr>
            <w:tcW w:w="9465" w:type="dxa"/>
          </w:tcPr>
          <w:p w14:paraId="20605712" w14:textId="4731452E" w:rsidR="00D240A9" w:rsidRPr="00D240A9" w:rsidRDefault="00D240A9" w:rsidP="00343B6C">
            <w:pPr>
              <w:pStyle w:val="Heading5"/>
              <w:rPr>
                <w:rFonts w:ascii="Calibri" w:hAnsi="Calibri" w:cs="Calibri"/>
                <w:color w:val="7030A0"/>
                <w:sz w:val="20"/>
                <w:szCs w:val="20"/>
              </w:rPr>
            </w:pPr>
            <w:r w:rsidRPr="00D240A9">
              <w:rPr>
                <w:rFonts w:ascii="Calibri" w:hAnsi="Calibri" w:cs="Calibri"/>
                <w:color w:val="7030A0"/>
                <w:sz w:val="20"/>
                <w:szCs w:val="20"/>
              </w:rPr>
              <w:lastRenderedPageBreak/>
              <w:t>Example: Reasonable cause to request documentary evidence upon notification</w:t>
            </w:r>
          </w:p>
        </w:tc>
      </w:tr>
      <w:tr w:rsidR="00D240A9" w:rsidRPr="00D240A9" w14:paraId="50CBE320" w14:textId="77777777" w:rsidTr="00343B6C">
        <w:tc>
          <w:tcPr>
            <w:tcW w:w="9465" w:type="dxa"/>
          </w:tcPr>
          <w:p w14:paraId="6E176E13" w14:textId="77777777" w:rsidR="00D240A9" w:rsidRPr="00D240A9" w:rsidRDefault="00D240A9" w:rsidP="00D240A9">
            <w:pPr>
              <w:pStyle w:val="NormalWeb"/>
              <w:spacing w:before="0" w:after="0"/>
              <w:rPr>
                <w:rFonts w:ascii="Calibri" w:hAnsi="Calibri" w:cs="Calibri"/>
                <w:sz w:val="20"/>
                <w:szCs w:val="20"/>
              </w:rPr>
            </w:pPr>
            <w:r w:rsidRPr="00D240A9">
              <w:rPr>
                <w:rFonts w:ascii="Calibri" w:hAnsi="Calibri" w:cs="Calibri"/>
                <w:sz w:val="20"/>
                <w:szCs w:val="20"/>
              </w:rPr>
              <w:t xml:space="preserve">John notifies his manager that he will be absent for three days on personal leave to care for an immediate family member and will submit a statutory declaration to support this period of leave as it is not possible for them to immediately see a medical practitioner. Three days later John submits his application and provides a stat dec stating he was caring for a family member, indicating he will need a further 3 days personal leave and has included a stat dec for the 6 days. John's manager approves personal leave for 6 days. </w:t>
            </w:r>
          </w:p>
          <w:p w14:paraId="2DA5E841" w14:textId="06F3C1CC" w:rsidR="00D240A9" w:rsidRPr="00D240A9" w:rsidRDefault="00D240A9" w:rsidP="00D240A9">
            <w:pPr>
              <w:pStyle w:val="NormalWeb"/>
              <w:spacing w:before="0" w:after="0"/>
              <w:rPr>
                <w:rFonts w:ascii="Calibri" w:hAnsi="Calibri" w:cs="Calibri"/>
                <w:sz w:val="22"/>
                <w:szCs w:val="22"/>
              </w:rPr>
            </w:pPr>
            <w:r w:rsidRPr="00D240A9">
              <w:rPr>
                <w:rFonts w:ascii="Calibri" w:hAnsi="Calibri" w:cs="Calibri"/>
                <w:sz w:val="20"/>
                <w:szCs w:val="20"/>
              </w:rPr>
              <w:t xml:space="preserve">At the end of the 6 days, John requests a further 30 days personal leave and provides personal context around his situation indicating the personal leave may be extended again due to family reasons and that he would like to submit a stat dec for the 30 days of personal leave. John’s manager is empathetic and supportive, however, John’s manager notes that a statutory declaration is unsuitable where John </w:t>
            </w:r>
            <w:proofErr w:type="gramStart"/>
            <w:r w:rsidRPr="00D240A9">
              <w:rPr>
                <w:rFonts w:ascii="Calibri" w:hAnsi="Calibri" w:cs="Calibri"/>
                <w:sz w:val="20"/>
                <w:szCs w:val="20"/>
              </w:rPr>
              <w:t>is able to</w:t>
            </w:r>
            <w:proofErr w:type="gramEnd"/>
            <w:r w:rsidRPr="00D240A9">
              <w:rPr>
                <w:rFonts w:ascii="Calibri" w:hAnsi="Calibri" w:cs="Calibri"/>
                <w:sz w:val="20"/>
                <w:szCs w:val="20"/>
              </w:rPr>
              <w:t xml:space="preserve"> see a medical practitioner. The manager asks John to provide a medical certificate, given the length of time which has already passed and noting the length of the personal leave extension request of 30 days, to support the personal leave request. John is happy to do this and provides a medical certificate for 30 days. </w:t>
            </w:r>
          </w:p>
        </w:tc>
      </w:tr>
    </w:tbl>
    <w:p w14:paraId="1B0FF911" w14:textId="700CD1EA" w:rsidR="00112DB0" w:rsidRDefault="00112DB0" w:rsidP="00112DB0">
      <w:pPr>
        <w:pStyle w:val="Heading2"/>
      </w:pPr>
      <w:bookmarkStart w:id="21" w:name="_Toc214401092"/>
      <w:r>
        <w:t>When Personal Leave Credits are Exhausted</w:t>
      </w:r>
      <w:bookmarkEnd w:id="21"/>
    </w:p>
    <w:p w14:paraId="12CFDF15" w14:textId="77777777" w:rsidR="00112DB0" w:rsidRPr="00112DB0" w:rsidRDefault="00112DB0" w:rsidP="00112DB0">
      <w:pPr>
        <w:pStyle w:val="BulletNumbers"/>
        <w:rPr>
          <w:rFonts w:cs="Calibri"/>
        </w:rPr>
      </w:pPr>
      <w:bookmarkStart w:id="22" w:name="_Hlk176181359"/>
      <w:r w:rsidRPr="00112DB0">
        <w:rPr>
          <w:rFonts w:cs="Calibri"/>
        </w:rPr>
        <w:t>Where an employee has exhausted their personal leave credit</w:t>
      </w:r>
      <w:bookmarkEnd w:id="22"/>
      <w:r w:rsidRPr="00112DB0">
        <w:rPr>
          <w:rFonts w:cs="Calibri"/>
        </w:rPr>
        <w:t>, having provided documentary evidence, an employee may:</w:t>
      </w:r>
    </w:p>
    <w:p w14:paraId="43F70A8E" w14:textId="77777777" w:rsidR="00112DB0" w:rsidRPr="00112DB0" w:rsidRDefault="00112DB0" w:rsidP="00112DB0">
      <w:pPr>
        <w:pStyle w:val="BulletNumbers"/>
        <w:numPr>
          <w:ilvl w:val="1"/>
          <w:numId w:val="3"/>
        </w:numPr>
        <w:rPr>
          <w:rFonts w:cs="Calibri"/>
        </w:rPr>
      </w:pPr>
      <w:r w:rsidRPr="00112DB0">
        <w:rPr>
          <w:rFonts w:cs="Calibri"/>
        </w:rPr>
        <w:t xml:space="preserve">Be granted </w:t>
      </w:r>
      <w:r w:rsidRPr="00112DB0">
        <w:rPr>
          <w:rFonts w:cs="Calibri"/>
          <w:b/>
          <w:bCs/>
        </w:rPr>
        <w:t xml:space="preserve">paid or unpaid personal leave </w:t>
      </w:r>
      <w:r w:rsidRPr="00112DB0">
        <w:rPr>
          <w:rFonts w:cs="Calibri"/>
        </w:rPr>
        <w:t>by the appropriate delegate.</w:t>
      </w:r>
      <w:r w:rsidRPr="00112DB0">
        <w:rPr>
          <w:rStyle w:val="FootnoteReference"/>
          <w:rFonts w:cs="Calibri"/>
        </w:rPr>
        <w:footnoteReference w:id="9"/>
      </w:r>
    </w:p>
    <w:p w14:paraId="6D37009F" w14:textId="77777777" w:rsidR="00112DB0" w:rsidRPr="00112DB0" w:rsidRDefault="00112DB0" w:rsidP="00112DB0">
      <w:pPr>
        <w:pStyle w:val="BulletNumbers"/>
        <w:numPr>
          <w:ilvl w:val="1"/>
          <w:numId w:val="3"/>
        </w:numPr>
        <w:rPr>
          <w:rFonts w:cs="Calibri"/>
        </w:rPr>
      </w:pPr>
      <w:r w:rsidRPr="00112DB0">
        <w:rPr>
          <w:rFonts w:cs="Calibri"/>
          <w:b/>
          <w:bCs/>
        </w:rPr>
        <w:t>Anticipate</w:t>
      </w:r>
      <w:r w:rsidRPr="00112DB0">
        <w:rPr>
          <w:rFonts w:cs="Calibri"/>
        </w:rPr>
        <w:t xml:space="preserve"> up to 1 week paid personal leave for personal illness or injury or to care or support an immediate family or household member.</w:t>
      </w:r>
      <w:r w:rsidRPr="00112DB0">
        <w:rPr>
          <w:rStyle w:val="FootnoteReference"/>
          <w:rFonts w:cs="Calibri"/>
        </w:rPr>
        <w:footnoteReference w:id="10"/>
      </w:r>
      <w:r w:rsidRPr="00112DB0">
        <w:rPr>
          <w:rFonts w:cs="Calibri"/>
        </w:rPr>
        <w:t xml:space="preserve"> Anticipation requests are submitted with personal leave requests and are approved by the appropriate delegate.</w:t>
      </w:r>
    </w:p>
    <w:p w14:paraId="331DD61F" w14:textId="179293A6" w:rsidR="00112DB0" w:rsidRPr="00112DB0" w:rsidRDefault="00112DB0" w:rsidP="00112DB0">
      <w:pPr>
        <w:pStyle w:val="BulletNumbers"/>
        <w:numPr>
          <w:ilvl w:val="1"/>
          <w:numId w:val="3"/>
        </w:numPr>
        <w:rPr>
          <w:rFonts w:cs="Calibri"/>
        </w:rPr>
      </w:pPr>
      <w:r w:rsidRPr="00112DB0">
        <w:rPr>
          <w:rFonts w:cs="Calibri"/>
        </w:rPr>
        <w:t>Access their available annual leave or long service leave credits in lieu of personal leave. Leave used in this way is paid according to the relevant leave payment rules.</w:t>
      </w:r>
    </w:p>
    <w:p w14:paraId="3517AC92" w14:textId="60A6C699" w:rsidR="00112DB0" w:rsidRDefault="00112DB0" w:rsidP="00112DB0">
      <w:pPr>
        <w:pStyle w:val="Heading3"/>
      </w:pPr>
      <w:bookmarkStart w:id="23" w:name="_Toc214401093"/>
      <w:r>
        <w:t>Granting additional paid or unpaid leave</w:t>
      </w:r>
      <w:bookmarkEnd w:id="23"/>
    </w:p>
    <w:p w14:paraId="1B3C19F9" w14:textId="77777777" w:rsidR="00112DB0" w:rsidRPr="00112DB0" w:rsidRDefault="00112DB0" w:rsidP="00112DB0">
      <w:pPr>
        <w:pStyle w:val="BulletNumbers"/>
        <w:rPr>
          <w:rFonts w:cs="Calibri"/>
        </w:rPr>
      </w:pPr>
      <w:r w:rsidRPr="00112DB0">
        <w:rPr>
          <w:rFonts w:cs="Calibri"/>
        </w:rPr>
        <w:t xml:space="preserve">Additional </w:t>
      </w:r>
      <w:r w:rsidRPr="00112DB0">
        <w:rPr>
          <w:rFonts w:cs="Calibri"/>
          <w:b/>
          <w:bCs/>
        </w:rPr>
        <w:t>unpaid</w:t>
      </w:r>
      <w:r w:rsidRPr="00112DB0">
        <w:rPr>
          <w:rFonts w:cs="Calibri"/>
        </w:rPr>
        <w:t xml:space="preserve"> </w:t>
      </w:r>
      <w:r w:rsidRPr="00112DB0">
        <w:rPr>
          <w:rFonts w:cs="Calibri"/>
          <w:b/>
          <w:bCs/>
        </w:rPr>
        <w:t>personal leave</w:t>
      </w:r>
      <w:r w:rsidRPr="00112DB0">
        <w:rPr>
          <w:rFonts w:cs="Calibri"/>
        </w:rPr>
        <w:t xml:space="preserve"> may be granted where the employee suffers illness or injury or to care for an immediate family/household member who is ill or injured.</w:t>
      </w:r>
    </w:p>
    <w:p w14:paraId="6BBD242B" w14:textId="77777777" w:rsidR="00112DB0" w:rsidRPr="00112DB0" w:rsidRDefault="00112DB0" w:rsidP="00112DB0">
      <w:pPr>
        <w:pStyle w:val="BulletNumbers"/>
        <w:rPr>
          <w:rFonts w:cs="Calibri"/>
        </w:rPr>
      </w:pPr>
      <w:r w:rsidRPr="00112DB0">
        <w:rPr>
          <w:rFonts w:cs="Calibri"/>
        </w:rPr>
        <w:t xml:space="preserve"> Additional </w:t>
      </w:r>
      <w:r w:rsidRPr="00112DB0">
        <w:rPr>
          <w:rFonts w:cs="Calibri"/>
          <w:b/>
          <w:color w:val="000000" w:themeColor="text1"/>
        </w:rPr>
        <w:t>paid p</w:t>
      </w:r>
      <w:r w:rsidRPr="00112DB0">
        <w:rPr>
          <w:rFonts w:cs="Calibri"/>
          <w:b/>
        </w:rPr>
        <w:t>ersonal leave</w:t>
      </w:r>
      <w:r w:rsidRPr="00112DB0">
        <w:rPr>
          <w:rFonts w:cs="Calibri"/>
        </w:rPr>
        <w:t xml:space="preserve"> may be granted at:</w:t>
      </w:r>
    </w:p>
    <w:p w14:paraId="52218719" w14:textId="77777777" w:rsidR="00112DB0" w:rsidRPr="00112DB0" w:rsidRDefault="00112DB0" w:rsidP="003334AD">
      <w:pPr>
        <w:pStyle w:val="ListParagraph"/>
        <w:contextualSpacing w:val="0"/>
        <w:rPr>
          <w:rFonts w:cs="Calibri"/>
        </w:rPr>
      </w:pPr>
      <w:r w:rsidRPr="00112DB0">
        <w:rPr>
          <w:rFonts w:cs="Calibri"/>
        </w:rPr>
        <w:t>a.  full pay or</w:t>
      </w:r>
    </w:p>
    <w:p w14:paraId="6B489F20" w14:textId="0965D2BA" w:rsidR="00112DB0" w:rsidRPr="00112DB0" w:rsidRDefault="00112DB0" w:rsidP="003334AD">
      <w:pPr>
        <w:pStyle w:val="ListParagraph"/>
        <w:contextualSpacing w:val="0"/>
        <w:rPr>
          <w:rFonts w:cs="Calibri"/>
        </w:rPr>
      </w:pPr>
      <w:r w:rsidRPr="00112DB0">
        <w:rPr>
          <w:rFonts w:cs="Calibri"/>
        </w:rPr>
        <w:t xml:space="preserve">b. half pay, but only in </w:t>
      </w:r>
      <w:r w:rsidRPr="00112DB0">
        <w:rPr>
          <w:rFonts w:cs="Calibri"/>
          <w:b/>
        </w:rPr>
        <w:t xml:space="preserve">exceptional circumstances </w:t>
      </w:r>
      <w:r w:rsidRPr="00112DB0">
        <w:rPr>
          <w:rFonts w:cs="Calibri"/>
        </w:rPr>
        <w:t>for absences of at least one week.</w:t>
      </w:r>
      <w:r w:rsidRPr="00112DB0">
        <w:rPr>
          <w:rFonts w:cs="Calibri"/>
          <w:b/>
        </w:rPr>
        <w:t xml:space="preserve"> </w:t>
      </w:r>
    </w:p>
    <w:p w14:paraId="5C0D6EAF" w14:textId="77777777" w:rsidR="00112DB0" w:rsidRPr="00112DB0" w:rsidRDefault="00112DB0" w:rsidP="00112DB0">
      <w:pPr>
        <w:pStyle w:val="BulletNumbers"/>
        <w:rPr>
          <w:rFonts w:cs="Calibri"/>
        </w:rPr>
      </w:pPr>
      <w:r w:rsidRPr="00112DB0">
        <w:rPr>
          <w:rFonts w:cs="Calibri"/>
          <w:b/>
          <w:bCs/>
        </w:rPr>
        <w:t>Exceptional circumstances</w:t>
      </w:r>
      <w:r w:rsidRPr="00112DB0">
        <w:rPr>
          <w:rFonts w:cs="Calibri"/>
        </w:rPr>
        <w:t xml:space="preserve"> may involve sudden life-threatening illness, serious injury, or unexpected hospitalisation of the employee or employee’s immediate family or household. Such requests are considered on a case-by-case basis for instances of personal illness or injury or to care for an immediate family/ household member who is ill or injured. </w:t>
      </w:r>
    </w:p>
    <w:p w14:paraId="51C7C6F6" w14:textId="77777777" w:rsidR="00112DB0" w:rsidRDefault="00112DB0" w:rsidP="00112DB0">
      <w:pPr>
        <w:pStyle w:val="BulletNumbers"/>
        <w:rPr>
          <w:rFonts w:cs="Calibri"/>
        </w:rPr>
      </w:pPr>
      <w:r w:rsidRPr="00112DB0">
        <w:rPr>
          <w:rFonts w:cs="Calibri"/>
        </w:rPr>
        <w:t xml:space="preserve"> Prior to approving a request for additional paid personal leave, the delegate should consider the following: </w:t>
      </w:r>
    </w:p>
    <w:p w14:paraId="21DB5214" w14:textId="77777777" w:rsidR="00112DB0" w:rsidRDefault="00112DB0" w:rsidP="00112DB0">
      <w:pPr>
        <w:pStyle w:val="BulletNumbers"/>
        <w:numPr>
          <w:ilvl w:val="1"/>
          <w:numId w:val="3"/>
        </w:numPr>
        <w:rPr>
          <w:rFonts w:cs="Calibri"/>
        </w:rPr>
      </w:pPr>
      <w:r w:rsidRPr="00112DB0">
        <w:rPr>
          <w:rFonts w:cs="Calibri"/>
        </w:rPr>
        <w:t>Severity or suddenness of the illness/injury.</w:t>
      </w:r>
    </w:p>
    <w:p w14:paraId="5B3ECAE0" w14:textId="77777777" w:rsidR="00112DB0" w:rsidRDefault="00112DB0" w:rsidP="00112DB0">
      <w:pPr>
        <w:pStyle w:val="BulletNumbers"/>
        <w:numPr>
          <w:ilvl w:val="1"/>
          <w:numId w:val="3"/>
        </w:numPr>
        <w:rPr>
          <w:rFonts w:cs="Calibri"/>
        </w:rPr>
      </w:pPr>
      <w:r w:rsidRPr="00112DB0">
        <w:rPr>
          <w:rFonts w:cs="Calibri"/>
        </w:rPr>
        <w:t xml:space="preserve">The financial hardship caused by the illness/injury on the employee.  </w:t>
      </w:r>
    </w:p>
    <w:p w14:paraId="48E7516C" w14:textId="77777777" w:rsidR="00112DB0" w:rsidRDefault="00112DB0" w:rsidP="00112DB0">
      <w:pPr>
        <w:pStyle w:val="BulletNumbers"/>
        <w:numPr>
          <w:ilvl w:val="1"/>
          <w:numId w:val="3"/>
        </w:numPr>
        <w:rPr>
          <w:rFonts w:cs="Calibri"/>
        </w:rPr>
      </w:pPr>
      <w:r w:rsidRPr="00112DB0">
        <w:rPr>
          <w:rFonts w:cs="Calibri"/>
        </w:rPr>
        <w:lastRenderedPageBreak/>
        <w:t xml:space="preserve">Whether the employee has financial dependants. </w:t>
      </w:r>
    </w:p>
    <w:p w14:paraId="2CC86F26" w14:textId="3B3A5BFA" w:rsidR="00112DB0" w:rsidRPr="00112DB0" w:rsidRDefault="00112DB0" w:rsidP="00112DB0">
      <w:pPr>
        <w:pStyle w:val="BulletNumbers"/>
        <w:numPr>
          <w:ilvl w:val="1"/>
          <w:numId w:val="3"/>
        </w:numPr>
        <w:rPr>
          <w:rFonts w:cs="Calibri"/>
        </w:rPr>
      </w:pPr>
      <w:r w:rsidRPr="00112DB0">
        <w:rPr>
          <w:rFonts w:cs="Calibri"/>
        </w:rPr>
        <w:t xml:space="preserve">The work area’s financial delegations associated responsibilities. </w:t>
      </w:r>
    </w:p>
    <w:p w14:paraId="205CBE80" w14:textId="77777777" w:rsidR="00112DB0" w:rsidRPr="00112DB0" w:rsidRDefault="00112DB0" w:rsidP="00112DB0">
      <w:pPr>
        <w:pStyle w:val="BulletNumbers"/>
        <w:rPr>
          <w:rFonts w:cs="Calibri"/>
        </w:rPr>
      </w:pPr>
      <w:r w:rsidRPr="00112DB0">
        <w:rPr>
          <w:rFonts w:cs="Calibri"/>
        </w:rPr>
        <w:t xml:space="preserve">Additional paid personal leave must not be approved for a condition for which the employee is receiving compensation under the </w:t>
      </w:r>
      <w:hyperlink r:id="rId25" w:history="1">
        <w:r w:rsidRPr="00112DB0">
          <w:rPr>
            <w:rStyle w:val="Hyperlink"/>
            <w:rFonts w:cs="Calibri"/>
            <w:i/>
            <w:iCs/>
          </w:rPr>
          <w:t>Safety, Rehabilitation and Compensation Act 1988</w:t>
        </w:r>
      </w:hyperlink>
      <w:r w:rsidRPr="00112DB0">
        <w:rPr>
          <w:rFonts w:cs="Calibri"/>
        </w:rPr>
        <w:t xml:space="preserve">. </w:t>
      </w:r>
    </w:p>
    <w:tbl>
      <w:tblPr>
        <w:tblStyle w:val="Breakoutbox"/>
        <w:tblW w:w="0" w:type="auto"/>
        <w:tblLook w:val="04A0" w:firstRow="1" w:lastRow="0" w:firstColumn="1" w:lastColumn="0" w:noHBand="0" w:noVBand="1"/>
      </w:tblPr>
      <w:tblGrid>
        <w:gridCol w:w="9465"/>
      </w:tblGrid>
      <w:tr w:rsidR="00112DB0" w:rsidRPr="00D240A9" w14:paraId="71F18D1E" w14:textId="77777777" w:rsidTr="00343B6C">
        <w:tc>
          <w:tcPr>
            <w:tcW w:w="9465" w:type="dxa"/>
          </w:tcPr>
          <w:p w14:paraId="50D762AE" w14:textId="6F4517A3" w:rsidR="00112DB0" w:rsidRPr="00D240A9" w:rsidRDefault="00112DB0" w:rsidP="00343B6C">
            <w:pPr>
              <w:pStyle w:val="Heading5"/>
              <w:rPr>
                <w:rFonts w:ascii="Calibri" w:hAnsi="Calibri" w:cs="Calibri"/>
                <w:color w:val="7030A0"/>
                <w:sz w:val="20"/>
                <w:szCs w:val="20"/>
              </w:rPr>
            </w:pPr>
            <w:r w:rsidRPr="00D240A9">
              <w:rPr>
                <w:rFonts w:ascii="Calibri" w:hAnsi="Calibri" w:cs="Calibri"/>
                <w:color w:val="7030A0"/>
                <w:sz w:val="20"/>
                <w:szCs w:val="20"/>
              </w:rPr>
              <w:t xml:space="preserve">Example: </w:t>
            </w:r>
            <w:r>
              <w:rPr>
                <w:rFonts w:ascii="Calibri" w:hAnsi="Calibri" w:cs="Calibri"/>
                <w:color w:val="7030A0"/>
                <w:sz w:val="20"/>
                <w:szCs w:val="20"/>
              </w:rPr>
              <w:t>Approving additional paid personal leave</w:t>
            </w:r>
          </w:p>
        </w:tc>
      </w:tr>
      <w:tr w:rsidR="00112DB0" w:rsidRPr="00D240A9" w14:paraId="38464726" w14:textId="77777777" w:rsidTr="00343B6C">
        <w:tc>
          <w:tcPr>
            <w:tcW w:w="9465" w:type="dxa"/>
          </w:tcPr>
          <w:p w14:paraId="0526B04E" w14:textId="321A426B" w:rsidR="00112DB0" w:rsidRPr="00112DB0" w:rsidRDefault="00112DB0" w:rsidP="00112DB0">
            <w:pPr>
              <w:rPr>
                <w:rFonts w:cs="Calibri"/>
                <w:sz w:val="20"/>
                <w:szCs w:val="20"/>
                <w:lang w:eastAsia="en-AU"/>
              </w:rPr>
            </w:pPr>
            <w:r w:rsidRPr="00112DB0">
              <w:rPr>
                <w:rFonts w:cs="Calibri"/>
                <w:sz w:val="20"/>
                <w:szCs w:val="20"/>
                <w:lang w:eastAsia="en-AU"/>
              </w:rPr>
              <w:t xml:space="preserve">Simona works full-time and has an on-going medical condition. She has exhausted her personal leave balance while working flexibly. Simona’s condition suddenly worsens, becoming life-threatening and resulting in unexpected 4 week stay in hospital. Simona contacts her manager with a request for additional paid personal leave, asking that the approving delegate consider the sudden nature of her hospitalisation and her circumstances being that she is a single parent household with one dependant and has suffered significant financial hardship due to hospitalisation. Simona’s manager identifies the appropriate delegate as outlined in her business area’s delegation manual, briefing them on Simona’s request with all relevant facts so they may make an informed decision. </w:t>
            </w:r>
            <w:r w:rsidRPr="00D240A9">
              <w:rPr>
                <w:rFonts w:cs="Calibri"/>
                <w:sz w:val="20"/>
                <w:szCs w:val="20"/>
              </w:rPr>
              <w:t xml:space="preserve"> </w:t>
            </w:r>
          </w:p>
        </w:tc>
      </w:tr>
    </w:tbl>
    <w:p w14:paraId="054F9031" w14:textId="77777777" w:rsidR="00112DB0" w:rsidRDefault="00112DB0" w:rsidP="00112DB0">
      <w:pPr>
        <w:rPr>
          <w:lang w:val="en-GB" w:eastAsia="en-AU"/>
        </w:rPr>
      </w:pPr>
    </w:p>
    <w:tbl>
      <w:tblPr>
        <w:tblStyle w:val="Breakoutbox"/>
        <w:tblW w:w="0" w:type="auto"/>
        <w:tblLook w:val="04A0" w:firstRow="1" w:lastRow="0" w:firstColumn="1" w:lastColumn="0" w:noHBand="0" w:noVBand="1"/>
      </w:tblPr>
      <w:tblGrid>
        <w:gridCol w:w="9465"/>
      </w:tblGrid>
      <w:tr w:rsidR="00112DB0" w:rsidRPr="00D240A9" w14:paraId="5F493E26" w14:textId="77777777" w:rsidTr="00343B6C">
        <w:tc>
          <w:tcPr>
            <w:tcW w:w="9465" w:type="dxa"/>
          </w:tcPr>
          <w:p w14:paraId="08166C66" w14:textId="43D380B6" w:rsidR="00112DB0" w:rsidRPr="00D240A9" w:rsidRDefault="00112DB0" w:rsidP="00343B6C">
            <w:pPr>
              <w:pStyle w:val="Heading5"/>
              <w:rPr>
                <w:rFonts w:ascii="Calibri" w:hAnsi="Calibri" w:cs="Calibri"/>
                <w:color w:val="7030A0"/>
                <w:sz w:val="20"/>
                <w:szCs w:val="20"/>
              </w:rPr>
            </w:pPr>
            <w:r w:rsidRPr="00D240A9">
              <w:rPr>
                <w:rFonts w:ascii="Calibri" w:hAnsi="Calibri" w:cs="Calibri"/>
                <w:color w:val="7030A0"/>
                <w:sz w:val="20"/>
                <w:szCs w:val="20"/>
              </w:rPr>
              <w:t xml:space="preserve">Example: </w:t>
            </w:r>
            <w:r>
              <w:rPr>
                <w:rFonts w:ascii="Calibri" w:hAnsi="Calibri" w:cs="Calibri"/>
                <w:color w:val="7030A0"/>
                <w:sz w:val="20"/>
                <w:szCs w:val="20"/>
              </w:rPr>
              <w:t>Anticipating personal leave</w:t>
            </w:r>
          </w:p>
        </w:tc>
      </w:tr>
      <w:tr w:rsidR="00112DB0" w:rsidRPr="00D240A9" w14:paraId="56391576" w14:textId="77777777" w:rsidTr="00343B6C">
        <w:tc>
          <w:tcPr>
            <w:tcW w:w="9465" w:type="dxa"/>
          </w:tcPr>
          <w:p w14:paraId="59275D74" w14:textId="5DB7AB48" w:rsidR="00112DB0" w:rsidRPr="00112DB0" w:rsidRDefault="00112DB0" w:rsidP="00112DB0">
            <w:pPr>
              <w:pStyle w:val="ListNumber"/>
              <w:numPr>
                <w:ilvl w:val="0"/>
                <w:numId w:val="0"/>
              </w:numPr>
              <w:spacing w:after="60"/>
              <w:rPr>
                <w:rFonts w:cs="Calibri"/>
                <w:color w:val="000000" w:themeColor="text1"/>
                <w:sz w:val="20"/>
              </w:rPr>
            </w:pPr>
            <w:r w:rsidRPr="00112DB0">
              <w:rPr>
                <w:rFonts w:cs="Calibri"/>
                <w:color w:val="000000" w:themeColor="text1"/>
                <w:sz w:val="20"/>
              </w:rPr>
              <w:t xml:space="preserve">Kay has needed to use personal leave often in the past year because of a chronic health condition and caring responsibilities as a single parent. As a result, they have exhausted their personal leave balance. Kay requires further leave to care for their child who has chickenpox and is anticipated to be on leave for 3 days. Kay has a certificate from their doctor confirming they need to care for their child who has chickenpox. Kay provides the certificate to their manager with a leave application and a request to anticipate 3 days (22.05 hours) of personal leave. Kay’s manager considers Kay’s circumstances and medical certificate </w:t>
            </w:r>
            <w:r w:rsidR="00D633BD" w:rsidRPr="00112DB0">
              <w:rPr>
                <w:rFonts w:cs="Calibri"/>
                <w:color w:val="000000" w:themeColor="text1"/>
                <w:sz w:val="20"/>
              </w:rPr>
              <w:t>provided and</w:t>
            </w:r>
            <w:r w:rsidRPr="00112DB0">
              <w:rPr>
                <w:rFonts w:cs="Calibri"/>
                <w:color w:val="000000" w:themeColor="text1"/>
                <w:sz w:val="20"/>
              </w:rPr>
              <w:t xml:space="preserve"> decides on this occasion to approve the request. The anticipation request is sent to Shared Services Payroll along with the leave application. Once processed, Kay will see a negative personal leave balance on their payslip until they have accrued the leave back. In this case, an anticipation of 22.05 hours, this will take approximately 9 weeks for a full- time employee to accrue.</w:t>
            </w:r>
            <w:r w:rsidRPr="00D240A9">
              <w:rPr>
                <w:rFonts w:cs="Calibri"/>
                <w:sz w:val="20"/>
              </w:rPr>
              <w:t xml:space="preserve"> </w:t>
            </w:r>
          </w:p>
        </w:tc>
      </w:tr>
    </w:tbl>
    <w:p w14:paraId="44C6FE2A" w14:textId="317919F5" w:rsidR="00112DB0" w:rsidRDefault="00112DB0" w:rsidP="00112DB0">
      <w:pPr>
        <w:pStyle w:val="Heading2"/>
      </w:pPr>
      <w:bookmarkStart w:id="24" w:name="_Toc214401094"/>
      <w:r>
        <w:t>Interaction with Other Leave Types and Entitlements</w:t>
      </w:r>
      <w:bookmarkEnd w:id="24"/>
    </w:p>
    <w:p w14:paraId="48C4D30E" w14:textId="77777777" w:rsidR="00112DB0" w:rsidRDefault="00112DB0" w:rsidP="00112DB0">
      <w:pPr>
        <w:pStyle w:val="BulletNumbers"/>
      </w:pPr>
      <w:r>
        <w:t>Personal leave</w:t>
      </w:r>
      <w:r w:rsidRPr="002426D5">
        <w:t xml:space="preserve"> of up to 5 days must be approved</w:t>
      </w:r>
      <w:r>
        <w:t xml:space="preserve"> </w:t>
      </w:r>
      <w:r w:rsidRPr="002426D5">
        <w:t>for bonding purposes</w:t>
      </w:r>
      <w:r>
        <w:t>.</w:t>
      </w:r>
      <w:r w:rsidRPr="00965BA1">
        <w:rPr>
          <w:rStyle w:val="FootnoteReference"/>
          <w:rFonts w:asciiTheme="minorHAnsi" w:hAnsiTheme="minorHAnsi" w:cstheme="minorHAnsi"/>
        </w:rPr>
        <w:t xml:space="preserve"> </w:t>
      </w:r>
      <w:r>
        <w:rPr>
          <w:rStyle w:val="FootnoteReference"/>
          <w:rFonts w:asciiTheme="minorHAnsi" w:hAnsiTheme="minorHAnsi" w:cstheme="minorHAnsi"/>
        </w:rPr>
        <w:footnoteReference w:id="11"/>
      </w:r>
      <w:r w:rsidRPr="002426D5">
        <w:t xml:space="preserve"> </w:t>
      </w:r>
      <w:r>
        <w:t xml:space="preserve">Personal leave for bonding purposes </w:t>
      </w:r>
      <w:r w:rsidRPr="002426D5">
        <w:t>is</w:t>
      </w:r>
      <w:r>
        <w:t xml:space="preserve"> deducted </w:t>
      </w:r>
      <w:r w:rsidRPr="002426D5">
        <w:t xml:space="preserve">from the employee’s </w:t>
      </w:r>
      <w:r>
        <w:t>personal leave</w:t>
      </w:r>
      <w:r w:rsidRPr="002426D5">
        <w:t xml:space="preserve"> credit</w:t>
      </w:r>
      <w:r>
        <w:t xml:space="preserve"> and can be taken at any time up to 14 weeks from the date of the birth, adoption or commencement of the permanent or long-term caring arrangement</w:t>
      </w:r>
      <w:r w:rsidRPr="002426D5">
        <w:t>.</w:t>
      </w:r>
      <w:r>
        <w:rPr>
          <w:rStyle w:val="FootnoteReference"/>
          <w:rFonts w:asciiTheme="minorHAnsi" w:hAnsiTheme="minorHAnsi" w:cstheme="minorHAnsi"/>
        </w:rPr>
        <w:footnoteReference w:id="12"/>
      </w:r>
    </w:p>
    <w:p w14:paraId="3AAC2D05" w14:textId="1B76FEC7" w:rsidR="00112DB0" w:rsidRPr="00112DB0" w:rsidRDefault="00112DB0" w:rsidP="00112DB0">
      <w:pPr>
        <w:pStyle w:val="BulletNumbers"/>
        <w:rPr>
          <w:rFonts w:cs="Calibri"/>
        </w:rPr>
      </w:pPr>
      <w:r w:rsidRPr="00112DB0">
        <w:rPr>
          <w:rFonts w:cs="Calibri"/>
          <w:b/>
          <w:bCs/>
        </w:rPr>
        <w:t>Annual leave, purchased leave, long service leave, unpaid birth, unpaid parental</w:t>
      </w:r>
      <w:r w:rsidRPr="00112DB0">
        <w:rPr>
          <w:rFonts w:cs="Calibri"/>
        </w:rPr>
        <w:t xml:space="preserve"> and </w:t>
      </w:r>
      <w:r w:rsidRPr="00112DB0">
        <w:rPr>
          <w:rFonts w:cs="Calibri"/>
          <w:b/>
          <w:bCs/>
        </w:rPr>
        <w:t>unpaid grandparental leave, accrued days off</w:t>
      </w:r>
      <w:r w:rsidRPr="00112DB0">
        <w:rPr>
          <w:rFonts w:cs="Calibri"/>
        </w:rPr>
        <w:t xml:space="preserve"> (‘ADO’s) as well as </w:t>
      </w:r>
      <w:r w:rsidRPr="00112DB0">
        <w:rPr>
          <w:rFonts w:cs="Calibri"/>
          <w:b/>
        </w:rPr>
        <w:t>Other Leave in Annex D</w:t>
      </w:r>
      <w:r w:rsidRPr="00112DB0">
        <w:rPr>
          <w:rFonts w:cs="Calibri"/>
        </w:rPr>
        <w:t xml:space="preserve"> can be re-credited where an employee provides </w:t>
      </w:r>
      <w:r w:rsidRPr="00112DB0">
        <w:rPr>
          <w:rFonts w:cs="Calibri"/>
          <w:b/>
          <w:bCs/>
        </w:rPr>
        <w:t>a certificate</w:t>
      </w:r>
      <w:r w:rsidRPr="00112DB0">
        <w:rPr>
          <w:rFonts w:cs="Calibri"/>
        </w:rPr>
        <w:t xml:space="preserve"> demonstrating they were unfit to work and have personal leave approved for one day or longer. A cancellation or amendment request must be submitted to the appropriate payroll area/team who may then recredit the relevant leave upon receiving and processing the approved personal leave application. </w:t>
      </w:r>
    </w:p>
    <w:p w14:paraId="7A47F8CC" w14:textId="77777777" w:rsidR="00112DB0" w:rsidRPr="00112DB0" w:rsidRDefault="00112DB0" w:rsidP="00112DB0">
      <w:pPr>
        <w:pStyle w:val="BulletNumbers"/>
        <w:rPr>
          <w:rFonts w:cs="Calibri"/>
        </w:rPr>
      </w:pPr>
      <w:r w:rsidRPr="00112DB0">
        <w:rPr>
          <w:rFonts w:cs="Calibri"/>
        </w:rPr>
        <w:lastRenderedPageBreak/>
        <w:t>Attendance at routine medical appointments, particularly for periods less than a full day, may be requested to be taken as flextime (for eligible employees) and/or as a flexible working arrangement. For example, a flexible work agreement to make up the time taken to attend routine medical appointments may be utilised instead of personal leave. Such arrangements must be agreed between the employee and manager in advance.</w:t>
      </w:r>
      <w:r w:rsidRPr="00112DB0">
        <w:rPr>
          <w:rStyle w:val="FootnoteReference"/>
          <w:rFonts w:cs="Calibri"/>
          <w:sz w:val="20"/>
        </w:rPr>
        <w:footnoteReference w:id="13"/>
      </w:r>
    </w:p>
    <w:p w14:paraId="36209E19" w14:textId="77777777" w:rsidR="00112DB0" w:rsidRPr="00112DB0" w:rsidRDefault="00112DB0" w:rsidP="00112DB0">
      <w:pPr>
        <w:pStyle w:val="BulletNumbers"/>
        <w:rPr>
          <w:rFonts w:cs="Calibri"/>
        </w:rPr>
      </w:pPr>
      <w:r w:rsidRPr="00112DB0">
        <w:rPr>
          <w:rFonts w:cs="Calibri"/>
        </w:rPr>
        <w:t>Where an employee is on personal leave and engage in misconduct, they may be suspended from duty with or without pay, which will override personal leave.</w:t>
      </w:r>
    </w:p>
    <w:p w14:paraId="3576546E" w14:textId="6FCEB64A" w:rsidR="00112DB0" w:rsidRDefault="00112DB0" w:rsidP="00112DB0">
      <w:pPr>
        <w:pStyle w:val="Heading2"/>
      </w:pPr>
      <w:bookmarkStart w:id="25" w:name="_Toc214401095"/>
      <w:r>
        <w:t>Contact with Employees during Personal Leave</w:t>
      </w:r>
      <w:bookmarkEnd w:id="25"/>
    </w:p>
    <w:p w14:paraId="5185CF16" w14:textId="77777777" w:rsidR="00112DB0" w:rsidRPr="00112DB0" w:rsidRDefault="00112DB0" w:rsidP="00112DB0">
      <w:pPr>
        <w:pStyle w:val="BulletNumbers"/>
        <w:rPr>
          <w:rFonts w:cs="Calibri"/>
        </w:rPr>
      </w:pPr>
      <w:bookmarkStart w:id="26" w:name="_Hlk176179176"/>
      <w:bookmarkStart w:id="27" w:name="_Hlk176178852"/>
      <w:r w:rsidRPr="00112DB0">
        <w:rPr>
          <w:rFonts w:cs="Calibri"/>
        </w:rPr>
        <w:t xml:space="preserve">Managers have a duty of care to stay in touch with employees throughout periods of personal leave and prepare for any potential requirements on their return to work. Employees should ensure they communicate known periods of leave related to medical illness or injury and provide relevant information to their manager, payroll and/or HR. </w:t>
      </w:r>
    </w:p>
    <w:bookmarkEnd w:id="26"/>
    <w:p w14:paraId="404EC914" w14:textId="77777777" w:rsidR="00112DB0" w:rsidRDefault="00112DB0" w:rsidP="00112DB0">
      <w:pPr>
        <w:pStyle w:val="BulletNumbers"/>
        <w:rPr>
          <w:rFonts w:cs="Calibri"/>
        </w:rPr>
      </w:pPr>
      <w:r w:rsidRPr="00112DB0">
        <w:rPr>
          <w:rFonts w:cs="Calibri"/>
        </w:rPr>
        <w:t xml:space="preserve">Circumstances that may require contact include:  </w:t>
      </w:r>
    </w:p>
    <w:p w14:paraId="34B04804" w14:textId="77777777" w:rsidR="00112DB0" w:rsidRDefault="00112DB0" w:rsidP="00112DB0">
      <w:pPr>
        <w:pStyle w:val="BulletNumbers"/>
        <w:numPr>
          <w:ilvl w:val="1"/>
          <w:numId w:val="3"/>
        </w:numPr>
        <w:rPr>
          <w:rFonts w:cs="Calibri"/>
        </w:rPr>
      </w:pPr>
      <w:r w:rsidRPr="00112DB0">
        <w:rPr>
          <w:rFonts w:cs="Calibri"/>
        </w:rPr>
        <w:t xml:space="preserve">To undertake a welfare check. For example, where an employee has not commenced work at their expected time and personal leave has not yet been granted. </w:t>
      </w:r>
    </w:p>
    <w:p w14:paraId="51BB0F4D" w14:textId="77777777" w:rsidR="00112DB0" w:rsidRDefault="00112DB0" w:rsidP="00112DB0">
      <w:pPr>
        <w:pStyle w:val="BulletNumbers"/>
        <w:numPr>
          <w:ilvl w:val="1"/>
          <w:numId w:val="3"/>
        </w:numPr>
        <w:rPr>
          <w:rFonts w:cs="Calibri"/>
        </w:rPr>
      </w:pPr>
      <w:r w:rsidRPr="00112DB0">
        <w:rPr>
          <w:rFonts w:cs="Calibri"/>
        </w:rPr>
        <w:t xml:space="preserve">To confirm or progress matters directly related to the employee’s ongoing personal leave application. For example: </w:t>
      </w:r>
    </w:p>
    <w:p w14:paraId="2220FA9F" w14:textId="77777777" w:rsidR="00112DB0" w:rsidRDefault="00112DB0" w:rsidP="00112DB0">
      <w:pPr>
        <w:pStyle w:val="BulletNumbers"/>
        <w:numPr>
          <w:ilvl w:val="2"/>
          <w:numId w:val="3"/>
        </w:numPr>
        <w:rPr>
          <w:rFonts w:cs="Calibri"/>
        </w:rPr>
      </w:pPr>
      <w:r w:rsidRPr="00112DB0">
        <w:rPr>
          <w:rFonts w:cs="Calibri"/>
        </w:rPr>
        <w:t>To refer the employee for a medical examination or assessment.</w:t>
      </w:r>
    </w:p>
    <w:p w14:paraId="623CC155" w14:textId="77777777" w:rsidR="00112DB0" w:rsidRDefault="00112DB0" w:rsidP="00112DB0">
      <w:pPr>
        <w:pStyle w:val="BulletNumbers"/>
        <w:numPr>
          <w:ilvl w:val="2"/>
          <w:numId w:val="3"/>
        </w:numPr>
        <w:rPr>
          <w:rFonts w:cs="Calibri"/>
        </w:rPr>
      </w:pPr>
      <w:r w:rsidRPr="00112DB0">
        <w:rPr>
          <w:rFonts w:cs="Calibri"/>
        </w:rPr>
        <w:t xml:space="preserve">To determine whether reasonable adjustments, flexible work arrangements or a return-to-work plan is required to assist the employee’s return to work. </w:t>
      </w:r>
    </w:p>
    <w:p w14:paraId="02D6C79D" w14:textId="77777777" w:rsidR="00112DB0" w:rsidRDefault="00112DB0" w:rsidP="00112DB0">
      <w:pPr>
        <w:pStyle w:val="BulletNumbers"/>
        <w:numPr>
          <w:ilvl w:val="2"/>
          <w:numId w:val="3"/>
        </w:numPr>
        <w:rPr>
          <w:rFonts w:cs="Calibri"/>
        </w:rPr>
      </w:pPr>
      <w:r w:rsidRPr="00112DB0">
        <w:rPr>
          <w:rFonts w:cs="Calibri"/>
        </w:rPr>
        <w:t xml:space="preserve">To request information where an employee has commenced personal leave due to an unexpected event or sudden illness/injury and where this information was not provided upon notification. </w:t>
      </w:r>
    </w:p>
    <w:p w14:paraId="7905F889" w14:textId="77777777" w:rsidR="00112DB0" w:rsidRDefault="00112DB0" w:rsidP="00112DB0">
      <w:pPr>
        <w:pStyle w:val="BulletNumbers"/>
        <w:numPr>
          <w:ilvl w:val="2"/>
          <w:numId w:val="3"/>
        </w:numPr>
        <w:rPr>
          <w:rFonts w:cs="Calibri"/>
        </w:rPr>
      </w:pPr>
      <w:r w:rsidRPr="00112DB0">
        <w:rPr>
          <w:rFonts w:cs="Calibri"/>
        </w:rPr>
        <w:t xml:space="preserve">To seek further relevant information from the employee to assist in responding to the employee’s requests or questions. </w:t>
      </w:r>
    </w:p>
    <w:p w14:paraId="5ED55287" w14:textId="77777777" w:rsidR="00112DB0" w:rsidRDefault="00112DB0" w:rsidP="00112DB0">
      <w:pPr>
        <w:pStyle w:val="BulletNumbers"/>
        <w:numPr>
          <w:ilvl w:val="1"/>
          <w:numId w:val="3"/>
        </w:numPr>
        <w:rPr>
          <w:rFonts w:cs="Calibri"/>
        </w:rPr>
      </w:pPr>
      <w:r w:rsidRPr="00112DB0">
        <w:rPr>
          <w:rFonts w:cs="Calibri"/>
        </w:rPr>
        <w:t>Consultation on workplace matters in accordance with Section F on the ACTPS Enterprise Agreements.</w:t>
      </w:r>
    </w:p>
    <w:p w14:paraId="6D8B3BAE" w14:textId="77777777" w:rsidR="00112DB0" w:rsidRDefault="00112DB0" w:rsidP="00112DB0">
      <w:pPr>
        <w:pStyle w:val="BulletNumbers"/>
        <w:numPr>
          <w:ilvl w:val="1"/>
          <w:numId w:val="3"/>
        </w:numPr>
        <w:rPr>
          <w:rFonts w:cs="Calibri"/>
        </w:rPr>
      </w:pPr>
      <w:r w:rsidRPr="00112DB0">
        <w:rPr>
          <w:rFonts w:cs="Calibri"/>
        </w:rPr>
        <w:t>Conduct related matters e.g. to issue correspondence pertaining to preliminary assessments, investigations, termination of employment.</w:t>
      </w:r>
    </w:p>
    <w:p w14:paraId="6F6BBA24" w14:textId="1471D1D3" w:rsidR="00112DB0" w:rsidRPr="00112DB0" w:rsidRDefault="00112DB0" w:rsidP="00112DB0">
      <w:pPr>
        <w:pStyle w:val="BulletNumbers"/>
        <w:numPr>
          <w:ilvl w:val="1"/>
          <w:numId w:val="3"/>
        </w:numPr>
        <w:rPr>
          <w:rFonts w:cs="Calibri"/>
        </w:rPr>
      </w:pPr>
      <w:r w:rsidRPr="00112DB0">
        <w:rPr>
          <w:rFonts w:cs="Calibri"/>
        </w:rPr>
        <w:t xml:space="preserve">To ensure an employee remains connected to the workplace while on prolonged personal leave. Managers should discuss such a contact arrangement prior to leave commencement where possible. </w:t>
      </w:r>
    </w:p>
    <w:p w14:paraId="12D0F962" w14:textId="77777777" w:rsidR="00112DB0" w:rsidRPr="00112DB0" w:rsidRDefault="00112DB0" w:rsidP="00112DB0">
      <w:pPr>
        <w:pStyle w:val="BulletNumbers"/>
        <w:rPr>
          <w:rFonts w:cs="Calibri"/>
          <w:color w:val="000000" w:themeColor="text1"/>
          <w:sz w:val="21"/>
          <w:szCs w:val="21"/>
        </w:rPr>
      </w:pPr>
      <w:r w:rsidRPr="00112DB0">
        <w:rPr>
          <w:rFonts w:cs="Calibri"/>
        </w:rPr>
        <w:t xml:space="preserve">Prior to contact, managers should determine whether contact is necessary and exercise judgment based on the employee’s circumstances and the </w:t>
      </w:r>
      <w:r w:rsidRPr="00112DB0">
        <w:rPr>
          <w:rFonts w:cs="Calibri"/>
          <w:b/>
          <w:bCs/>
        </w:rPr>
        <w:t>right to disconnect</w:t>
      </w:r>
      <w:r w:rsidRPr="00112DB0">
        <w:rPr>
          <w:rStyle w:val="FootnoteReference"/>
          <w:rFonts w:cs="Calibri"/>
        </w:rPr>
        <w:footnoteReference w:id="14"/>
      </w:r>
      <w:r w:rsidRPr="00112DB0">
        <w:rPr>
          <w:rFonts w:cs="Calibri"/>
        </w:rPr>
        <w:t>.</w:t>
      </w:r>
    </w:p>
    <w:p w14:paraId="13BC73D1" w14:textId="024481E9" w:rsidR="00112DB0" w:rsidRDefault="00112DB0" w:rsidP="00112DB0">
      <w:pPr>
        <w:pStyle w:val="Heading2"/>
      </w:pPr>
      <w:bookmarkStart w:id="28" w:name="_Toc214401096"/>
      <w:bookmarkEnd w:id="27"/>
      <w:r>
        <w:lastRenderedPageBreak/>
        <w:t xml:space="preserve">Personal Leave in Special, Extraordinary and </w:t>
      </w:r>
      <w:r w:rsidR="00827AF0">
        <w:t>Unforeseen Circumstances</w:t>
      </w:r>
      <w:bookmarkEnd w:id="28"/>
    </w:p>
    <w:p w14:paraId="249E8128" w14:textId="77777777" w:rsidR="00827AF0" w:rsidRPr="00827AF0" w:rsidRDefault="00827AF0" w:rsidP="00827AF0">
      <w:pPr>
        <w:pStyle w:val="BulletNumbers"/>
      </w:pPr>
      <w:bookmarkStart w:id="29" w:name="_Hlk176184491"/>
      <w:bookmarkStart w:id="30" w:name="_Hlk170300366"/>
      <w:r w:rsidRPr="00827AF0">
        <w:t>Entitlement to personal leave in Special, Extraordinary or Unforeseen Circumstances (SEUC) is available under clause E5 of the enterprise agreement</w:t>
      </w:r>
      <w:bookmarkEnd w:id="29"/>
      <w:r w:rsidRPr="00827AF0">
        <w:t>. It provides for a more flexible use of personal leave credits, allowing these credits to be accessed in circumstances where it is essential the employee be absent from duty, but does not meet the agreement provisions for personal leave, including ordinary illness or injury.</w:t>
      </w:r>
    </w:p>
    <w:bookmarkEnd w:id="30"/>
    <w:p w14:paraId="6FCDAB41" w14:textId="77777777" w:rsidR="00827AF0" w:rsidRPr="00827AF0" w:rsidRDefault="00827AF0" w:rsidP="00827AF0">
      <w:pPr>
        <w:pStyle w:val="BulletNumbers"/>
      </w:pPr>
      <w:r w:rsidRPr="00827AF0">
        <w:t>The below advice clarifies, with some examples, how personal leave in SEUC may be accessed.</w:t>
      </w:r>
    </w:p>
    <w:p w14:paraId="40A7A7D6" w14:textId="5AE4BDCC" w:rsidR="00827AF0" w:rsidRDefault="00827AF0" w:rsidP="00827AF0">
      <w:pPr>
        <w:pStyle w:val="Heading3"/>
      </w:pPr>
      <w:bookmarkStart w:id="31" w:name="_Toc214401097"/>
      <w:r>
        <w:t>Entitlements</w:t>
      </w:r>
      <w:bookmarkEnd w:id="31"/>
    </w:p>
    <w:p w14:paraId="5B0AA7FD" w14:textId="77777777" w:rsidR="00827AF0" w:rsidRDefault="00827AF0" w:rsidP="00827AF0">
      <w:pPr>
        <w:pStyle w:val="BulletNumbers"/>
      </w:pPr>
      <w:bookmarkStart w:id="32" w:name="_Hlk170300390"/>
      <w:r w:rsidRPr="00827AF0">
        <w:t>Employees are entitled to be absent from duty for a maximum in SEUC of 10 days in an accrual year. These 10 days are deducted from personal leave credits.</w:t>
      </w:r>
      <w:bookmarkEnd w:id="32"/>
    </w:p>
    <w:p w14:paraId="2319D8F8" w14:textId="77777777" w:rsidR="00827AF0" w:rsidRPr="00827AF0" w:rsidRDefault="00827AF0" w:rsidP="00827AF0">
      <w:pPr>
        <w:pStyle w:val="BulletNumbers"/>
      </w:pPr>
      <w:r w:rsidRPr="00827AF0">
        <w:rPr>
          <w:rFonts w:cs="Calibri"/>
        </w:rPr>
        <w:t>Personal leave in SEUC must be granted with pay and is paid at the same rate as personal leave.</w:t>
      </w:r>
    </w:p>
    <w:p w14:paraId="3E972487" w14:textId="77777777" w:rsidR="00827AF0" w:rsidRPr="00827AF0" w:rsidRDefault="00827AF0" w:rsidP="00827AF0">
      <w:pPr>
        <w:pStyle w:val="BulletNumbers"/>
      </w:pPr>
      <w:r w:rsidRPr="00827AF0">
        <w:rPr>
          <w:rFonts w:cs="Calibri"/>
        </w:rPr>
        <w:t>Personal leave in SEUC should only be accessed where no other leave type is applicable unless specified by a Directorate/Agency in an ACTPS Enterprise Agreement or Directorate/Agency Policy.</w:t>
      </w:r>
    </w:p>
    <w:p w14:paraId="78FFDDF6" w14:textId="77777777" w:rsidR="00827AF0" w:rsidRPr="00827AF0" w:rsidRDefault="00827AF0" w:rsidP="00827AF0">
      <w:pPr>
        <w:pStyle w:val="BulletNumbers"/>
      </w:pPr>
      <w:r w:rsidRPr="00827AF0">
        <w:rPr>
          <w:rFonts w:cs="Calibri"/>
        </w:rPr>
        <w:t>Personal leave in SEUC is provided in three overarching scenarios, which include:</w:t>
      </w:r>
    </w:p>
    <w:p w14:paraId="5416207B" w14:textId="77777777" w:rsidR="00827AF0" w:rsidRPr="00827AF0" w:rsidRDefault="00827AF0" w:rsidP="00827AF0">
      <w:pPr>
        <w:pStyle w:val="BulletNumbers"/>
        <w:numPr>
          <w:ilvl w:val="1"/>
          <w:numId w:val="3"/>
        </w:numPr>
      </w:pPr>
      <w:r w:rsidRPr="00827AF0">
        <w:rPr>
          <w:rFonts w:cs="Calibri"/>
          <w:b/>
          <w:bCs/>
        </w:rPr>
        <w:t xml:space="preserve">Special event. </w:t>
      </w:r>
    </w:p>
    <w:p w14:paraId="473B8768" w14:textId="77777777" w:rsidR="00827AF0" w:rsidRPr="00827AF0" w:rsidRDefault="00827AF0" w:rsidP="00827AF0">
      <w:pPr>
        <w:pStyle w:val="BulletNumbers"/>
        <w:numPr>
          <w:ilvl w:val="1"/>
          <w:numId w:val="3"/>
        </w:numPr>
      </w:pPr>
      <w:r w:rsidRPr="00827AF0">
        <w:rPr>
          <w:rFonts w:cs="Calibri"/>
          <w:b/>
          <w:bCs/>
        </w:rPr>
        <w:t>Extraordinary event.</w:t>
      </w:r>
    </w:p>
    <w:p w14:paraId="404BE6F8" w14:textId="04C2FB9E" w:rsidR="00827AF0" w:rsidRPr="00827AF0" w:rsidRDefault="00827AF0" w:rsidP="00827AF0">
      <w:pPr>
        <w:pStyle w:val="BulletNumbers"/>
        <w:numPr>
          <w:ilvl w:val="1"/>
          <w:numId w:val="3"/>
        </w:numPr>
      </w:pPr>
      <w:r w:rsidRPr="00827AF0">
        <w:rPr>
          <w:rFonts w:cs="Calibri"/>
          <w:b/>
        </w:rPr>
        <w:t>Unforeseen circumstance.</w:t>
      </w:r>
      <w:r w:rsidRPr="00827AF0">
        <w:rPr>
          <w:rFonts w:cs="Calibri"/>
        </w:rPr>
        <w:t xml:space="preserve"> </w:t>
      </w:r>
    </w:p>
    <w:p w14:paraId="3AE881E6" w14:textId="31E3BB89" w:rsidR="00827AF0" w:rsidRPr="00827AF0" w:rsidRDefault="00827AF0" w:rsidP="00827AF0">
      <w:pPr>
        <w:pStyle w:val="BulletNumbers"/>
      </w:pPr>
      <w:bookmarkStart w:id="33" w:name="_Hlk170300521"/>
      <w:r w:rsidRPr="00827AF0">
        <w:t xml:space="preserve">Examples of these may include, but are not limited to the following: </w:t>
      </w:r>
      <w:bookmarkEnd w:id="33"/>
    </w:p>
    <w:tbl>
      <w:tblPr>
        <w:tblStyle w:val="TableGrid"/>
        <w:tblW w:w="9011" w:type="dxa"/>
        <w:shd w:val="clear" w:color="auto" w:fill="F2F2F2" w:themeFill="background1" w:themeFillShade="F2"/>
        <w:tblLook w:val="04A0" w:firstRow="1" w:lastRow="0" w:firstColumn="1" w:lastColumn="0" w:noHBand="0" w:noVBand="1"/>
      </w:tblPr>
      <w:tblGrid>
        <w:gridCol w:w="3058"/>
        <w:gridCol w:w="3055"/>
        <w:gridCol w:w="2898"/>
      </w:tblGrid>
      <w:tr w:rsidR="003334AD" w:rsidRPr="003334AD" w14:paraId="497297B7" w14:textId="77777777" w:rsidTr="003334AD">
        <w:trPr>
          <w:trHeight w:val="4419"/>
        </w:trPr>
        <w:tc>
          <w:tcPr>
            <w:tcW w:w="3058" w:type="dxa"/>
            <w:shd w:val="clear" w:color="auto" w:fill="F2F2F2" w:themeFill="background1" w:themeFillShade="F2"/>
          </w:tcPr>
          <w:p w14:paraId="285D49D1"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b/>
                <w:bCs w:val="0"/>
              </w:rPr>
            </w:pPr>
            <w:r w:rsidRPr="003334AD">
              <w:rPr>
                <w:rFonts w:eastAsiaTheme="minorHAnsi"/>
                <w:b/>
                <w:bCs w:val="0"/>
              </w:rPr>
              <w:t>Special event</w:t>
            </w:r>
          </w:p>
          <w:p w14:paraId="1DE595DE"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bCs w:val="0"/>
                <w:sz w:val="20"/>
                <w:szCs w:val="20"/>
              </w:rPr>
            </w:pPr>
          </w:p>
          <w:p w14:paraId="0BB32F4E"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r w:rsidRPr="003334AD">
              <w:rPr>
                <w:rFonts w:eastAsiaTheme="minorHAnsi"/>
                <w:sz w:val="20"/>
                <w:szCs w:val="20"/>
              </w:rPr>
              <w:t xml:space="preserve">An event where there was a particular health and wellbeing related circumstance that impacted an employee’s ability to perform their regular duty. </w:t>
            </w:r>
          </w:p>
          <w:p w14:paraId="742A8C03"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p>
          <w:p w14:paraId="1F4A56A3"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r w:rsidRPr="003334AD">
              <w:rPr>
                <w:rFonts w:eastAsiaTheme="minorHAnsi"/>
                <w:sz w:val="20"/>
                <w:szCs w:val="20"/>
              </w:rPr>
              <w:t xml:space="preserve">For example, menstruation, menopause, </w:t>
            </w:r>
            <w:proofErr w:type="gramStart"/>
            <w:r w:rsidRPr="003334AD">
              <w:rPr>
                <w:rFonts w:eastAsiaTheme="minorHAnsi"/>
                <w:sz w:val="20"/>
                <w:szCs w:val="20"/>
              </w:rPr>
              <w:t>a funeral</w:t>
            </w:r>
            <w:proofErr w:type="gramEnd"/>
            <w:r w:rsidRPr="003334AD">
              <w:rPr>
                <w:rFonts w:eastAsiaTheme="minorHAnsi"/>
                <w:sz w:val="20"/>
                <w:szCs w:val="20"/>
              </w:rPr>
              <w:t xml:space="preserve">, difficult news received that causes distress and prevents the employee’s ability to attend for duty (such as receiving a medical diagnosis </w:t>
            </w:r>
            <w:proofErr w:type="gramStart"/>
            <w:r w:rsidRPr="003334AD">
              <w:rPr>
                <w:rFonts w:eastAsiaTheme="minorHAnsi"/>
                <w:sz w:val="20"/>
                <w:szCs w:val="20"/>
              </w:rPr>
              <w:t>in regard to</w:t>
            </w:r>
            <w:proofErr w:type="gramEnd"/>
            <w:r w:rsidRPr="003334AD">
              <w:rPr>
                <w:rFonts w:eastAsiaTheme="minorHAnsi"/>
                <w:sz w:val="20"/>
                <w:szCs w:val="20"/>
              </w:rPr>
              <w:t xml:space="preserve"> self or immediate family or a breakdown of a relationship).</w:t>
            </w:r>
          </w:p>
          <w:p w14:paraId="18955DF0"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p>
        </w:tc>
        <w:tc>
          <w:tcPr>
            <w:tcW w:w="3055" w:type="dxa"/>
            <w:shd w:val="clear" w:color="auto" w:fill="F2F2F2" w:themeFill="background1" w:themeFillShade="F2"/>
          </w:tcPr>
          <w:p w14:paraId="3541850C"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b/>
                <w:bCs w:val="0"/>
              </w:rPr>
            </w:pPr>
            <w:r w:rsidRPr="003334AD">
              <w:rPr>
                <w:rFonts w:eastAsiaTheme="minorHAnsi"/>
                <w:b/>
                <w:bCs w:val="0"/>
              </w:rPr>
              <w:t xml:space="preserve">Extraordinary event </w:t>
            </w:r>
          </w:p>
          <w:p w14:paraId="2D99F46D"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p>
          <w:p w14:paraId="0642D5FD"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r w:rsidRPr="003334AD">
              <w:rPr>
                <w:rFonts w:eastAsiaTheme="minorHAnsi"/>
                <w:sz w:val="20"/>
                <w:szCs w:val="20"/>
              </w:rPr>
              <w:t xml:space="preserve">An event that does not occur regularly in an employee’s life and is unlikely to occur that may involve a threat to their/others life and prevents the employee’s ability to attend for duty. </w:t>
            </w:r>
          </w:p>
          <w:p w14:paraId="4D17FCF6"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p>
          <w:p w14:paraId="2C505018"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bCs w:val="0"/>
                <w:sz w:val="20"/>
                <w:szCs w:val="20"/>
              </w:rPr>
            </w:pPr>
            <w:r w:rsidRPr="003334AD">
              <w:rPr>
                <w:rFonts w:eastAsiaTheme="minorHAnsi"/>
                <w:sz w:val="20"/>
                <w:szCs w:val="20"/>
              </w:rPr>
              <w:t xml:space="preserve">For example, a police or other emergency event such as a home lockdown due to a local threat in the vicinity of their home, being a witness of a crime and required to provide witness statements/interviews or assistance to police. </w:t>
            </w:r>
          </w:p>
        </w:tc>
        <w:tc>
          <w:tcPr>
            <w:tcW w:w="2898" w:type="dxa"/>
            <w:shd w:val="clear" w:color="auto" w:fill="F2F2F2" w:themeFill="background1" w:themeFillShade="F2"/>
          </w:tcPr>
          <w:p w14:paraId="201D83AF"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b/>
                <w:bCs w:val="0"/>
              </w:rPr>
            </w:pPr>
            <w:r w:rsidRPr="003334AD">
              <w:rPr>
                <w:rFonts w:eastAsiaTheme="minorHAnsi"/>
                <w:b/>
                <w:bCs w:val="0"/>
              </w:rPr>
              <w:t>Unforeseen Circumstance</w:t>
            </w:r>
          </w:p>
          <w:p w14:paraId="275197AF"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p>
          <w:p w14:paraId="0034D684"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r w:rsidRPr="003334AD">
              <w:rPr>
                <w:rFonts w:eastAsiaTheme="minorHAnsi"/>
                <w:sz w:val="20"/>
                <w:szCs w:val="20"/>
              </w:rPr>
              <w:t xml:space="preserve">A circumstance where it was unexpected and/or caused damage/danger to an employee or the employees’ personal property and has come at short notice and impacted the employee’s ability to be available for duty and/or perform duty. </w:t>
            </w:r>
          </w:p>
          <w:p w14:paraId="06163370"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sz w:val="20"/>
                <w:szCs w:val="20"/>
              </w:rPr>
            </w:pPr>
          </w:p>
          <w:p w14:paraId="1CC00CFC" w14:textId="77777777" w:rsidR="003334AD" w:rsidRPr="003334AD" w:rsidRDefault="003334AD" w:rsidP="003334AD">
            <w:pPr>
              <w:widowControl w:val="0"/>
              <w:tabs>
                <w:tab w:val="left" w:pos="678"/>
              </w:tabs>
              <w:autoSpaceDE w:val="0"/>
              <w:autoSpaceDN w:val="0"/>
              <w:spacing w:before="27" w:after="0" w:line="223" w:lineRule="auto"/>
              <w:ind w:right="181"/>
              <w:rPr>
                <w:rFonts w:eastAsiaTheme="minorHAnsi"/>
                <w:bCs w:val="0"/>
                <w:sz w:val="20"/>
                <w:szCs w:val="20"/>
              </w:rPr>
            </w:pPr>
            <w:r w:rsidRPr="003334AD">
              <w:rPr>
                <w:rFonts w:eastAsiaTheme="minorHAnsi"/>
                <w:sz w:val="20"/>
                <w:szCs w:val="20"/>
              </w:rPr>
              <w:t>For example, a fire at home, car accident, the unexpected closure of the childcare centre the employee’s children attend.</w:t>
            </w:r>
          </w:p>
          <w:p w14:paraId="0EBED15D" w14:textId="77777777" w:rsidR="003334AD" w:rsidRPr="003334AD" w:rsidRDefault="003334AD" w:rsidP="003334AD">
            <w:pPr>
              <w:rPr>
                <w:rFonts w:eastAsiaTheme="minorHAnsi"/>
                <w:sz w:val="20"/>
                <w:szCs w:val="20"/>
              </w:rPr>
            </w:pPr>
          </w:p>
        </w:tc>
      </w:tr>
    </w:tbl>
    <w:p w14:paraId="7B6306E6" w14:textId="77777777" w:rsidR="00112DB0" w:rsidRDefault="00112DB0" w:rsidP="00112DB0">
      <w:pPr>
        <w:rPr>
          <w:rFonts w:cs="Calibri"/>
        </w:rPr>
      </w:pPr>
    </w:p>
    <w:p w14:paraId="7B71312C" w14:textId="77777777" w:rsidR="00FB51C7" w:rsidRPr="00FB51C7" w:rsidRDefault="00FB51C7" w:rsidP="00FB51C7">
      <w:pPr>
        <w:pStyle w:val="BulletNumbers"/>
      </w:pPr>
      <w:r w:rsidRPr="00FB51C7">
        <w:t>When determining whether an employee is entitled to this leave delegates should consider the following:</w:t>
      </w:r>
    </w:p>
    <w:p w14:paraId="40786C9B" w14:textId="77777777" w:rsidR="00FB51C7" w:rsidRPr="00FB51C7" w:rsidRDefault="00FB51C7" w:rsidP="00FB51C7">
      <w:pPr>
        <w:pStyle w:val="BulletNumbers"/>
        <w:numPr>
          <w:ilvl w:val="1"/>
          <w:numId w:val="3"/>
        </w:numPr>
      </w:pPr>
      <w:r w:rsidRPr="00FB51C7">
        <w:t>Is the reason for the leave unforeseen, special or extraordinary?</w:t>
      </w:r>
    </w:p>
    <w:p w14:paraId="66EB4774" w14:textId="77777777" w:rsidR="00FB51C7" w:rsidRPr="00FB51C7" w:rsidRDefault="00FB51C7" w:rsidP="00FB51C7">
      <w:pPr>
        <w:pStyle w:val="BulletNumbers"/>
        <w:numPr>
          <w:ilvl w:val="1"/>
          <w:numId w:val="3"/>
        </w:numPr>
      </w:pPr>
      <w:r w:rsidRPr="00FB51C7">
        <w:t>Is there another leave type that better suits the reason for the leave?</w:t>
      </w:r>
    </w:p>
    <w:p w14:paraId="6B21227A" w14:textId="77777777" w:rsidR="00FB51C7" w:rsidRPr="00FB51C7" w:rsidRDefault="00FB51C7" w:rsidP="00FB51C7">
      <w:pPr>
        <w:pStyle w:val="BulletNumbers"/>
        <w:numPr>
          <w:ilvl w:val="1"/>
          <w:numId w:val="3"/>
        </w:numPr>
      </w:pPr>
      <w:r w:rsidRPr="00FB51C7">
        <w:lastRenderedPageBreak/>
        <w:t>Could the employee have planned the event around their work hours or used other flexible work entitlements such as flextime?</w:t>
      </w:r>
    </w:p>
    <w:p w14:paraId="71348D64" w14:textId="77777777" w:rsidR="00FB51C7" w:rsidRPr="00FB51C7" w:rsidRDefault="00FB51C7" w:rsidP="00FB51C7">
      <w:pPr>
        <w:pStyle w:val="BulletNumbers"/>
        <w:numPr>
          <w:ilvl w:val="1"/>
          <w:numId w:val="3"/>
        </w:numPr>
      </w:pPr>
      <w:r w:rsidRPr="00FB51C7">
        <w:t>Would it be reasonable to expect an employee to continue working in these circumstances?</w:t>
      </w:r>
    </w:p>
    <w:p w14:paraId="082124E6" w14:textId="56193B32" w:rsidR="00FB51C7" w:rsidRPr="00FB51C7" w:rsidRDefault="00FB51C7" w:rsidP="00FB51C7">
      <w:pPr>
        <w:pStyle w:val="BulletNumbers"/>
      </w:pPr>
      <w:r w:rsidRPr="00FB51C7">
        <w:t xml:space="preserve">Personal leave in SEUC does not </w:t>
      </w:r>
      <w:r>
        <w:t xml:space="preserve">normally </w:t>
      </w:r>
      <w:r w:rsidRPr="00FB51C7">
        <w:t xml:space="preserve">require documentary evidence, however delegates may request evidence before approving the leave. As personal leave in SEUC may cover a range of events, evidence may include but is not limited to: </w:t>
      </w:r>
    </w:p>
    <w:p w14:paraId="7A9150DC" w14:textId="77777777" w:rsidR="00FB51C7" w:rsidRPr="00FB51C7" w:rsidRDefault="00FB51C7" w:rsidP="00FB51C7">
      <w:pPr>
        <w:pStyle w:val="BulletNumbers"/>
        <w:numPr>
          <w:ilvl w:val="1"/>
          <w:numId w:val="3"/>
        </w:numPr>
      </w:pPr>
      <w:r w:rsidRPr="00FB51C7">
        <w:t xml:space="preserve">Documentary evidence (see ‘Documentary Evidence’ section). </w:t>
      </w:r>
    </w:p>
    <w:p w14:paraId="33D808CD" w14:textId="77777777" w:rsidR="00FB51C7" w:rsidRPr="00FB51C7" w:rsidRDefault="00FB51C7" w:rsidP="00FB51C7">
      <w:pPr>
        <w:pStyle w:val="BulletNumbers"/>
        <w:numPr>
          <w:ilvl w:val="1"/>
          <w:numId w:val="3"/>
        </w:numPr>
      </w:pPr>
      <w:r w:rsidRPr="00FB51C7">
        <w:t>Tax invoices or receipts.</w:t>
      </w:r>
    </w:p>
    <w:p w14:paraId="01D66423" w14:textId="77777777" w:rsidR="00FB51C7" w:rsidRPr="00FB51C7" w:rsidRDefault="00FB51C7" w:rsidP="00FB51C7">
      <w:pPr>
        <w:pStyle w:val="BulletNumbers"/>
        <w:numPr>
          <w:ilvl w:val="1"/>
          <w:numId w:val="3"/>
        </w:numPr>
      </w:pPr>
      <w:r w:rsidRPr="00FB51C7">
        <w:t>Official records or reports (for example, police reports.)</w:t>
      </w:r>
    </w:p>
    <w:p w14:paraId="18CC4704" w14:textId="77777777" w:rsidR="00FB51C7" w:rsidRPr="00FB51C7" w:rsidRDefault="00FB51C7" w:rsidP="00FB51C7">
      <w:pPr>
        <w:pStyle w:val="BulletNumbers"/>
        <w:numPr>
          <w:ilvl w:val="1"/>
          <w:numId w:val="3"/>
        </w:numPr>
      </w:pPr>
      <w:r w:rsidRPr="00FB51C7">
        <w:t xml:space="preserve">Correspondence or coverage referencing the event (for example, news coverage). </w:t>
      </w:r>
    </w:p>
    <w:p w14:paraId="6FCD360D" w14:textId="77777777" w:rsidR="00FB51C7" w:rsidRDefault="00FB51C7" w:rsidP="00FB51C7">
      <w:pPr>
        <w:pStyle w:val="BulletNumbers"/>
      </w:pPr>
      <w:r w:rsidRPr="00FB51C7">
        <w:t>Once an employee has exhausted their entitlement to 10 days of personal leave in SEUC within an accrual year, no further leave for SEUC can be granted. The employee will instead be directed to apply for another suitable leave type.</w:t>
      </w:r>
    </w:p>
    <w:tbl>
      <w:tblPr>
        <w:tblStyle w:val="Breakoutbox"/>
        <w:tblW w:w="0" w:type="auto"/>
        <w:tblLook w:val="04A0" w:firstRow="1" w:lastRow="0" w:firstColumn="1" w:lastColumn="0" w:noHBand="0" w:noVBand="1"/>
      </w:tblPr>
      <w:tblGrid>
        <w:gridCol w:w="9475"/>
      </w:tblGrid>
      <w:tr w:rsidR="00FB51C7" w:rsidRPr="00D240A9" w14:paraId="5CA741E4" w14:textId="77777777" w:rsidTr="00FB51C7">
        <w:tc>
          <w:tcPr>
            <w:tcW w:w="0" w:type="auto"/>
          </w:tcPr>
          <w:p w14:paraId="063FE7AB" w14:textId="0BE7D516" w:rsidR="00FB51C7" w:rsidRPr="00D240A9" w:rsidRDefault="00FB51C7" w:rsidP="00343B6C">
            <w:pPr>
              <w:pStyle w:val="Heading5"/>
              <w:rPr>
                <w:rFonts w:ascii="Calibri" w:hAnsi="Calibri" w:cs="Calibri"/>
                <w:color w:val="7030A0"/>
                <w:sz w:val="20"/>
                <w:szCs w:val="20"/>
              </w:rPr>
            </w:pPr>
            <w:bookmarkStart w:id="34" w:name="_Hlk214398549"/>
            <w:r w:rsidRPr="00D240A9">
              <w:rPr>
                <w:rFonts w:ascii="Calibri" w:hAnsi="Calibri" w:cs="Calibri"/>
                <w:color w:val="7030A0"/>
                <w:sz w:val="20"/>
                <w:szCs w:val="20"/>
              </w:rPr>
              <w:t xml:space="preserve">Example: </w:t>
            </w:r>
            <w:r>
              <w:rPr>
                <w:rFonts w:ascii="Calibri" w:hAnsi="Calibri" w:cs="Calibri"/>
                <w:color w:val="7030A0"/>
                <w:sz w:val="20"/>
                <w:szCs w:val="20"/>
              </w:rPr>
              <w:t>Unforeseen Circumstance</w:t>
            </w:r>
          </w:p>
        </w:tc>
      </w:tr>
      <w:tr w:rsidR="00FB51C7" w:rsidRPr="00112DB0" w14:paraId="339CDB31" w14:textId="77777777" w:rsidTr="00FB51C7">
        <w:tc>
          <w:tcPr>
            <w:tcW w:w="0" w:type="auto"/>
          </w:tcPr>
          <w:p w14:paraId="1797BF91" w14:textId="1927BF73" w:rsidR="00FB51C7" w:rsidRPr="00112DB0" w:rsidRDefault="00FB51C7" w:rsidP="0002527C">
            <w:pPr>
              <w:pStyle w:val="ListNumber"/>
              <w:numPr>
                <w:ilvl w:val="0"/>
                <w:numId w:val="0"/>
              </w:numPr>
              <w:spacing w:after="60"/>
              <w:rPr>
                <w:rFonts w:cs="Calibri"/>
                <w:sz w:val="20"/>
              </w:rPr>
            </w:pPr>
            <w:r w:rsidRPr="00FB51C7">
              <w:rPr>
                <w:rFonts w:cs="Calibri"/>
                <w:sz w:val="20"/>
              </w:rPr>
              <w:t>Ryan is getting ready for work and when turning on the shower hears a bang and a large gush of water. Upon inspection, he identifies a pipe has burst and water is flowing through his home. Ryan contacts a plumber who will be able to come in an hour and fix the issue. Ryan was due to start work in an hours’ time but will need to be home to let the plumber in</w:t>
            </w:r>
            <w:r w:rsidRPr="00FB51C7">
              <w:rPr>
                <w:rFonts w:cs="Calibri"/>
                <w:color w:val="FF0000"/>
                <w:sz w:val="20"/>
              </w:rPr>
              <w:t xml:space="preserve"> </w:t>
            </w:r>
            <w:r w:rsidRPr="00FB51C7">
              <w:rPr>
                <w:rFonts w:cs="Calibri"/>
                <w:sz w:val="20"/>
              </w:rPr>
              <w:t>and clean up. Ryan contacts his manager and advises they will be late because of the unforeseen circumstances. The manager accepts that this is extraordinary and unforeseen and approves personal leave in SEUC for the time Ryan is absent from work.</w:t>
            </w:r>
          </w:p>
        </w:tc>
      </w:tr>
      <w:bookmarkEnd w:id="34"/>
    </w:tbl>
    <w:p w14:paraId="34CB4F74" w14:textId="77777777" w:rsidR="00FB51C7" w:rsidRDefault="00FB51C7" w:rsidP="00FB51C7">
      <w:pPr>
        <w:pStyle w:val="BulletNumbers"/>
        <w:numPr>
          <w:ilvl w:val="0"/>
          <w:numId w:val="0"/>
        </w:numPr>
        <w:ind w:left="360"/>
      </w:pPr>
    </w:p>
    <w:tbl>
      <w:tblPr>
        <w:tblStyle w:val="Breakoutbox"/>
        <w:tblW w:w="0" w:type="auto"/>
        <w:tblLook w:val="04A0" w:firstRow="1" w:lastRow="0" w:firstColumn="1" w:lastColumn="0" w:noHBand="0" w:noVBand="1"/>
      </w:tblPr>
      <w:tblGrid>
        <w:gridCol w:w="9475"/>
      </w:tblGrid>
      <w:tr w:rsidR="00FB51C7" w:rsidRPr="00D240A9" w14:paraId="2E332EB3" w14:textId="77777777" w:rsidTr="0002527C">
        <w:tc>
          <w:tcPr>
            <w:tcW w:w="0" w:type="auto"/>
          </w:tcPr>
          <w:p w14:paraId="3E110680" w14:textId="66D3C1BE" w:rsidR="00FB51C7" w:rsidRPr="00D240A9" w:rsidRDefault="00FB51C7" w:rsidP="00343B6C">
            <w:pPr>
              <w:pStyle w:val="Heading5"/>
              <w:rPr>
                <w:rFonts w:ascii="Calibri" w:hAnsi="Calibri" w:cs="Calibri"/>
                <w:color w:val="7030A0"/>
                <w:sz w:val="20"/>
                <w:szCs w:val="20"/>
              </w:rPr>
            </w:pPr>
            <w:r w:rsidRPr="00D240A9">
              <w:rPr>
                <w:rFonts w:ascii="Calibri" w:hAnsi="Calibri" w:cs="Calibri"/>
                <w:color w:val="7030A0"/>
                <w:sz w:val="20"/>
                <w:szCs w:val="20"/>
              </w:rPr>
              <w:t xml:space="preserve">Example: </w:t>
            </w:r>
            <w:r>
              <w:rPr>
                <w:rFonts w:ascii="Calibri" w:hAnsi="Calibri" w:cs="Calibri"/>
                <w:color w:val="7030A0"/>
                <w:sz w:val="20"/>
                <w:szCs w:val="20"/>
              </w:rPr>
              <w:t>Extraordinary Event</w:t>
            </w:r>
          </w:p>
        </w:tc>
      </w:tr>
      <w:tr w:rsidR="00FB51C7" w:rsidRPr="00112DB0" w14:paraId="4CEE4EB1" w14:textId="77777777" w:rsidTr="0002527C">
        <w:tc>
          <w:tcPr>
            <w:tcW w:w="0" w:type="auto"/>
          </w:tcPr>
          <w:p w14:paraId="39034156" w14:textId="3815032E" w:rsidR="00FB51C7" w:rsidRPr="00112DB0" w:rsidRDefault="00FB51C7" w:rsidP="00FB51C7">
            <w:pPr>
              <w:pStyle w:val="ListNumber"/>
              <w:numPr>
                <w:ilvl w:val="0"/>
                <w:numId w:val="0"/>
              </w:numPr>
              <w:spacing w:after="60"/>
              <w:rPr>
                <w:rFonts w:cs="Calibri"/>
                <w:sz w:val="20"/>
              </w:rPr>
            </w:pPr>
            <w:r w:rsidRPr="00FB51C7">
              <w:rPr>
                <w:rFonts w:cs="Calibri"/>
                <w:sz w:val="20"/>
              </w:rPr>
              <w:t>Katherine has been advised she will be evicted from her property due to a pest infestation and is only provided 5 days’ notice to vacate. Katherine contacts her manager and requests personal leave in extraordinary circumstances to pack and move house. Her manager approves personal leave in SEUC for Katherine as the circumstances under which she has needed to be absent from work were extraordinary.</w:t>
            </w:r>
          </w:p>
        </w:tc>
      </w:tr>
    </w:tbl>
    <w:p w14:paraId="7C114856" w14:textId="77777777" w:rsidR="00FB51C7" w:rsidRDefault="00FB51C7" w:rsidP="00FB51C7">
      <w:pPr>
        <w:pStyle w:val="BulletNumbers"/>
        <w:numPr>
          <w:ilvl w:val="0"/>
          <w:numId w:val="0"/>
        </w:numPr>
        <w:ind w:left="360"/>
      </w:pPr>
    </w:p>
    <w:tbl>
      <w:tblPr>
        <w:tblStyle w:val="Breakoutbox"/>
        <w:tblW w:w="0" w:type="auto"/>
        <w:tblLook w:val="04A0" w:firstRow="1" w:lastRow="0" w:firstColumn="1" w:lastColumn="0" w:noHBand="0" w:noVBand="1"/>
      </w:tblPr>
      <w:tblGrid>
        <w:gridCol w:w="9465"/>
      </w:tblGrid>
      <w:tr w:rsidR="00FB51C7" w:rsidRPr="00D240A9" w14:paraId="253D4796" w14:textId="77777777" w:rsidTr="00343B6C">
        <w:tc>
          <w:tcPr>
            <w:tcW w:w="9465" w:type="dxa"/>
          </w:tcPr>
          <w:p w14:paraId="43A17CCB" w14:textId="33D0D819" w:rsidR="00FB51C7" w:rsidRPr="00D240A9" w:rsidRDefault="00FB51C7" w:rsidP="00343B6C">
            <w:pPr>
              <w:pStyle w:val="Heading5"/>
              <w:rPr>
                <w:rFonts w:ascii="Calibri" w:hAnsi="Calibri" w:cs="Calibri"/>
                <w:color w:val="7030A0"/>
                <w:sz w:val="20"/>
                <w:szCs w:val="20"/>
              </w:rPr>
            </w:pPr>
            <w:r w:rsidRPr="00D240A9">
              <w:rPr>
                <w:rFonts w:ascii="Calibri" w:hAnsi="Calibri" w:cs="Calibri"/>
                <w:color w:val="7030A0"/>
                <w:sz w:val="20"/>
                <w:szCs w:val="20"/>
              </w:rPr>
              <w:t xml:space="preserve">Example: </w:t>
            </w:r>
            <w:r>
              <w:rPr>
                <w:rFonts w:ascii="Calibri" w:hAnsi="Calibri" w:cs="Calibri"/>
                <w:color w:val="7030A0"/>
                <w:sz w:val="20"/>
                <w:szCs w:val="20"/>
              </w:rPr>
              <w:t>Special Event</w:t>
            </w:r>
          </w:p>
        </w:tc>
      </w:tr>
      <w:tr w:rsidR="00FB51C7" w:rsidRPr="00112DB0" w14:paraId="0F4FFB85" w14:textId="77777777" w:rsidTr="00343B6C">
        <w:tc>
          <w:tcPr>
            <w:tcW w:w="9465" w:type="dxa"/>
          </w:tcPr>
          <w:p w14:paraId="2365B14F" w14:textId="2DE89133" w:rsidR="00FB51C7" w:rsidRPr="00FB51C7" w:rsidRDefault="00FB51C7" w:rsidP="00FB51C7">
            <w:pPr>
              <w:pStyle w:val="ListNumber"/>
              <w:numPr>
                <w:ilvl w:val="0"/>
                <w:numId w:val="0"/>
              </w:numPr>
              <w:spacing w:after="60"/>
              <w:rPr>
                <w:sz w:val="20"/>
              </w:rPr>
            </w:pPr>
            <w:r w:rsidRPr="00FB51C7">
              <w:rPr>
                <w:sz w:val="20"/>
              </w:rPr>
              <w:t xml:space="preserve">Julia begins experiencing uncomfortable hot/cold body temperature symptoms while at work. Julia is familiar with these symptoms as they often accompany heavy menstruation. Although Julia is not ill, the symptoms render her unable to continue performing her normal duties. Julia notifies her manager and requests personal leave in special circumstances to manage her symptoms and will return to work when her symptoms stabilise over the next 24 hours. Julia also discusses with her manager how she can be better supported in the workplace by being provided the opportunity to rest in a quiet area or work remotely when experiencing these symptoms. </w:t>
            </w:r>
          </w:p>
        </w:tc>
      </w:tr>
    </w:tbl>
    <w:p w14:paraId="1DDD08A6" w14:textId="77777777" w:rsidR="00FB51C7" w:rsidRDefault="00FB51C7" w:rsidP="00FB51C7">
      <w:pPr>
        <w:pStyle w:val="BulletNumbers"/>
        <w:numPr>
          <w:ilvl w:val="0"/>
          <w:numId w:val="0"/>
        </w:numPr>
        <w:ind w:left="360"/>
      </w:pPr>
    </w:p>
    <w:p w14:paraId="00D34BD7" w14:textId="15F2EDA0" w:rsidR="0002527C" w:rsidRDefault="0002527C" w:rsidP="0002527C">
      <w:pPr>
        <w:pStyle w:val="Heading2"/>
      </w:pPr>
      <w:bookmarkStart w:id="35" w:name="_Toc214401098"/>
      <w:r>
        <w:lastRenderedPageBreak/>
        <w:t>Payment and Service</w:t>
      </w:r>
      <w:bookmarkEnd w:id="35"/>
    </w:p>
    <w:p w14:paraId="25696FA4" w14:textId="77777777" w:rsidR="0002527C" w:rsidRPr="0002527C" w:rsidRDefault="0002527C" w:rsidP="0002527C"/>
    <w:tbl>
      <w:tblPr>
        <w:tblStyle w:val="PlainTable4"/>
        <w:tblW w:w="5000" w:type="pct"/>
        <w:shd w:val="clear" w:color="auto" w:fill="F2F2F2" w:themeFill="background1" w:themeFillShade="F2"/>
        <w:tblLook w:val="04A0" w:firstRow="1" w:lastRow="0" w:firstColumn="1" w:lastColumn="0" w:noHBand="0" w:noVBand="1"/>
      </w:tblPr>
      <w:tblGrid>
        <w:gridCol w:w="2966"/>
        <w:gridCol w:w="6509"/>
      </w:tblGrid>
      <w:tr w:rsidR="0002527C" w:rsidRPr="003334AD" w14:paraId="7B99EDAF" w14:textId="77777777" w:rsidTr="000252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pct"/>
            <w:shd w:val="clear" w:color="auto" w:fill="F2F2F2" w:themeFill="background1" w:themeFillShade="F2"/>
          </w:tcPr>
          <w:p w14:paraId="1672BDA7" w14:textId="77777777" w:rsidR="0002527C" w:rsidRPr="003334AD" w:rsidRDefault="0002527C" w:rsidP="00343B6C">
            <w:pPr>
              <w:pStyle w:val="ListNumber"/>
              <w:numPr>
                <w:ilvl w:val="0"/>
                <w:numId w:val="0"/>
              </w:numPr>
              <w:spacing w:after="60"/>
              <w:rPr>
                <w:sz w:val="20"/>
              </w:rPr>
            </w:pPr>
            <w:r w:rsidRPr="003334AD">
              <w:rPr>
                <w:sz w:val="20"/>
              </w:rPr>
              <w:t>Counts as service?</w:t>
            </w:r>
          </w:p>
        </w:tc>
        <w:tc>
          <w:tcPr>
            <w:tcW w:w="3435" w:type="pct"/>
            <w:shd w:val="clear" w:color="auto" w:fill="F2F2F2" w:themeFill="background1" w:themeFillShade="F2"/>
          </w:tcPr>
          <w:p w14:paraId="4AE27EB8" w14:textId="77777777" w:rsidR="0002527C" w:rsidRPr="003334AD" w:rsidRDefault="0002527C" w:rsidP="00343B6C">
            <w:pPr>
              <w:pStyle w:val="ListNumber"/>
              <w:numPr>
                <w:ilvl w:val="0"/>
                <w:numId w:val="0"/>
              </w:numPr>
              <w:spacing w:after="60"/>
              <w:cnfStyle w:val="100000000000" w:firstRow="1" w:lastRow="0" w:firstColumn="0" w:lastColumn="0" w:oddVBand="0" w:evenVBand="0" w:oddHBand="0" w:evenHBand="0" w:firstRowFirstColumn="0" w:firstRowLastColumn="0" w:lastRowFirstColumn="0" w:lastRowLastColumn="0"/>
              <w:rPr>
                <w:sz w:val="20"/>
              </w:rPr>
            </w:pPr>
            <w:r w:rsidRPr="003334AD">
              <w:rPr>
                <w:b w:val="0"/>
                <w:bCs w:val="0"/>
                <w:sz w:val="20"/>
              </w:rPr>
              <w:t>Paid personal leave counts as service for all purposes.</w:t>
            </w:r>
          </w:p>
          <w:p w14:paraId="6E242485" w14:textId="77777777" w:rsidR="0002527C" w:rsidRPr="003334AD" w:rsidRDefault="0002527C" w:rsidP="00343B6C">
            <w:pPr>
              <w:pStyle w:val="ListNumber"/>
              <w:numPr>
                <w:ilvl w:val="0"/>
                <w:numId w:val="0"/>
              </w:numPr>
              <w:spacing w:after="60"/>
              <w:cnfStyle w:val="100000000000" w:firstRow="1" w:lastRow="0" w:firstColumn="0" w:lastColumn="0" w:oddVBand="0" w:evenVBand="0" w:oddHBand="0" w:evenHBand="0" w:firstRowFirstColumn="0" w:firstRowLastColumn="0" w:lastRowFirstColumn="0" w:lastRowLastColumn="0"/>
              <w:rPr>
                <w:b w:val="0"/>
                <w:bCs w:val="0"/>
                <w:sz w:val="20"/>
              </w:rPr>
            </w:pPr>
            <w:r w:rsidRPr="003334AD">
              <w:rPr>
                <w:b w:val="0"/>
                <w:bCs w:val="0"/>
                <w:sz w:val="20"/>
              </w:rPr>
              <w:t>Unpaid personal leave counts as service for all purposes, up to a maximum of 78 weeks.</w:t>
            </w:r>
          </w:p>
        </w:tc>
      </w:tr>
      <w:tr w:rsidR="0002527C" w:rsidRPr="003334AD" w14:paraId="3B306197" w14:textId="77777777" w:rsidTr="0002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pct"/>
            <w:shd w:val="clear" w:color="auto" w:fill="D9D9D9" w:themeFill="background1" w:themeFillShade="D9"/>
          </w:tcPr>
          <w:p w14:paraId="5B405E04" w14:textId="77777777" w:rsidR="0002527C" w:rsidRPr="003334AD" w:rsidRDefault="0002527C" w:rsidP="00343B6C">
            <w:pPr>
              <w:pStyle w:val="ListNumber"/>
              <w:numPr>
                <w:ilvl w:val="0"/>
                <w:numId w:val="0"/>
              </w:numPr>
              <w:spacing w:after="60"/>
              <w:rPr>
                <w:sz w:val="20"/>
              </w:rPr>
            </w:pPr>
            <w:r w:rsidRPr="003334AD">
              <w:rPr>
                <w:sz w:val="20"/>
              </w:rPr>
              <w:t>How is it paid?</w:t>
            </w:r>
          </w:p>
        </w:tc>
        <w:tc>
          <w:tcPr>
            <w:tcW w:w="3435" w:type="pct"/>
            <w:shd w:val="clear" w:color="auto" w:fill="D9D9D9" w:themeFill="background1" w:themeFillShade="D9"/>
          </w:tcPr>
          <w:p w14:paraId="4F639AA4" w14:textId="77777777" w:rsidR="0002527C" w:rsidRPr="003334AD" w:rsidRDefault="0002527C" w:rsidP="00343B6C">
            <w:pPr>
              <w:pStyle w:val="ListNumber"/>
              <w:numPr>
                <w:ilvl w:val="0"/>
                <w:numId w:val="0"/>
              </w:numPr>
              <w:spacing w:after="60"/>
              <w:cnfStyle w:val="000000100000" w:firstRow="0" w:lastRow="0" w:firstColumn="0" w:lastColumn="0" w:oddVBand="0" w:evenVBand="0" w:oddHBand="1" w:evenHBand="0" w:firstRowFirstColumn="0" w:firstRowLastColumn="0" w:lastRowFirstColumn="0" w:lastRowLastColumn="0"/>
              <w:rPr>
                <w:sz w:val="20"/>
              </w:rPr>
            </w:pPr>
            <w:r w:rsidRPr="003334AD">
              <w:rPr>
                <w:sz w:val="20"/>
              </w:rPr>
              <w:t>At the employee’s ordinary hourly rate, including any applicable allowances which apply during a period of personal leave. Penalties are not paid during personal leave.</w:t>
            </w:r>
          </w:p>
        </w:tc>
      </w:tr>
      <w:tr w:rsidR="0002527C" w:rsidRPr="003334AD" w14:paraId="5180C692" w14:textId="77777777" w:rsidTr="0002527C">
        <w:tc>
          <w:tcPr>
            <w:cnfStyle w:val="001000000000" w:firstRow="0" w:lastRow="0" w:firstColumn="1" w:lastColumn="0" w:oddVBand="0" w:evenVBand="0" w:oddHBand="0" w:evenHBand="0" w:firstRowFirstColumn="0" w:firstRowLastColumn="0" w:lastRowFirstColumn="0" w:lastRowLastColumn="0"/>
            <w:tcW w:w="1565" w:type="pct"/>
            <w:shd w:val="clear" w:color="auto" w:fill="F2F2F2" w:themeFill="background1" w:themeFillShade="F2"/>
          </w:tcPr>
          <w:p w14:paraId="4A1CB9CB" w14:textId="77777777" w:rsidR="0002527C" w:rsidRPr="003334AD" w:rsidRDefault="0002527C" w:rsidP="00343B6C">
            <w:pPr>
              <w:pStyle w:val="ListNumber"/>
              <w:numPr>
                <w:ilvl w:val="0"/>
                <w:numId w:val="0"/>
              </w:numPr>
              <w:spacing w:after="60"/>
              <w:rPr>
                <w:sz w:val="20"/>
              </w:rPr>
            </w:pPr>
            <w:r w:rsidRPr="003334AD">
              <w:rPr>
                <w:sz w:val="20"/>
              </w:rPr>
              <w:t>Can it be taken at half pay?</w:t>
            </w:r>
          </w:p>
        </w:tc>
        <w:tc>
          <w:tcPr>
            <w:tcW w:w="3435" w:type="pct"/>
            <w:shd w:val="clear" w:color="auto" w:fill="F2F2F2" w:themeFill="background1" w:themeFillShade="F2"/>
          </w:tcPr>
          <w:p w14:paraId="4B1075B7" w14:textId="77777777" w:rsidR="0002527C" w:rsidRPr="003334AD" w:rsidRDefault="0002527C" w:rsidP="00343B6C">
            <w:pPr>
              <w:pStyle w:val="ListNumber"/>
              <w:numPr>
                <w:ilvl w:val="0"/>
                <w:numId w:val="0"/>
              </w:numPr>
              <w:spacing w:after="60"/>
              <w:cnfStyle w:val="000000000000" w:firstRow="0" w:lastRow="0" w:firstColumn="0" w:lastColumn="0" w:oddVBand="0" w:evenVBand="0" w:oddHBand="0" w:evenHBand="0" w:firstRowFirstColumn="0" w:firstRowLastColumn="0" w:lastRowFirstColumn="0" w:lastRowLastColumn="0"/>
              <w:rPr>
                <w:sz w:val="20"/>
              </w:rPr>
            </w:pPr>
            <w:r w:rsidRPr="003334AD">
              <w:rPr>
                <w:sz w:val="20"/>
              </w:rPr>
              <w:t>Yes, provided the absence is for at least 1 week and is approved by the delegate.</w:t>
            </w:r>
          </w:p>
        </w:tc>
      </w:tr>
      <w:tr w:rsidR="0002527C" w:rsidRPr="003334AD" w14:paraId="09040E2D" w14:textId="77777777" w:rsidTr="000252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5" w:type="pct"/>
            <w:shd w:val="clear" w:color="auto" w:fill="D9D9D9" w:themeFill="background1" w:themeFillShade="D9"/>
          </w:tcPr>
          <w:p w14:paraId="544EA7C1" w14:textId="77777777" w:rsidR="0002527C" w:rsidRPr="003334AD" w:rsidRDefault="0002527C" w:rsidP="00343B6C">
            <w:pPr>
              <w:pStyle w:val="ListNumber"/>
              <w:numPr>
                <w:ilvl w:val="0"/>
                <w:numId w:val="0"/>
              </w:numPr>
              <w:spacing w:after="60"/>
              <w:rPr>
                <w:sz w:val="20"/>
              </w:rPr>
            </w:pPr>
            <w:r w:rsidRPr="003334AD">
              <w:rPr>
                <w:sz w:val="20"/>
              </w:rPr>
              <w:t>Interaction with public holidays</w:t>
            </w:r>
          </w:p>
        </w:tc>
        <w:tc>
          <w:tcPr>
            <w:tcW w:w="3435" w:type="pct"/>
            <w:shd w:val="clear" w:color="auto" w:fill="D9D9D9" w:themeFill="background1" w:themeFillShade="D9"/>
          </w:tcPr>
          <w:p w14:paraId="68867359" w14:textId="77777777" w:rsidR="0002527C" w:rsidRPr="003334AD" w:rsidRDefault="0002527C" w:rsidP="00343B6C">
            <w:pPr>
              <w:pStyle w:val="ListNumber"/>
              <w:numPr>
                <w:ilvl w:val="0"/>
                <w:numId w:val="0"/>
              </w:numPr>
              <w:spacing w:after="60"/>
              <w:cnfStyle w:val="000000100000" w:firstRow="0" w:lastRow="0" w:firstColumn="0" w:lastColumn="0" w:oddVBand="0" w:evenVBand="0" w:oddHBand="1" w:evenHBand="0" w:firstRowFirstColumn="0" w:firstRowLastColumn="0" w:lastRowFirstColumn="0" w:lastRowLastColumn="0"/>
              <w:rPr>
                <w:sz w:val="20"/>
              </w:rPr>
            </w:pPr>
            <w:r w:rsidRPr="003334AD">
              <w:rPr>
                <w:sz w:val="20"/>
              </w:rPr>
              <w:t>If a public holiday falls during a period of personal leave, the employee will be paid for the public holiday and personal leave will not be deducted for that day. If unpaid personal leave falls on both sides of a public holiday the public holiday will be without pay.</w:t>
            </w:r>
          </w:p>
        </w:tc>
      </w:tr>
    </w:tbl>
    <w:p w14:paraId="48DC1814" w14:textId="77777777" w:rsidR="0002527C" w:rsidRDefault="0002527C" w:rsidP="0002527C"/>
    <w:p w14:paraId="1299EB3C" w14:textId="6DBF3350" w:rsidR="0002527C" w:rsidRDefault="0002527C" w:rsidP="0002527C">
      <w:pPr>
        <w:pStyle w:val="Heading2"/>
      </w:pPr>
      <w:bookmarkStart w:id="36" w:name="_Toc214401099"/>
      <w:r>
        <w:t>References</w:t>
      </w:r>
      <w:bookmarkEnd w:id="36"/>
    </w:p>
    <w:p w14:paraId="06123DF9" w14:textId="77777777" w:rsidR="0002527C" w:rsidRDefault="0002527C" w:rsidP="0002527C">
      <w:pPr>
        <w:pStyle w:val="BulletNumbers"/>
      </w:pPr>
      <w:r>
        <w:t>The relevant legislation, policy and employment arrangements underlying this guideline are:</w:t>
      </w:r>
    </w:p>
    <w:p w14:paraId="450E7B12" w14:textId="77777777" w:rsidR="0002527C" w:rsidRPr="003334AD" w:rsidRDefault="0002527C" w:rsidP="003334AD">
      <w:pPr>
        <w:pStyle w:val="ListParagraph"/>
        <w:numPr>
          <w:ilvl w:val="1"/>
          <w:numId w:val="3"/>
        </w:numPr>
        <w:spacing w:before="200" w:after="200" w:line="250" w:lineRule="exact"/>
        <w:ind w:left="1077" w:hanging="357"/>
        <w:rPr>
          <w:i/>
          <w:iCs w:val="0"/>
          <w:u w:val="single"/>
        </w:rPr>
      </w:pPr>
      <w:hyperlink r:id="rId26" w:history="1">
        <w:r w:rsidRPr="003334AD">
          <w:rPr>
            <w:rStyle w:val="Hyperlink"/>
            <w:i/>
          </w:rPr>
          <w:t>Public Sector Management Act 1994</w:t>
        </w:r>
      </w:hyperlink>
    </w:p>
    <w:p w14:paraId="57943F46" w14:textId="77777777" w:rsidR="0002527C" w:rsidRPr="003334AD" w:rsidRDefault="0002527C" w:rsidP="003334AD">
      <w:pPr>
        <w:pStyle w:val="ListParagraph"/>
        <w:numPr>
          <w:ilvl w:val="1"/>
          <w:numId w:val="3"/>
        </w:numPr>
        <w:spacing w:before="200" w:after="200" w:line="250" w:lineRule="exact"/>
        <w:ind w:left="1077" w:hanging="357"/>
        <w:rPr>
          <w:u w:val="single"/>
        </w:rPr>
      </w:pPr>
      <w:hyperlink r:id="rId27" w:history="1">
        <w:r w:rsidRPr="003334AD">
          <w:rPr>
            <w:rStyle w:val="Hyperlink"/>
          </w:rPr>
          <w:t>Public Sector Management Standards 2016</w:t>
        </w:r>
      </w:hyperlink>
    </w:p>
    <w:p w14:paraId="6D4C432F" w14:textId="554CDA47" w:rsidR="0002527C" w:rsidRPr="003334AD" w:rsidRDefault="0002527C" w:rsidP="003334AD">
      <w:pPr>
        <w:pStyle w:val="ListParagraph"/>
        <w:numPr>
          <w:ilvl w:val="1"/>
          <w:numId w:val="3"/>
        </w:numPr>
        <w:spacing w:before="200" w:after="200" w:line="250" w:lineRule="exact"/>
        <w:ind w:left="1077" w:hanging="357"/>
        <w:rPr>
          <w:rStyle w:val="Hyperlink"/>
          <w:i/>
        </w:rPr>
      </w:pPr>
      <w:hyperlink r:id="rId28" w:history="1">
        <w:r w:rsidRPr="003334AD">
          <w:rPr>
            <w:rStyle w:val="Hyperlink"/>
            <w:rFonts w:eastAsiaTheme="majorEastAsia"/>
            <w:i/>
          </w:rPr>
          <w:t>Fair Work Act 2009</w:t>
        </w:r>
      </w:hyperlink>
    </w:p>
    <w:p w14:paraId="5C9A9613" w14:textId="284BEEC1" w:rsidR="003334AD" w:rsidRPr="003334AD" w:rsidRDefault="003334AD" w:rsidP="003334AD">
      <w:pPr>
        <w:pStyle w:val="ListParagraph"/>
        <w:numPr>
          <w:ilvl w:val="1"/>
          <w:numId w:val="3"/>
        </w:numPr>
        <w:spacing w:before="200" w:after="200" w:line="250" w:lineRule="exact"/>
        <w:ind w:left="1077" w:hanging="357"/>
        <w:rPr>
          <w:rStyle w:val="Hyperlink"/>
          <w:i/>
        </w:rPr>
      </w:pPr>
      <w:hyperlink r:id="rId29" w:history="1">
        <w:r w:rsidRPr="003334AD">
          <w:rPr>
            <w:rStyle w:val="Hyperlink"/>
            <w:i/>
          </w:rPr>
          <w:t>Work Health and Safety Act 2011</w:t>
        </w:r>
      </w:hyperlink>
    </w:p>
    <w:p w14:paraId="21BA4B5A" w14:textId="77777777" w:rsidR="0002527C" w:rsidRPr="003334AD" w:rsidRDefault="0002527C" w:rsidP="003334AD">
      <w:pPr>
        <w:pStyle w:val="ListParagraph"/>
        <w:numPr>
          <w:ilvl w:val="1"/>
          <w:numId w:val="3"/>
        </w:numPr>
        <w:spacing w:before="200" w:after="200" w:line="250" w:lineRule="exact"/>
        <w:ind w:left="1077" w:hanging="357"/>
        <w:rPr>
          <w:u w:val="single"/>
        </w:rPr>
      </w:pPr>
      <w:hyperlink r:id="rId30" w:history="1">
        <w:r w:rsidRPr="003334AD">
          <w:rPr>
            <w:rStyle w:val="Hyperlink"/>
          </w:rPr>
          <w:t>ACTPS Enterprise Agreements</w:t>
        </w:r>
      </w:hyperlink>
    </w:p>
    <w:p w14:paraId="02E9771E" w14:textId="77777777" w:rsidR="0002527C" w:rsidRPr="003334AD" w:rsidRDefault="0002527C" w:rsidP="003334AD">
      <w:pPr>
        <w:pStyle w:val="ListParagraph"/>
        <w:widowControl w:val="0"/>
        <w:numPr>
          <w:ilvl w:val="1"/>
          <w:numId w:val="3"/>
        </w:numPr>
        <w:tabs>
          <w:tab w:val="left" w:pos="1550"/>
        </w:tabs>
        <w:autoSpaceDE w:val="0"/>
        <w:autoSpaceDN w:val="0"/>
        <w:spacing w:before="0" w:after="0" w:line="251" w:lineRule="exact"/>
        <w:ind w:left="1077" w:hanging="357"/>
        <w:rPr>
          <w:u w:val="single"/>
        </w:rPr>
      </w:pPr>
      <w:hyperlink r:id="rId31" w:history="1">
        <w:r w:rsidRPr="003334AD">
          <w:rPr>
            <w:rStyle w:val="Hyperlink"/>
            <w:spacing w:val="-2"/>
          </w:rPr>
          <w:t>Flexible Working Arrangements Policy</w:t>
        </w:r>
      </w:hyperlink>
    </w:p>
    <w:p w14:paraId="518B6EF2" w14:textId="77777777" w:rsidR="0002527C" w:rsidRPr="003334AD" w:rsidRDefault="0002527C" w:rsidP="003334AD">
      <w:pPr>
        <w:pStyle w:val="ListParagraph"/>
        <w:numPr>
          <w:ilvl w:val="1"/>
          <w:numId w:val="3"/>
        </w:numPr>
        <w:spacing w:before="200" w:after="200" w:line="250" w:lineRule="exact"/>
        <w:ind w:left="1077" w:hanging="357"/>
        <w:rPr>
          <w:u w:val="single"/>
        </w:rPr>
      </w:pPr>
      <w:hyperlink r:id="rId32" w:history="1">
        <w:r w:rsidRPr="003334AD">
          <w:rPr>
            <w:rStyle w:val="Hyperlink"/>
          </w:rPr>
          <w:t>Menstruation and Menopause – Flexible Working Arrangements and Leave</w:t>
        </w:r>
      </w:hyperlink>
    </w:p>
    <w:p w14:paraId="139EB0FD" w14:textId="1F0FBD75" w:rsidR="005F74ED" w:rsidRDefault="005F74ED" w:rsidP="005F74ED">
      <w:pPr>
        <w:pStyle w:val="Heading2"/>
      </w:pPr>
      <w:bookmarkStart w:id="37" w:name="_Toc214401100"/>
      <w:r>
        <w:t>Consultation</w:t>
      </w:r>
      <w:bookmarkEnd w:id="37"/>
    </w:p>
    <w:p w14:paraId="77D13779" w14:textId="4DAA094E" w:rsidR="005F74ED" w:rsidRDefault="00CD0DF8" w:rsidP="005F74ED">
      <w:pPr>
        <w:pStyle w:val="BulletNumbers"/>
      </w:pPr>
      <w:r w:rsidRPr="00CD0DF8">
        <w:t>This policy has been consulted with Directorate Leads, Unions and the Office of Industrial Relations and Workforce Strategy (OIRWS).</w:t>
      </w:r>
    </w:p>
    <w:p w14:paraId="7A667183" w14:textId="77777777" w:rsidR="003334AD" w:rsidRDefault="003334AD" w:rsidP="003334AD">
      <w:pPr>
        <w:pStyle w:val="Heading2"/>
      </w:pPr>
      <w:bookmarkStart w:id="38" w:name="_Toc214401101"/>
      <w:r>
        <w:t>Further Information and Feedback</w:t>
      </w:r>
      <w:bookmarkEnd w:id="38"/>
    </w:p>
    <w:p w14:paraId="0D3BC36A" w14:textId="57D72470" w:rsidR="003334AD" w:rsidRDefault="003334AD" w:rsidP="003334AD">
      <w:pPr>
        <w:pStyle w:val="BulletNumbers"/>
      </w:pPr>
      <w:r>
        <w:t>For</w:t>
      </w:r>
      <w:r w:rsidRPr="00CD0DF8">
        <w:rPr>
          <w:spacing w:val="-2"/>
        </w:rPr>
        <w:t xml:space="preserve"> </w:t>
      </w:r>
      <w:r>
        <w:t>further</w:t>
      </w:r>
      <w:r w:rsidRPr="00CD0DF8">
        <w:rPr>
          <w:spacing w:val="-5"/>
        </w:rPr>
        <w:t xml:space="preserve"> </w:t>
      </w:r>
      <w:r>
        <w:t>information</w:t>
      </w:r>
      <w:r w:rsidRPr="00CD0DF8">
        <w:rPr>
          <w:spacing w:val="-5"/>
        </w:rPr>
        <w:t xml:space="preserve"> </w:t>
      </w:r>
      <w:r>
        <w:t>contact</w:t>
      </w:r>
      <w:r w:rsidRPr="00CD0DF8">
        <w:rPr>
          <w:spacing w:val="-4"/>
        </w:rPr>
        <w:t xml:space="preserve"> </w:t>
      </w:r>
      <w:r>
        <w:t>your</w:t>
      </w:r>
      <w:r w:rsidRPr="00CD0DF8">
        <w:rPr>
          <w:spacing w:val="-5"/>
        </w:rPr>
        <w:t xml:space="preserve"> </w:t>
      </w:r>
      <w:r>
        <w:t>directorate HR representative. Feedback should be provided via email to</w:t>
      </w:r>
      <w:r w:rsidRPr="00C74B72">
        <w:t xml:space="preserve"> </w:t>
      </w:r>
      <w:hyperlink r:id="rId33">
        <w:r w:rsidRPr="00C74B72">
          <w:rPr>
            <w:u w:val="single" w:color="0462C1"/>
          </w:rPr>
          <w:t>eba@act.gov.au</w:t>
        </w:r>
        <w:r w:rsidRPr="00C74B72">
          <w:t>.</w:t>
        </w:r>
      </w:hyperlink>
    </w:p>
    <w:p w14:paraId="28427364" w14:textId="77777777" w:rsidR="00CA5A65" w:rsidRDefault="00CA5A65" w:rsidP="00CA5A65">
      <w:pPr>
        <w:pStyle w:val="Heading2"/>
      </w:pPr>
      <w:bookmarkStart w:id="39" w:name="_Toc214401102"/>
      <w:r>
        <w:t>Review</w:t>
      </w:r>
      <w:bookmarkEnd w:id="39"/>
    </w:p>
    <w:p w14:paraId="03595743" w14:textId="77777777" w:rsidR="003334AD" w:rsidRDefault="003334AD" w:rsidP="003334AD">
      <w:pPr>
        <w:pStyle w:val="BulletNumbers"/>
      </w:pPr>
      <w:r w:rsidRPr="00BD2CB1">
        <w:t>This policy is due for review 3 years from the last issued or reviewed date, or earlier where there are changes that affect the operation of the policy.</w:t>
      </w:r>
    </w:p>
    <w:p w14:paraId="7404F4A7" w14:textId="77777777" w:rsidR="003334AD" w:rsidRDefault="003334AD" w:rsidP="003334AD">
      <w:pPr>
        <w:pStyle w:val="BulletNumbers"/>
        <w:numPr>
          <w:ilvl w:val="0"/>
          <w:numId w:val="0"/>
        </w:numPr>
      </w:pPr>
    </w:p>
    <w:p w14:paraId="5A25BED4" w14:textId="77777777" w:rsidR="003334AD" w:rsidRDefault="003334AD" w:rsidP="003334AD">
      <w:pPr>
        <w:pStyle w:val="BulletNumbers"/>
        <w:numPr>
          <w:ilvl w:val="0"/>
          <w:numId w:val="0"/>
        </w:numPr>
      </w:pPr>
    </w:p>
    <w:tbl>
      <w:tblPr>
        <w:tblW w:w="0" w:type="auto"/>
        <w:tblLayout w:type="fixed"/>
        <w:tblCellMar>
          <w:left w:w="0" w:type="dxa"/>
          <w:right w:w="0" w:type="dxa"/>
        </w:tblCellMar>
        <w:tblLook w:val="01E0" w:firstRow="1" w:lastRow="1" w:firstColumn="1" w:lastColumn="1" w:noHBand="0" w:noVBand="0"/>
      </w:tblPr>
      <w:tblGrid>
        <w:gridCol w:w="1829"/>
        <w:gridCol w:w="6428"/>
      </w:tblGrid>
      <w:tr w:rsidR="003334AD" w:rsidRPr="00B40F81" w14:paraId="5B89CAC2" w14:textId="77777777" w:rsidTr="00343B6C">
        <w:trPr>
          <w:trHeight w:val="391"/>
        </w:trPr>
        <w:tc>
          <w:tcPr>
            <w:tcW w:w="1829" w:type="dxa"/>
            <w:tcBorders>
              <w:top w:val="single" w:sz="4" w:space="0" w:color="000000"/>
              <w:bottom w:val="single" w:sz="18" w:space="0" w:color="000000"/>
            </w:tcBorders>
          </w:tcPr>
          <w:p w14:paraId="7E0E7CED" w14:textId="77777777" w:rsidR="003334AD" w:rsidRPr="00B40F81" w:rsidRDefault="003334AD" w:rsidP="00343B6C">
            <w:pPr>
              <w:pStyle w:val="TableParagraph"/>
              <w:spacing w:before="0"/>
              <w:rPr>
                <w:b/>
                <w:sz w:val="20"/>
                <w:szCs w:val="20"/>
              </w:rPr>
            </w:pPr>
            <w:r w:rsidRPr="00B40F81">
              <w:rPr>
                <w:b/>
                <w:spacing w:val="-4"/>
                <w:sz w:val="20"/>
                <w:szCs w:val="20"/>
              </w:rPr>
              <w:lastRenderedPageBreak/>
              <w:t>Item</w:t>
            </w:r>
          </w:p>
        </w:tc>
        <w:tc>
          <w:tcPr>
            <w:tcW w:w="6428" w:type="dxa"/>
            <w:tcBorders>
              <w:top w:val="single" w:sz="4" w:space="0" w:color="000000"/>
              <w:bottom w:val="single" w:sz="18" w:space="0" w:color="000000"/>
            </w:tcBorders>
          </w:tcPr>
          <w:p w14:paraId="0CDB7E52" w14:textId="77777777" w:rsidR="003334AD" w:rsidRPr="00B40F81" w:rsidRDefault="003334AD" w:rsidP="00343B6C">
            <w:pPr>
              <w:pStyle w:val="TableParagraph"/>
              <w:spacing w:before="0"/>
              <w:ind w:left="457"/>
              <w:rPr>
                <w:b/>
                <w:sz w:val="20"/>
                <w:szCs w:val="20"/>
              </w:rPr>
            </w:pPr>
            <w:r w:rsidRPr="00B40F81">
              <w:rPr>
                <w:b/>
                <w:spacing w:val="-2"/>
                <w:sz w:val="20"/>
                <w:szCs w:val="20"/>
              </w:rPr>
              <w:t>Details</w:t>
            </w:r>
          </w:p>
        </w:tc>
      </w:tr>
      <w:tr w:rsidR="003334AD" w:rsidRPr="00B40F81" w14:paraId="2B468035" w14:textId="77777777" w:rsidTr="00343B6C">
        <w:trPr>
          <w:trHeight w:val="368"/>
        </w:trPr>
        <w:tc>
          <w:tcPr>
            <w:tcW w:w="1829" w:type="dxa"/>
            <w:tcBorders>
              <w:top w:val="single" w:sz="18" w:space="0" w:color="000000"/>
              <w:bottom w:val="dotted" w:sz="6" w:space="0" w:color="000000"/>
            </w:tcBorders>
          </w:tcPr>
          <w:p w14:paraId="50344C71" w14:textId="77777777" w:rsidR="003334AD" w:rsidRPr="00B40F81" w:rsidRDefault="003334AD" w:rsidP="00343B6C">
            <w:pPr>
              <w:pStyle w:val="TableParagraph"/>
              <w:spacing w:before="0"/>
              <w:rPr>
                <w:sz w:val="20"/>
                <w:szCs w:val="20"/>
              </w:rPr>
            </w:pPr>
            <w:r w:rsidRPr="00B40F81">
              <w:rPr>
                <w:spacing w:val="-2"/>
                <w:sz w:val="20"/>
                <w:szCs w:val="20"/>
              </w:rPr>
              <w:t>Document</w:t>
            </w:r>
            <w:r w:rsidRPr="00B40F81">
              <w:rPr>
                <w:spacing w:val="2"/>
                <w:sz w:val="20"/>
                <w:szCs w:val="20"/>
              </w:rPr>
              <w:t xml:space="preserve"> </w:t>
            </w:r>
            <w:r w:rsidRPr="00B40F81">
              <w:rPr>
                <w:spacing w:val="-4"/>
                <w:sz w:val="20"/>
                <w:szCs w:val="20"/>
              </w:rPr>
              <w:t>name:</w:t>
            </w:r>
          </w:p>
        </w:tc>
        <w:tc>
          <w:tcPr>
            <w:tcW w:w="6428" w:type="dxa"/>
            <w:tcBorders>
              <w:top w:val="single" w:sz="18" w:space="0" w:color="000000"/>
              <w:bottom w:val="dotted" w:sz="6" w:space="0" w:color="000000"/>
            </w:tcBorders>
          </w:tcPr>
          <w:p w14:paraId="01656E56" w14:textId="77777777" w:rsidR="003334AD" w:rsidRPr="00B40F81" w:rsidRDefault="003334AD" w:rsidP="00343B6C">
            <w:pPr>
              <w:pStyle w:val="TableParagraph"/>
              <w:spacing w:before="0"/>
              <w:ind w:left="457"/>
              <w:rPr>
                <w:sz w:val="20"/>
                <w:szCs w:val="20"/>
              </w:rPr>
            </w:pPr>
            <w:r>
              <w:rPr>
                <w:sz w:val="20"/>
                <w:szCs w:val="20"/>
              </w:rPr>
              <w:t>Personal Leave Guidelines</w:t>
            </w:r>
          </w:p>
        </w:tc>
      </w:tr>
      <w:tr w:rsidR="003334AD" w:rsidRPr="00B40F81" w14:paraId="4316A571" w14:textId="77777777" w:rsidTr="00343B6C">
        <w:trPr>
          <w:trHeight w:val="389"/>
        </w:trPr>
        <w:tc>
          <w:tcPr>
            <w:tcW w:w="1829" w:type="dxa"/>
            <w:tcBorders>
              <w:top w:val="dotted" w:sz="6" w:space="0" w:color="000000"/>
              <w:bottom w:val="dotted" w:sz="6" w:space="0" w:color="000000"/>
            </w:tcBorders>
          </w:tcPr>
          <w:p w14:paraId="4AB1361D" w14:textId="77777777" w:rsidR="003334AD" w:rsidRPr="00B40F81" w:rsidRDefault="003334AD" w:rsidP="00343B6C">
            <w:pPr>
              <w:pStyle w:val="TableParagraph"/>
              <w:spacing w:before="0"/>
              <w:rPr>
                <w:sz w:val="20"/>
                <w:szCs w:val="20"/>
              </w:rPr>
            </w:pPr>
            <w:r w:rsidRPr="00B40F81">
              <w:rPr>
                <w:sz w:val="20"/>
                <w:szCs w:val="20"/>
              </w:rPr>
              <w:t>Policy</w:t>
            </w:r>
            <w:r w:rsidRPr="00B40F81">
              <w:rPr>
                <w:spacing w:val="-7"/>
                <w:sz w:val="20"/>
                <w:szCs w:val="20"/>
              </w:rPr>
              <w:t xml:space="preserve"> </w:t>
            </w:r>
            <w:r w:rsidRPr="00B40F81">
              <w:rPr>
                <w:spacing w:val="-2"/>
                <w:sz w:val="20"/>
                <w:szCs w:val="20"/>
              </w:rPr>
              <w:t>Number:</w:t>
            </w:r>
          </w:p>
        </w:tc>
        <w:tc>
          <w:tcPr>
            <w:tcW w:w="6428" w:type="dxa"/>
            <w:tcBorders>
              <w:top w:val="dotted" w:sz="6" w:space="0" w:color="000000"/>
              <w:bottom w:val="dotted" w:sz="6" w:space="0" w:color="000000"/>
            </w:tcBorders>
          </w:tcPr>
          <w:p w14:paraId="0B75D91B" w14:textId="3C10F2DC" w:rsidR="003334AD" w:rsidRPr="00B40F81" w:rsidRDefault="002E3B91" w:rsidP="00343B6C">
            <w:pPr>
              <w:pStyle w:val="TableParagraph"/>
              <w:spacing w:before="0"/>
              <w:ind w:left="457"/>
              <w:rPr>
                <w:sz w:val="20"/>
                <w:szCs w:val="20"/>
              </w:rPr>
            </w:pPr>
            <w:r>
              <w:rPr>
                <w:sz w:val="20"/>
                <w:szCs w:val="20"/>
              </w:rPr>
              <w:t>14/2025</w:t>
            </w:r>
          </w:p>
        </w:tc>
      </w:tr>
      <w:tr w:rsidR="003334AD" w:rsidRPr="00B40F81" w14:paraId="60E5E775" w14:textId="77777777" w:rsidTr="00343B6C">
        <w:trPr>
          <w:trHeight w:val="392"/>
        </w:trPr>
        <w:tc>
          <w:tcPr>
            <w:tcW w:w="1829" w:type="dxa"/>
            <w:tcBorders>
              <w:top w:val="dotted" w:sz="6" w:space="0" w:color="000000"/>
              <w:bottom w:val="dotted" w:sz="6" w:space="0" w:color="000000"/>
            </w:tcBorders>
          </w:tcPr>
          <w:p w14:paraId="56D5C893" w14:textId="77777777" w:rsidR="003334AD" w:rsidRPr="00B40F81" w:rsidRDefault="003334AD" w:rsidP="00343B6C">
            <w:pPr>
              <w:pStyle w:val="TableParagraph"/>
              <w:spacing w:before="0"/>
              <w:rPr>
                <w:sz w:val="20"/>
                <w:szCs w:val="20"/>
              </w:rPr>
            </w:pPr>
            <w:r w:rsidRPr="00B40F81">
              <w:rPr>
                <w:sz w:val="20"/>
                <w:szCs w:val="20"/>
              </w:rPr>
              <w:t>Prepared</w:t>
            </w:r>
            <w:r w:rsidRPr="00B40F81">
              <w:rPr>
                <w:spacing w:val="-9"/>
                <w:sz w:val="20"/>
                <w:szCs w:val="20"/>
              </w:rPr>
              <w:t xml:space="preserve"> </w:t>
            </w:r>
            <w:r w:rsidRPr="00B40F81">
              <w:rPr>
                <w:spacing w:val="-5"/>
                <w:sz w:val="20"/>
                <w:szCs w:val="20"/>
              </w:rPr>
              <w:t>by:</w:t>
            </w:r>
          </w:p>
        </w:tc>
        <w:tc>
          <w:tcPr>
            <w:tcW w:w="6428" w:type="dxa"/>
            <w:tcBorders>
              <w:top w:val="dotted" w:sz="6" w:space="0" w:color="000000"/>
              <w:bottom w:val="dotted" w:sz="6" w:space="0" w:color="000000"/>
            </w:tcBorders>
          </w:tcPr>
          <w:p w14:paraId="627C9826" w14:textId="77777777" w:rsidR="003334AD" w:rsidRPr="00B40F81" w:rsidRDefault="003334AD" w:rsidP="00343B6C">
            <w:pPr>
              <w:pStyle w:val="TableParagraph"/>
              <w:spacing w:before="0"/>
              <w:ind w:left="457"/>
              <w:rPr>
                <w:sz w:val="20"/>
                <w:szCs w:val="20"/>
              </w:rPr>
            </w:pPr>
            <w:r>
              <w:rPr>
                <w:sz w:val="20"/>
                <w:szCs w:val="20"/>
              </w:rPr>
              <w:t xml:space="preserve">ACTPS Employment and Industrial Relations Group (EIRG), </w:t>
            </w:r>
            <w:r w:rsidRPr="00B40F81">
              <w:rPr>
                <w:sz w:val="20"/>
                <w:szCs w:val="20"/>
              </w:rPr>
              <w:t>OIRWS,</w:t>
            </w:r>
            <w:r w:rsidRPr="00B40F81">
              <w:rPr>
                <w:spacing w:val="-7"/>
                <w:sz w:val="20"/>
                <w:szCs w:val="20"/>
              </w:rPr>
              <w:t xml:space="preserve"> </w:t>
            </w:r>
            <w:r w:rsidRPr="00B40F81">
              <w:rPr>
                <w:spacing w:val="-2"/>
                <w:sz w:val="20"/>
                <w:szCs w:val="20"/>
              </w:rPr>
              <w:t>CMTEDD</w:t>
            </w:r>
          </w:p>
        </w:tc>
      </w:tr>
      <w:tr w:rsidR="003334AD" w:rsidRPr="00B40F81" w14:paraId="60FFB6D2" w14:textId="77777777" w:rsidTr="00343B6C">
        <w:trPr>
          <w:trHeight w:val="390"/>
        </w:trPr>
        <w:tc>
          <w:tcPr>
            <w:tcW w:w="1829" w:type="dxa"/>
            <w:tcBorders>
              <w:top w:val="dotted" w:sz="6" w:space="0" w:color="000000"/>
              <w:bottom w:val="dotted" w:sz="6" w:space="0" w:color="000000"/>
            </w:tcBorders>
          </w:tcPr>
          <w:p w14:paraId="6EED64CB" w14:textId="77777777" w:rsidR="003334AD" w:rsidRPr="00B40F81" w:rsidRDefault="003334AD" w:rsidP="00343B6C">
            <w:pPr>
              <w:pStyle w:val="TableParagraph"/>
              <w:spacing w:before="0"/>
              <w:rPr>
                <w:sz w:val="20"/>
                <w:szCs w:val="20"/>
              </w:rPr>
            </w:pPr>
            <w:r w:rsidRPr="00B40F81">
              <w:rPr>
                <w:sz w:val="20"/>
                <w:szCs w:val="20"/>
              </w:rPr>
              <w:t>Feedback</w:t>
            </w:r>
            <w:r w:rsidRPr="00B40F81">
              <w:rPr>
                <w:spacing w:val="-10"/>
                <w:sz w:val="20"/>
                <w:szCs w:val="20"/>
              </w:rPr>
              <w:t xml:space="preserve"> </w:t>
            </w:r>
            <w:r w:rsidRPr="00B40F81">
              <w:rPr>
                <w:spacing w:val="-5"/>
                <w:sz w:val="20"/>
                <w:szCs w:val="20"/>
              </w:rPr>
              <w:t>to:</w:t>
            </w:r>
          </w:p>
        </w:tc>
        <w:tc>
          <w:tcPr>
            <w:tcW w:w="6428" w:type="dxa"/>
            <w:tcBorders>
              <w:top w:val="dotted" w:sz="6" w:space="0" w:color="000000"/>
              <w:bottom w:val="dotted" w:sz="6" w:space="0" w:color="000000"/>
            </w:tcBorders>
          </w:tcPr>
          <w:p w14:paraId="2440B22A" w14:textId="77777777" w:rsidR="003334AD" w:rsidRPr="00B40F81" w:rsidRDefault="003334AD" w:rsidP="00343B6C">
            <w:pPr>
              <w:pStyle w:val="TableParagraph"/>
              <w:spacing w:before="0"/>
              <w:ind w:left="457"/>
              <w:rPr>
                <w:sz w:val="20"/>
                <w:szCs w:val="20"/>
              </w:rPr>
            </w:pPr>
            <w:hyperlink r:id="rId34">
              <w:r w:rsidRPr="00B40F81">
                <w:rPr>
                  <w:spacing w:val="-2"/>
                  <w:sz w:val="20"/>
                  <w:szCs w:val="20"/>
                </w:rPr>
                <w:t>eba@act.gov.au</w:t>
              </w:r>
            </w:hyperlink>
          </w:p>
        </w:tc>
      </w:tr>
      <w:tr w:rsidR="003334AD" w:rsidRPr="00B40F81" w14:paraId="45FD4D64" w14:textId="77777777" w:rsidTr="00343B6C">
        <w:trPr>
          <w:trHeight w:val="392"/>
        </w:trPr>
        <w:tc>
          <w:tcPr>
            <w:tcW w:w="1829" w:type="dxa"/>
            <w:tcBorders>
              <w:top w:val="dotted" w:sz="6" w:space="0" w:color="000000"/>
              <w:bottom w:val="dotted" w:sz="6" w:space="0" w:color="000000"/>
            </w:tcBorders>
          </w:tcPr>
          <w:p w14:paraId="4D156DA8" w14:textId="77777777" w:rsidR="003334AD" w:rsidRPr="00B40F81" w:rsidRDefault="003334AD" w:rsidP="00343B6C">
            <w:pPr>
              <w:pStyle w:val="TableParagraph"/>
              <w:spacing w:before="0"/>
              <w:rPr>
                <w:sz w:val="20"/>
                <w:szCs w:val="20"/>
              </w:rPr>
            </w:pPr>
            <w:r w:rsidRPr="00B40F81">
              <w:rPr>
                <w:sz w:val="20"/>
                <w:szCs w:val="20"/>
              </w:rPr>
              <w:t>Issue</w:t>
            </w:r>
            <w:r w:rsidRPr="00B40F81">
              <w:rPr>
                <w:spacing w:val="-5"/>
                <w:sz w:val="20"/>
                <w:szCs w:val="20"/>
              </w:rPr>
              <w:t xml:space="preserve"> </w:t>
            </w:r>
            <w:r w:rsidRPr="00B40F81">
              <w:rPr>
                <w:spacing w:val="-2"/>
                <w:sz w:val="20"/>
                <w:szCs w:val="20"/>
              </w:rPr>
              <w:t>Date:</w:t>
            </w:r>
          </w:p>
        </w:tc>
        <w:tc>
          <w:tcPr>
            <w:tcW w:w="6428" w:type="dxa"/>
            <w:tcBorders>
              <w:top w:val="dotted" w:sz="6" w:space="0" w:color="000000"/>
              <w:bottom w:val="dotted" w:sz="6" w:space="0" w:color="000000"/>
            </w:tcBorders>
          </w:tcPr>
          <w:p w14:paraId="4A1C97ED" w14:textId="25B885C7" w:rsidR="003334AD" w:rsidRPr="00B40F81" w:rsidRDefault="002E3B91" w:rsidP="00343B6C">
            <w:pPr>
              <w:pStyle w:val="TableParagraph"/>
              <w:spacing w:before="0"/>
              <w:ind w:left="457"/>
              <w:rPr>
                <w:sz w:val="20"/>
                <w:szCs w:val="20"/>
              </w:rPr>
            </w:pPr>
            <w:r>
              <w:rPr>
                <w:sz w:val="20"/>
                <w:szCs w:val="20"/>
              </w:rPr>
              <w:t xml:space="preserve">December </w:t>
            </w:r>
            <w:r w:rsidR="003334AD">
              <w:rPr>
                <w:sz w:val="20"/>
                <w:szCs w:val="20"/>
              </w:rPr>
              <w:t>2025</w:t>
            </w:r>
          </w:p>
        </w:tc>
      </w:tr>
      <w:tr w:rsidR="003334AD" w:rsidRPr="00B40F81" w14:paraId="3ACC5FA5" w14:textId="77777777" w:rsidTr="00343B6C">
        <w:trPr>
          <w:trHeight w:val="389"/>
        </w:trPr>
        <w:tc>
          <w:tcPr>
            <w:tcW w:w="1829" w:type="dxa"/>
            <w:tcBorders>
              <w:top w:val="dotted" w:sz="6" w:space="0" w:color="000000"/>
              <w:bottom w:val="dotted" w:sz="6" w:space="0" w:color="000000"/>
            </w:tcBorders>
          </w:tcPr>
          <w:p w14:paraId="218EDD8E" w14:textId="77777777" w:rsidR="003334AD" w:rsidRPr="00B40F81" w:rsidRDefault="003334AD" w:rsidP="00343B6C">
            <w:pPr>
              <w:pStyle w:val="TableParagraph"/>
              <w:spacing w:before="0"/>
              <w:rPr>
                <w:sz w:val="20"/>
                <w:szCs w:val="20"/>
              </w:rPr>
            </w:pPr>
            <w:r w:rsidRPr="00B40F81">
              <w:rPr>
                <w:sz w:val="20"/>
                <w:szCs w:val="20"/>
              </w:rPr>
              <w:t>Last</w:t>
            </w:r>
            <w:r w:rsidRPr="00B40F81">
              <w:rPr>
                <w:spacing w:val="-5"/>
                <w:sz w:val="20"/>
                <w:szCs w:val="20"/>
              </w:rPr>
              <w:t xml:space="preserve"> </w:t>
            </w:r>
            <w:r w:rsidRPr="00B40F81">
              <w:rPr>
                <w:sz w:val="20"/>
                <w:szCs w:val="20"/>
              </w:rPr>
              <w:t>Review</w:t>
            </w:r>
            <w:r w:rsidRPr="00B40F81">
              <w:rPr>
                <w:spacing w:val="-6"/>
                <w:sz w:val="20"/>
                <w:szCs w:val="20"/>
              </w:rPr>
              <w:t xml:space="preserve"> </w:t>
            </w:r>
            <w:r w:rsidRPr="00B40F81">
              <w:rPr>
                <w:spacing w:val="-4"/>
                <w:sz w:val="20"/>
                <w:szCs w:val="20"/>
              </w:rPr>
              <w:t>Date:</w:t>
            </w:r>
          </w:p>
        </w:tc>
        <w:tc>
          <w:tcPr>
            <w:tcW w:w="6428" w:type="dxa"/>
            <w:tcBorders>
              <w:top w:val="dotted" w:sz="6" w:space="0" w:color="000000"/>
              <w:bottom w:val="dotted" w:sz="6" w:space="0" w:color="000000"/>
            </w:tcBorders>
          </w:tcPr>
          <w:p w14:paraId="00D65D77" w14:textId="77777777" w:rsidR="003334AD" w:rsidRPr="00B40F81" w:rsidRDefault="003334AD" w:rsidP="00343B6C">
            <w:pPr>
              <w:pStyle w:val="TableParagraph"/>
              <w:spacing w:before="0"/>
              <w:ind w:left="457"/>
              <w:rPr>
                <w:sz w:val="20"/>
                <w:szCs w:val="20"/>
              </w:rPr>
            </w:pPr>
            <w:r>
              <w:rPr>
                <w:spacing w:val="-4"/>
                <w:sz w:val="20"/>
                <w:szCs w:val="20"/>
              </w:rPr>
              <w:t>N/A</w:t>
            </w:r>
          </w:p>
        </w:tc>
      </w:tr>
      <w:tr w:rsidR="003334AD" w:rsidRPr="00B40F81" w14:paraId="57594E10" w14:textId="77777777" w:rsidTr="00343B6C">
        <w:trPr>
          <w:trHeight w:val="391"/>
        </w:trPr>
        <w:tc>
          <w:tcPr>
            <w:tcW w:w="1829" w:type="dxa"/>
            <w:tcBorders>
              <w:top w:val="dotted" w:sz="6" w:space="0" w:color="000000"/>
              <w:bottom w:val="dotted" w:sz="6" w:space="0" w:color="000000"/>
            </w:tcBorders>
          </w:tcPr>
          <w:p w14:paraId="4D7E065F" w14:textId="77777777" w:rsidR="003334AD" w:rsidRPr="00B40F81" w:rsidRDefault="003334AD" w:rsidP="00343B6C">
            <w:pPr>
              <w:pStyle w:val="TableParagraph"/>
              <w:spacing w:before="0"/>
              <w:rPr>
                <w:sz w:val="20"/>
                <w:szCs w:val="20"/>
              </w:rPr>
            </w:pPr>
            <w:r w:rsidRPr="00B40F81">
              <w:rPr>
                <w:sz w:val="20"/>
                <w:szCs w:val="20"/>
              </w:rPr>
              <w:t>Next</w:t>
            </w:r>
            <w:r w:rsidRPr="00B40F81">
              <w:rPr>
                <w:spacing w:val="-5"/>
                <w:sz w:val="20"/>
                <w:szCs w:val="20"/>
              </w:rPr>
              <w:t xml:space="preserve"> </w:t>
            </w:r>
            <w:r w:rsidRPr="00B40F81">
              <w:rPr>
                <w:sz w:val="20"/>
                <w:szCs w:val="20"/>
              </w:rPr>
              <w:t>Review</w:t>
            </w:r>
            <w:r w:rsidRPr="00B40F81">
              <w:rPr>
                <w:spacing w:val="-6"/>
                <w:sz w:val="20"/>
                <w:szCs w:val="20"/>
              </w:rPr>
              <w:t xml:space="preserve"> </w:t>
            </w:r>
            <w:r w:rsidRPr="00B40F81">
              <w:rPr>
                <w:spacing w:val="-2"/>
                <w:sz w:val="20"/>
                <w:szCs w:val="20"/>
              </w:rPr>
              <w:t>Date:</w:t>
            </w:r>
          </w:p>
        </w:tc>
        <w:tc>
          <w:tcPr>
            <w:tcW w:w="6428" w:type="dxa"/>
            <w:tcBorders>
              <w:top w:val="dotted" w:sz="6" w:space="0" w:color="000000"/>
              <w:bottom w:val="dotted" w:sz="6" w:space="0" w:color="000000"/>
            </w:tcBorders>
          </w:tcPr>
          <w:p w14:paraId="76C7501D" w14:textId="1010ED9C" w:rsidR="003334AD" w:rsidRPr="00B40F81" w:rsidRDefault="002E3B91" w:rsidP="00343B6C">
            <w:pPr>
              <w:pStyle w:val="TableParagraph"/>
              <w:spacing w:before="0"/>
              <w:ind w:left="457"/>
              <w:rPr>
                <w:sz w:val="20"/>
                <w:szCs w:val="20"/>
              </w:rPr>
            </w:pPr>
            <w:r>
              <w:rPr>
                <w:sz w:val="20"/>
                <w:szCs w:val="20"/>
              </w:rPr>
              <w:t xml:space="preserve">December </w:t>
            </w:r>
            <w:r w:rsidR="003334AD">
              <w:rPr>
                <w:sz w:val="20"/>
                <w:szCs w:val="20"/>
              </w:rPr>
              <w:t>2028</w:t>
            </w:r>
          </w:p>
        </w:tc>
      </w:tr>
    </w:tbl>
    <w:p w14:paraId="781CA5B8" w14:textId="77777777" w:rsidR="003334AD" w:rsidRDefault="003334AD" w:rsidP="003334AD">
      <w:pPr>
        <w:pStyle w:val="BulletNumbers"/>
        <w:numPr>
          <w:ilvl w:val="0"/>
          <w:numId w:val="0"/>
        </w:numPr>
        <w:ind w:left="360"/>
      </w:pPr>
    </w:p>
    <w:p w14:paraId="3B5C0702" w14:textId="77777777" w:rsidR="003F1A79" w:rsidRDefault="003F1A79" w:rsidP="003F1A79">
      <w:pPr>
        <w:pStyle w:val="Heading2"/>
      </w:pPr>
      <w:bookmarkStart w:id="40" w:name="_Toc214401103"/>
      <w:r>
        <w:t>Approval Authority</w:t>
      </w:r>
      <w:bookmarkEnd w:id="40"/>
    </w:p>
    <w:p w14:paraId="21EACE53" w14:textId="77777777" w:rsidR="003334AD" w:rsidRDefault="003334AD" w:rsidP="003334AD">
      <w:pPr>
        <w:pStyle w:val="ACnoteslist"/>
      </w:pPr>
      <w:r>
        <w:t>This policy is approved by:</w:t>
      </w:r>
    </w:p>
    <w:p w14:paraId="47FA14FA" w14:textId="77777777" w:rsidR="003334AD" w:rsidRDefault="003334AD" w:rsidP="003334AD">
      <w:pPr>
        <w:pStyle w:val="ACnoteslist"/>
        <w:spacing w:before="0" w:after="0"/>
        <w:ind w:left="0" w:firstLine="0"/>
      </w:pPr>
      <w:r>
        <w:t>Acting Deputy Director-General</w:t>
      </w:r>
    </w:p>
    <w:p w14:paraId="600397F4" w14:textId="77777777" w:rsidR="003334AD" w:rsidRDefault="003334AD" w:rsidP="003334AD">
      <w:pPr>
        <w:pStyle w:val="ACnoteslist"/>
        <w:spacing w:before="0" w:after="0"/>
        <w:ind w:left="0" w:firstLine="0"/>
      </w:pPr>
      <w:r w:rsidRPr="008A3EA7">
        <w:t xml:space="preserve">Office of Industrial Relations and Workforce Strategy </w:t>
      </w:r>
    </w:p>
    <w:p w14:paraId="04E96361" w14:textId="77777777" w:rsidR="003334AD" w:rsidRDefault="003334AD" w:rsidP="003334AD">
      <w:pPr>
        <w:pStyle w:val="ACnoteslist"/>
        <w:spacing w:before="0" w:after="0"/>
        <w:ind w:left="0" w:firstLine="0"/>
      </w:pPr>
      <w:r w:rsidRPr="008A3EA7">
        <w:t xml:space="preserve">Chief Minister, Treasury and Economic Development Directorate </w:t>
      </w:r>
    </w:p>
    <w:p w14:paraId="08963DC2" w14:textId="77777777" w:rsidR="003334AD" w:rsidRDefault="003334AD" w:rsidP="003334AD">
      <w:pPr>
        <w:pStyle w:val="ACnoteslist"/>
        <w:spacing w:before="0" w:after="0"/>
        <w:ind w:left="0" w:firstLine="0"/>
      </w:pPr>
      <w:r w:rsidRPr="008A3EA7">
        <w:t xml:space="preserve">On behalf of the Head of Service </w:t>
      </w:r>
    </w:p>
    <w:p w14:paraId="06CBF3D4" w14:textId="1F83203F" w:rsidR="003334AD" w:rsidRDefault="002E3B91" w:rsidP="003334AD">
      <w:pPr>
        <w:pStyle w:val="ACnoteslist"/>
        <w:spacing w:before="0" w:after="0"/>
        <w:ind w:left="0" w:firstLine="0"/>
      </w:pPr>
      <w:r>
        <w:t xml:space="preserve">23 December </w:t>
      </w:r>
      <w:r w:rsidR="003334AD">
        <w:t>2025</w:t>
      </w:r>
    </w:p>
    <w:p w14:paraId="5485A7AD" w14:textId="77777777" w:rsidR="003F1A79" w:rsidRDefault="003F1A79" w:rsidP="003F1A79"/>
    <w:p w14:paraId="267E6A6C" w14:textId="77777777" w:rsidR="003F1A79" w:rsidRDefault="003F1A79" w:rsidP="003F1A79"/>
    <w:p w14:paraId="5AC56B27" w14:textId="77777777" w:rsidR="003F1A79" w:rsidRDefault="003F1A79" w:rsidP="003F1A79"/>
    <w:p w14:paraId="7230B592" w14:textId="77777777" w:rsidR="003F1A79" w:rsidRDefault="003F1A79" w:rsidP="003F1A79">
      <w:pPr>
        <w:pStyle w:val="BulletNumbers"/>
        <w:numPr>
          <w:ilvl w:val="0"/>
          <w:numId w:val="0"/>
        </w:numPr>
        <w:ind w:left="360"/>
      </w:pPr>
    </w:p>
    <w:p w14:paraId="46BB8ED0" w14:textId="77777777" w:rsidR="00C74B72" w:rsidRDefault="00C74B72" w:rsidP="00C74B72">
      <w:pPr>
        <w:pStyle w:val="BulletNumbers"/>
        <w:numPr>
          <w:ilvl w:val="0"/>
          <w:numId w:val="0"/>
        </w:numPr>
        <w:ind w:left="360"/>
      </w:pPr>
    </w:p>
    <w:p w14:paraId="2ADF640D" w14:textId="77777777" w:rsidR="00C74B72" w:rsidRDefault="00C74B72" w:rsidP="00532E9C">
      <w:pPr>
        <w:pStyle w:val="BulletNumbers"/>
        <w:numPr>
          <w:ilvl w:val="0"/>
          <w:numId w:val="0"/>
        </w:numPr>
        <w:ind w:left="360"/>
      </w:pPr>
    </w:p>
    <w:p w14:paraId="52BE681B" w14:textId="77777777" w:rsidR="00CA5A65" w:rsidRDefault="00CA5A65" w:rsidP="00532E9C">
      <w:pPr>
        <w:pStyle w:val="BulletNumbers"/>
        <w:numPr>
          <w:ilvl w:val="0"/>
          <w:numId w:val="0"/>
        </w:numPr>
        <w:ind w:left="360"/>
      </w:pPr>
    </w:p>
    <w:p w14:paraId="145DAD2E" w14:textId="77777777" w:rsidR="00CA5A65" w:rsidRDefault="00CA5A65" w:rsidP="00532E9C">
      <w:pPr>
        <w:pStyle w:val="BulletNumbers"/>
        <w:numPr>
          <w:ilvl w:val="0"/>
          <w:numId w:val="0"/>
        </w:numPr>
        <w:ind w:left="360"/>
      </w:pPr>
    </w:p>
    <w:p w14:paraId="11F9DC45" w14:textId="77777777" w:rsidR="00CA5A65" w:rsidRDefault="00CA5A65" w:rsidP="00532E9C">
      <w:pPr>
        <w:pStyle w:val="BulletNumbers"/>
        <w:numPr>
          <w:ilvl w:val="0"/>
          <w:numId w:val="0"/>
        </w:numPr>
        <w:ind w:left="360"/>
      </w:pPr>
    </w:p>
    <w:p w14:paraId="17147E7B" w14:textId="77777777" w:rsidR="00CA5A65" w:rsidRDefault="00CA5A65" w:rsidP="00532E9C">
      <w:pPr>
        <w:pStyle w:val="BulletNumbers"/>
        <w:numPr>
          <w:ilvl w:val="0"/>
          <w:numId w:val="0"/>
        </w:numPr>
        <w:ind w:left="360"/>
      </w:pPr>
    </w:p>
    <w:p w14:paraId="580C6D3C" w14:textId="77777777" w:rsidR="00CA5A65" w:rsidRDefault="00CA5A65" w:rsidP="00532E9C">
      <w:pPr>
        <w:pStyle w:val="BulletNumbers"/>
        <w:numPr>
          <w:ilvl w:val="0"/>
          <w:numId w:val="0"/>
        </w:numPr>
        <w:ind w:left="360"/>
      </w:pPr>
    </w:p>
    <w:p w14:paraId="54A2C792" w14:textId="77777777" w:rsidR="00CA5A65" w:rsidRDefault="00CA5A65" w:rsidP="00532E9C">
      <w:pPr>
        <w:pStyle w:val="BulletNumbers"/>
        <w:numPr>
          <w:ilvl w:val="0"/>
          <w:numId w:val="0"/>
        </w:numPr>
        <w:ind w:left="360"/>
      </w:pPr>
    </w:p>
    <w:p w14:paraId="3A0FC42B" w14:textId="77777777" w:rsidR="00CA5A65" w:rsidRDefault="00CA5A65" w:rsidP="00532E9C">
      <w:pPr>
        <w:pStyle w:val="BulletNumbers"/>
        <w:numPr>
          <w:ilvl w:val="0"/>
          <w:numId w:val="0"/>
        </w:numPr>
        <w:ind w:left="360"/>
      </w:pPr>
    </w:p>
    <w:p w14:paraId="418903DF" w14:textId="77777777" w:rsidR="00CA5A65" w:rsidRDefault="00CA5A65" w:rsidP="00532E9C">
      <w:pPr>
        <w:pStyle w:val="BulletNumbers"/>
        <w:numPr>
          <w:ilvl w:val="0"/>
          <w:numId w:val="0"/>
        </w:numPr>
        <w:ind w:left="360"/>
      </w:pPr>
    </w:p>
    <w:p w14:paraId="30F89637" w14:textId="77777777" w:rsidR="00CA5A65" w:rsidRDefault="00CA5A65" w:rsidP="00532E9C">
      <w:pPr>
        <w:pStyle w:val="BulletNumbers"/>
        <w:numPr>
          <w:ilvl w:val="0"/>
          <w:numId w:val="0"/>
        </w:numPr>
        <w:ind w:left="360"/>
      </w:pPr>
    </w:p>
    <w:p w14:paraId="74C446A2" w14:textId="77777777" w:rsidR="00CA5A65" w:rsidRDefault="00CA5A65" w:rsidP="00532E9C">
      <w:pPr>
        <w:pStyle w:val="BulletNumbers"/>
        <w:numPr>
          <w:ilvl w:val="0"/>
          <w:numId w:val="0"/>
        </w:numPr>
        <w:ind w:left="360"/>
      </w:pPr>
    </w:p>
    <w:p w14:paraId="4FCA2D62" w14:textId="77777777" w:rsidR="00CA5A65" w:rsidRDefault="00CA5A65" w:rsidP="00532E9C">
      <w:pPr>
        <w:pStyle w:val="BulletNumbers"/>
        <w:numPr>
          <w:ilvl w:val="0"/>
          <w:numId w:val="0"/>
        </w:numPr>
        <w:ind w:left="360"/>
      </w:pPr>
    </w:p>
    <w:p w14:paraId="090E5C56" w14:textId="77777777" w:rsidR="00CA5A65" w:rsidRDefault="00CA5A65" w:rsidP="0075613D">
      <w:pPr>
        <w:pStyle w:val="BulletNumbers"/>
        <w:numPr>
          <w:ilvl w:val="0"/>
          <w:numId w:val="0"/>
        </w:numPr>
        <w:ind w:left="360" w:hanging="360"/>
      </w:pPr>
    </w:p>
    <w:p w14:paraId="0423502E" w14:textId="39C05D41" w:rsidR="003334AD" w:rsidRDefault="003334AD" w:rsidP="003334AD">
      <w:pPr>
        <w:pStyle w:val="Heading2"/>
      </w:pPr>
      <w:bookmarkStart w:id="41" w:name="_Toc214401104"/>
      <w:r>
        <w:lastRenderedPageBreak/>
        <w:t>Appendix A – Frequently Asked Questions (FAQs)</w:t>
      </w:r>
      <w:bookmarkEnd w:id="41"/>
    </w:p>
    <w:p w14:paraId="37462FE9" w14:textId="77777777" w:rsidR="003334AD" w:rsidRDefault="003334AD" w:rsidP="003334AD"/>
    <w:p w14:paraId="19CE78BE" w14:textId="6AC33572" w:rsidR="003334AD" w:rsidRPr="003334AD" w:rsidRDefault="003334AD" w:rsidP="003334AD">
      <w:pPr>
        <w:rPr>
          <w:b/>
        </w:rPr>
      </w:pPr>
      <w:r w:rsidRPr="003334AD">
        <w:rPr>
          <w:b/>
        </w:rPr>
        <w:t>Q:</w:t>
      </w:r>
      <w:r>
        <w:rPr>
          <w:b/>
        </w:rPr>
        <w:t xml:space="preserve"> </w:t>
      </w:r>
      <w:r w:rsidRPr="003334AD">
        <w:rPr>
          <w:b/>
        </w:rPr>
        <w:t>Can employees provide a medical certificate from an overseas doctor to support a leave application?</w:t>
      </w:r>
    </w:p>
    <w:p w14:paraId="20FAC2B4" w14:textId="65B8BE0C" w:rsidR="003334AD" w:rsidRPr="003334AD" w:rsidRDefault="003334AD" w:rsidP="003334AD">
      <w:r w:rsidRPr="003334AD">
        <w:t>A:</w:t>
      </w:r>
      <w:r>
        <w:t xml:space="preserve"> </w:t>
      </w:r>
      <w:r w:rsidRPr="003334AD">
        <w:t xml:space="preserve">Yes, a medical certificate written by an overseas doctor can be accepted however a statutory declaration should also be provided given overseas doctor is not registered in Australia and cannot be easily verified. The certificate must be provided in English or translated into English and certified by a local authorised translation service provider at the employee’s cost. </w:t>
      </w:r>
    </w:p>
    <w:p w14:paraId="4F0C3746" w14:textId="228E78FC" w:rsidR="003334AD" w:rsidRPr="003334AD" w:rsidRDefault="003334AD" w:rsidP="003334AD">
      <w:pPr>
        <w:rPr>
          <w:b/>
        </w:rPr>
      </w:pPr>
      <w:r w:rsidRPr="003334AD">
        <w:rPr>
          <w:b/>
        </w:rPr>
        <w:t>Q:</w:t>
      </w:r>
      <w:r>
        <w:rPr>
          <w:b/>
        </w:rPr>
        <w:t xml:space="preserve"> </w:t>
      </w:r>
      <w:r w:rsidRPr="003334AD">
        <w:rPr>
          <w:b/>
        </w:rPr>
        <w:t>Does Birth Leave break the 78 weeks of continuous personal leave?</w:t>
      </w:r>
    </w:p>
    <w:p w14:paraId="22B16800" w14:textId="52C06801" w:rsidR="003334AD" w:rsidRPr="003334AD" w:rsidRDefault="003334AD" w:rsidP="003334AD">
      <w:r w:rsidRPr="003334AD">
        <w:t>A:</w:t>
      </w:r>
      <w:r>
        <w:t xml:space="preserve"> </w:t>
      </w:r>
      <w:r w:rsidRPr="003334AD">
        <w:t>Yes, birth leave will break the 78 week personal leave counter. Only leave used in lieu of personal leave where credits are exhausted, such as annual Leave or long service leave, will allow the 78 week count to not be broken.</w:t>
      </w:r>
    </w:p>
    <w:p w14:paraId="0AEF8D3D" w14:textId="3A62E02E" w:rsidR="003334AD" w:rsidRPr="003334AD" w:rsidRDefault="003334AD" w:rsidP="003334AD">
      <w:pPr>
        <w:rPr>
          <w:b/>
        </w:rPr>
      </w:pPr>
      <w:r w:rsidRPr="003334AD">
        <w:rPr>
          <w:b/>
        </w:rPr>
        <w:t xml:space="preserve">Q: Does the 3 consecutive days of personal leave without a certificate include the weekend? </w:t>
      </w:r>
    </w:p>
    <w:p w14:paraId="230A0A58" w14:textId="7E3F1B2D" w:rsidR="003334AD" w:rsidRPr="003334AD" w:rsidRDefault="003334AD" w:rsidP="003334AD">
      <w:r w:rsidRPr="003334AD">
        <w:t xml:space="preserve">A: This will depend on the days an employee is applying for personal leave and whether the employee is ordinarily rostered or scheduled to undertake work. For example, in the case of a full-time employee who works Monday to Friday, 36 hours 45 minutes per week, </w:t>
      </w:r>
      <w:bookmarkStart w:id="42" w:name="_Hlk175011831"/>
      <w:r w:rsidRPr="003334AD">
        <w:t>if they applied for personal leave from a Friday to the following Monday</w:t>
      </w:r>
      <w:bookmarkEnd w:id="42"/>
      <w:r w:rsidRPr="003334AD">
        <w:t xml:space="preserve">, the Saturday and Sunday would not be counted in the consecutive leave days and this would equate to 2 days consecutive personal leave. They would only trigger the above 3 consecutive days requirement to produce documentary evidence if they applied for personal leave from a Friday to the following Wednesday. This would equate to 4 days consecutive personal leave. </w:t>
      </w:r>
    </w:p>
    <w:p w14:paraId="533B99C0" w14:textId="38C40594" w:rsidR="003334AD" w:rsidRPr="003334AD" w:rsidRDefault="003334AD" w:rsidP="003334AD">
      <w:pPr>
        <w:rPr>
          <w:b/>
        </w:rPr>
      </w:pPr>
      <w:r w:rsidRPr="003334AD">
        <w:rPr>
          <w:b/>
        </w:rPr>
        <w:t>Q:</w:t>
      </w:r>
      <w:r>
        <w:rPr>
          <w:b/>
        </w:rPr>
        <w:t xml:space="preserve"> </w:t>
      </w:r>
      <w:r w:rsidRPr="003334AD">
        <w:rPr>
          <w:b/>
        </w:rPr>
        <w:t>Can employees take paid leave once they reach 78 weeks of continuous personal leave, and do they continue to accrue leave during the paid leave?</w:t>
      </w:r>
    </w:p>
    <w:p w14:paraId="3086350A" w14:textId="2B478919" w:rsidR="003334AD" w:rsidRPr="003334AD" w:rsidRDefault="003334AD" w:rsidP="003334AD">
      <w:r w:rsidRPr="003334AD">
        <w:t>A:</w:t>
      </w:r>
      <w:r>
        <w:t xml:space="preserve"> </w:t>
      </w:r>
      <w:r w:rsidRPr="003334AD">
        <w:t>Yes, if an employee has leave balances available for any leave types after reaching 78 weeks of continuous personal leave, they can apply to take this leave. If this leave is personal leave or leave in lieu of personal leave the 78 weeks count continues. The employee will be paid for the leave taken during this time, the paid leave will count as service, and they will accrue leave while taking the paid leave. When the paid leave ends and if the employee is granted unpaid personal leave, it will not count as service.</w:t>
      </w:r>
    </w:p>
    <w:p w14:paraId="27AD95C1" w14:textId="680BA46E" w:rsidR="003334AD" w:rsidRPr="003334AD" w:rsidRDefault="003334AD" w:rsidP="003334AD">
      <w:pPr>
        <w:rPr>
          <w:b/>
        </w:rPr>
      </w:pPr>
      <w:r w:rsidRPr="003334AD">
        <w:rPr>
          <w:b/>
        </w:rPr>
        <w:t>Q:</w:t>
      </w:r>
      <w:r>
        <w:rPr>
          <w:b/>
        </w:rPr>
        <w:t xml:space="preserve"> </w:t>
      </w:r>
      <w:r w:rsidRPr="003334AD">
        <w:rPr>
          <w:b/>
        </w:rPr>
        <w:t>Does unpaid personal leave count as service if an employee exhausts their balance but provides a medical certificate?</w:t>
      </w:r>
    </w:p>
    <w:p w14:paraId="4956CDC7" w14:textId="7A4C2E38" w:rsidR="003334AD" w:rsidRPr="003334AD" w:rsidRDefault="003334AD" w:rsidP="003334AD">
      <w:r w:rsidRPr="003334AD">
        <w:t>A:</w:t>
      </w:r>
      <w:r>
        <w:t xml:space="preserve"> </w:t>
      </w:r>
      <w:r w:rsidRPr="003334AD">
        <w:t>Yes, unpaid personal leave will count as service if a certificate or statutory declaration is provided with the leave application and the employee has not reached 78 weeks of continuous personal leave. If an employee applies for unpaid personal leave once they have exhausted their balance and not provided documentary evidence, this will not meet the eligibility provisions of the leave type and another leave type will need to be accessed (for example – the employee may apply for Other Leave - Take leave where leave cannot be granted under any other provision - without pay not to count as service) unless documentary evidence is produced.</w:t>
      </w:r>
    </w:p>
    <w:p w14:paraId="22211BC5" w14:textId="34E13A78" w:rsidR="003334AD" w:rsidRPr="003334AD" w:rsidRDefault="003334AD" w:rsidP="003334AD">
      <w:pPr>
        <w:rPr>
          <w:b/>
        </w:rPr>
      </w:pPr>
      <w:r w:rsidRPr="003334AD">
        <w:rPr>
          <w:b/>
        </w:rPr>
        <w:t>Q:</w:t>
      </w:r>
      <w:r>
        <w:rPr>
          <w:b/>
        </w:rPr>
        <w:t xml:space="preserve"> </w:t>
      </w:r>
      <w:r w:rsidRPr="003334AD">
        <w:rPr>
          <w:b/>
        </w:rPr>
        <w:t>What is a leave ‘anticipation’ and when can it be used?</w:t>
      </w:r>
    </w:p>
    <w:p w14:paraId="6B330B30" w14:textId="1A0D90B7" w:rsidR="003334AD" w:rsidRPr="003334AD" w:rsidRDefault="003334AD" w:rsidP="003334AD">
      <w:r w:rsidRPr="003334AD">
        <w:t>A:</w:t>
      </w:r>
      <w:r>
        <w:t xml:space="preserve"> </w:t>
      </w:r>
      <w:r w:rsidRPr="003334AD">
        <w:t xml:space="preserve">An ‘anticipation’ of personal leave is the bringing forward of personal leave credits to a date of the employee’s request. In effect, the employee is borrowing leave from their future personal leave balance under the assumption they will remain employed and continue to accrue leave </w:t>
      </w:r>
      <w:proofErr w:type="gramStart"/>
      <w:r w:rsidRPr="003334AD">
        <w:t>on a daily basis</w:t>
      </w:r>
      <w:proofErr w:type="gramEnd"/>
      <w:r w:rsidRPr="003334AD">
        <w:t xml:space="preserve"> until this future date. If the employee resigns from their position before they accrue the leave ‘borrowed’, it may be considered an overpayment. An anticipation of personal leave may be requested when the employee has exhausted their personal leave credits and needs to take further personal leave. If the anticipation is granted, the employee will receive the credit of personal leave on the date requested. An application for personal leave must be submitted with the anticipation request.</w:t>
      </w:r>
    </w:p>
    <w:p w14:paraId="20411A3D" w14:textId="59628CFD" w:rsidR="003334AD" w:rsidRPr="003334AD" w:rsidRDefault="003334AD" w:rsidP="003334AD">
      <w:pPr>
        <w:rPr>
          <w:b/>
        </w:rPr>
      </w:pPr>
      <w:r w:rsidRPr="003334AD">
        <w:rPr>
          <w:b/>
        </w:rPr>
        <w:lastRenderedPageBreak/>
        <w:t>Q:</w:t>
      </w:r>
      <w:r>
        <w:rPr>
          <w:b/>
        </w:rPr>
        <w:t xml:space="preserve"> </w:t>
      </w:r>
      <w:r w:rsidRPr="003334AD">
        <w:rPr>
          <w:b/>
        </w:rPr>
        <w:t>Can eligible employees accrue flextime on a day they access personal leave?</w:t>
      </w:r>
    </w:p>
    <w:p w14:paraId="7C985BEA" w14:textId="77777777" w:rsidR="003334AD" w:rsidRPr="003334AD" w:rsidRDefault="003334AD" w:rsidP="003334AD">
      <w:r w:rsidRPr="003334AD">
        <w:t xml:space="preserve">A: No, flextime cannot accrue on a day where an employee accesses personal leave. Flextime only accrues when the employee works hours that are over and above their ordinary daily hours of work and the work has been undertaken (ordinary daily hours for full time employees are either 7 hours and 21 minutes or 7 hours and 36 minutes). The number of hours worked needs to be considered when applying for a part day personal leave application. For example, if the employee works 5 hours and becomes ill and unfit for duty for the remainder of the day, then the remaining 2 hours and 21 minutes of the day should be considered as personal leave, which equates to 7 hours and 21 minutes in total (i.e. total ordinary daily hours). </w:t>
      </w:r>
      <w:proofErr w:type="gramStart"/>
      <w:r w:rsidRPr="003334AD">
        <w:t>Employee’s</w:t>
      </w:r>
      <w:proofErr w:type="gramEnd"/>
      <w:r w:rsidRPr="003334AD">
        <w:t xml:space="preserve"> should not apply for a part day of personal leave that, when totalled with their working hours, equates to more than their standard day and in effect builds flextime for that </w:t>
      </w:r>
      <w:proofErr w:type="gramStart"/>
      <w:r w:rsidRPr="003334AD">
        <w:t>particular day</w:t>
      </w:r>
      <w:proofErr w:type="gramEnd"/>
      <w:r w:rsidRPr="003334AD">
        <w:t xml:space="preserve">. </w:t>
      </w:r>
    </w:p>
    <w:p w14:paraId="7C0B2454" w14:textId="6A7BEC95" w:rsidR="003334AD" w:rsidRPr="003334AD" w:rsidRDefault="003334AD" w:rsidP="003334AD">
      <w:pPr>
        <w:rPr>
          <w:b/>
        </w:rPr>
      </w:pPr>
      <w:r w:rsidRPr="003334AD">
        <w:rPr>
          <w:b/>
        </w:rPr>
        <w:t>Q:</w:t>
      </w:r>
      <w:r>
        <w:rPr>
          <w:b/>
        </w:rPr>
        <w:t xml:space="preserve"> </w:t>
      </w:r>
      <w:r w:rsidRPr="003334AD">
        <w:rPr>
          <w:b/>
        </w:rPr>
        <w:t>Can someone else submit my personal leave application while I am on leave?</w:t>
      </w:r>
    </w:p>
    <w:p w14:paraId="527DA253" w14:textId="77777777" w:rsidR="003334AD" w:rsidRPr="003334AD" w:rsidRDefault="003334AD" w:rsidP="003334AD">
      <w:r w:rsidRPr="003334AD">
        <w:t xml:space="preserve">A. Yes, your manager or delegate may submit a personal leave application on your behalf. It is preferable the employee’s approval to do so is obtained first. </w:t>
      </w:r>
    </w:p>
    <w:p w14:paraId="38C93513" w14:textId="5F06E00B" w:rsidR="003334AD" w:rsidRPr="003334AD" w:rsidRDefault="003334AD" w:rsidP="003334AD">
      <w:pPr>
        <w:rPr>
          <w:b/>
        </w:rPr>
      </w:pPr>
      <w:r w:rsidRPr="003334AD">
        <w:rPr>
          <w:b/>
        </w:rPr>
        <w:t>Q:</w:t>
      </w:r>
      <w:r>
        <w:rPr>
          <w:b/>
        </w:rPr>
        <w:t xml:space="preserve"> </w:t>
      </w:r>
      <w:r w:rsidRPr="003334AD">
        <w:rPr>
          <w:b/>
        </w:rPr>
        <w:t xml:space="preserve">Can I transfer some of my personal leave credits to another employee, especially as they have a life-threatening illness? </w:t>
      </w:r>
    </w:p>
    <w:p w14:paraId="1A05FB76" w14:textId="77777777" w:rsidR="003334AD" w:rsidRPr="003334AD" w:rsidRDefault="003334AD" w:rsidP="003334AD">
      <w:r w:rsidRPr="003334AD">
        <w:t xml:space="preserve">A. No. There is currently no mechanism under ACTPS Enterprise Agreements which can facilitate transferring or gifting personal leave between employees. </w:t>
      </w:r>
    </w:p>
    <w:p w14:paraId="728CA45F" w14:textId="06F4489F" w:rsidR="003334AD" w:rsidRPr="003334AD" w:rsidRDefault="003334AD" w:rsidP="003334AD">
      <w:pPr>
        <w:rPr>
          <w:b/>
        </w:rPr>
      </w:pPr>
      <w:r w:rsidRPr="003334AD">
        <w:rPr>
          <w:b/>
        </w:rPr>
        <w:t>Q:</w:t>
      </w:r>
      <w:r>
        <w:rPr>
          <w:b/>
        </w:rPr>
        <w:t xml:space="preserve"> </w:t>
      </w:r>
      <w:r w:rsidRPr="003334AD">
        <w:rPr>
          <w:b/>
        </w:rPr>
        <w:t xml:space="preserve">If my pet dies, </w:t>
      </w:r>
      <w:r>
        <w:rPr>
          <w:b/>
        </w:rPr>
        <w:t>it</w:t>
      </w:r>
      <w:r w:rsidRPr="003334AD">
        <w:rPr>
          <w:b/>
        </w:rPr>
        <w:t xml:space="preserve"> would be really distressing for me. Can I apply for personal leave in special, extraordinary or unforeseen circumstances? </w:t>
      </w:r>
    </w:p>
    <w:p w14:paraId="188ACDCB" w14:textId="69E3AE22" w:rsidR="003334AD" w:rsidRPr="003334AD" w:rsidRDefault="003334AD" w:rsidP="003334AD">
      <w:r w:rsidRPr="003334AD">
        <w:t>A:</w:t>
      </w:r>
      <w:r>
        <w:t xml:space="preserve"> </w:t>
      </w:r>
      <w:r w:rsidRPr="003334AD">
        <w:t>Yes. This would be considered difficult news received that causes distress and prevents the employee’s ability to attend for duty and would fall under the category of ‘special’.</w:t>
      </w:r>
    </w:p>
    <w:p w14:paraId="59B0299B" w14:textId="7E5487DC" w:rsidR="003334AD" w:rsidRPr="003334AD" w:rsidRDefault="003334AD" w:rsidP="003334AD"/>
    <w:p w14:paraId="4B2DA404" w14:textId="77777777" w:rsidR="0075613D" w:rsidRDefault="0075613D" w:rsidP="0075613D">
      <w:pPr>
        <w:pStyle w:val="BulletNumbers"/>
        <w:numPr>
          <w:ilvl w:val="0"/>
          <w:numId w:val="0"/>
        </w:numPr>
        <w:ind w:left="360" w:hanging="360"/>
      </w:pPr>
    </w:p>
    <w:p w14:paraId="0B53EC54" w14:textId="77777777" w:rsidR="003334AD" w:rsidRDefault="003334AD" w:rsidP="0075613D">
      <w:pPr>
        <w:pStyle w:val="BulletNumbers"/>
        <w:numPr>
          <w:ilvl w:val="0"/>
          <w:numId w:val="0"/>
        </w:numPr>
        <w:ind w:left="360" w:hanging="360"/>
      </w:pPr>
    </w:p>
    <w:p w14:paraId="20B7E5B3" w14:textId="77777777" w:rsidR="003334AD" w:rsidRDefault="003334AD" w:rsidP="0075613D">
      <w:pPr>
        <w:pStyle w:val="BulletNumbers"/>
        <w:numPr>
          <w:ilvl w:val="0"/>
          <w:numId w:val="0"/>
        </w:numPr>
        <w:ind w:left="360" w:hanging="360"/>
      </w:pPr>
    </w:p>
    <w:p w14:paraId="29125C29" w14:textId="77777777" w:rsidR="003334AD" w:rsidRDefault="003334AD" w:rsidP="0075613D">
      <w:pPr>
        <w:pStyle w:val="BulletNumbers"/>
        <w:numPr>
          <w:ilvl w:val="0"/>
          <w:numId w:val="0"/>
        </w:numPr>
        <w:ind w:left="360" w:hanging="360"/>
      </w:pPr>
    </w:p>
    <w:p w14:paraId="33C623B8" w14:textId="77777777" w:rsidR="003334AD" w:rsidRDefault="003334AD" w:rsidP="0075613D">
      <w:pPr>
        <w:pStyle w:val="BulletNumbers"/>
        <w:numPr>
          <w:ilvl w:val="0"/>
          <w:numId w:val="0"/>
        </w:numPr>
        <w:ind w:left="360" w:hanging="360"/>
      </w:pPr>
    </w:p>
    <w:p w14:paraId="04DF1B65" w14:textId="77777777" w:rsidR="003334AD" w:rsidRDefault="003334AD" w:rsidP="0075613D">
      <w:pPr>
        <w:pStyle w:val="BulletNumbers"/>
        <w:numPr>
          <w:ilvl w:val="0"/>
          <w:numId w:val="0"/>
        </w:numPr>
        <w:ind w:left="360" w:hanging="360"/>
      </w:pPr>
    </w:p>
    <w:p w14:paraId="46C140C4" w14:textId="77777777" w:rsidR="003334AD" w:rsidRDefault="003334AD" w:rsidP="0075613D">
      <w:pPr>
        <w:pStyle w:val="BulletNumbers"/>
        <w:numPr>
          <w:ilvl w:val="0"/>
          <w:numId w:val="0"/>
        </w:numPr>
        <w:ind w:left="360" w:hanging="360"/>
      </w:pPr>
    </w:p>
    <w:p w14:paraId="36833BEE" w14:textId="77777777" w:rsidR="003334AD" w:rsidRDefault="003334AD" w:rsidP="0075613D">
      <w:pPr>
        <w:pStyle w:val="BulletNumbers"/>
        <w:numPr>
          <w:ilvl w:val="0"/>
          <w:numId w:val="0"/>
        </w:numPr>
        <w:ind w:left="360" w:hanging="360"/>
      </w:pPr>
    </w:p>
    <w:p w14:paraId="61FA38E3" w14:textId="77777777" w:rsidR="003334AD" w:rsidRDefault="003334AD" w:rsidP="0075613D">
      <w:pPr>
        <w:pStyle w:val="BulletNumbers"/>
        <w:numPr>
          <w:ilvl w:val="0"/>
          <w:numId w:val="0"/>
        </w:numPr>
        <w:ind w:left="360" w:hanging="360"/>
      </w:pPr>
    </w:p>
    <w:p w14:paraId="638D413A" w14:textId="77777777" w:rsidR="003334AD" w:rsidRDefault="003334AD" w:rsidP="0075613D">
      <w:pPr>
        <w:pStyle w:val="BulletNumbers"/>
        <w:numPr>
          <w:ilvl w:val="0"/>
          <w:numId w:val="0"/>
        </w:numPr>
        <w:ind w:left="360" w:hanging="360"/>
      </w:pPr>
    </w:p>
    <w:p w14:paraId="18D0CB62" w14:textId="77777777" w:rsidR="003334AD" w:rsidRDefault="003334AD" w:rsidP="0075613D">
      <w:pPr>
        <w:pStyle w:val="BulletNumbers"/>
        <w:numPr>
          <w:ilvl w:val="0"/>
          <w:numId w:val="0"/>
        </w:numPr>
        <w:ind w:left="360" w:hanging="360"/>
      </w:pPr>
    </w:p>
    <w:p w14:paraId="2006B6F3" w14:textId="77777777" w:rsidR="003334AD" w:rsidRDefault="003334AD" w:rsidP="0075613D">
      <w:pPr>
        <w:pStyle w:val="BulletNumbers"/>
        <w:numPr>
          <w:ilvl w:val="0"/>
          <w:numId w:val="0"/>
        </w:numPr>
        <w:ind w:left="360" w:hanging="360"/>
      </w:pPr>
    </w:p>
    <w:p w14:paraId="2E927781" w14:textId="77777777" w:rsidR="003334AD" w:rsidRDefault="003334AD" w:rsidP="0075613D">
      <w:pPr>
        <w:pStyle w:val="BulletNumbers"/>
        <w:numPr>
          <w:ilvl w:val="0"/>
          <w:numId w:val="0"/>
        </w:numPr>
        <w:ind w:left="360" w:hanging="360"/>
      </w:pPr>
    </w:p>
    <w:p w14:paraId="36FA41E9" w14:textId="77777777" w:rsidR="003334AD" w:rsidRDefault="003334AD" w:rsidP="0075613D">
      <w:pPr>
        <w:pStyle w:val="BulletNumbers"/>
        <w:numPr>
          <w:ilvl w:val="0"/>
          <w:numId w:val="0"/>
        </w:numPr>
        <w:ind w:left="360" w:hanging="360"/>
      </w:pPr>
    </w:p>
    <w:p w14:paraId="7CF7B021" w14:textId="77777777" w:rsidR="003334AD" w:rsidRDefault="003334AD" w:rsidP="0075613D">
      <w:pPr>
        <w:pStyle w:val="BulletNumbers"/>
        <w:numPr>
          <w:ilvl w:val="0"/>
          <w:numId w:val="0"/>
        </w:numPr>
        <w:ind w:left="360" w:hanging="360"/>
      </w:pPr>
    </w:p>
    <w:p w14:paraId="67A8EFA1" w14:textId="77777777" w:rsidR="003334AD" w:rsidRDefault="003334AD" w:rsidP="0075613D">
      <w:pPr>
        <w:pStyle w:val="BulletNumbers"/>
        <w:numPr>
          <w:ilvl w:val="0"/>
          <w:numId w:val="0"/>
        </w:numPr>
        <w:ind w:left="360" w:hanging="360"/>
      </w:pPr>
    </w:p>
    <w:p w14:paraId="187E79AB" w14:textId="243C6C96" w:rsidR="003334AD" w:rsidRDefault="003334AD" w:rsidP="003334AD">
      <w:pPr>
        <w:pStyle w:val="Heading2"/>
      </w:pPr>
      <w:bookmarkStart w:id="43" w:name="_Toc214401105"/>
      <w:r>
        <w:lastRenderedPageBreak/>
        <w:t>Appendix B – Manager/Supervisor and Employee Checklist</w:t>
      </w:r>
      <w:bookmarkEnd w:id="43"/>
    </w:p>
    <w:p w14:paraId="66884641" w14:textId="4091FDF5" w:rsidR="003334AD" w:rsidRDefault="003334AD" w:rsidP="003334AD">
      <w:pPr>
        <w:pStyle w:val="Heading3"/>
      </w:pPr>
      <w:bookmarkStart w:id="44" w:name="_Toc214401106"/>
      <w:r>
        <w:t>Employees</w:t>
      </w:r>
      <w:bookmarkEnd w:id="44"/>
    </w:p>
    <w:p w14:paraId="56A1375C" w14:textId="77777777" w:rsidR="003334AD" w:rsidRPr="00D434BC" w:rsidRDefault="003334AD" w:rsidP="003334AD">
      <w:pPr>
        <w:spacing w:after="60" w:line="250" w:lineRule="exact"/>
      </w:pPr>
      <w:r w:rsidRPr="00D434BC">
        <w:t xml:space="preserve">When applying for </w:t>
      </w:r>
      <w:r>
        <w:t>personal leave</w:t>
      </w:r>
      <w:r w:rsidRPr="00D434BC">
        <w:t xml:space="preserve"> an employee should:</w:t>
      </w:r>
    </w:p>
    <w:p w14:paraId="01D5B259" w14:textId="77777777" w:rsidR="003334AD" w:rsidRPr="00952912" w:rsidRDefault="003334AD" w:rsidP="003334AD">
      <w:pPr>
        <w:pStyle w:val="ListNumber"/>
        <w:numPr>
          <w:ilvl w:val="1"/>
          <w:numId w:val="31"/>
        </w:numPr>
        <w:spacing w:after="60"/>
        <w:rPr>
          <w:szCs w:val="22"/>
        </w:rPr>
      </w:pPr>
      <w:r w:rsidRPr="00952912">
        <w:rPr>
          <w:szCs w:val="22"/>
        </w:rPr>
        <w:t xml:space="preserve">Notify their manager/supervisor as soon as </w:t>
      </w:r>
      <w:r>
        <w:rPr>
          <w:szCs w:val="22"/>
        </w:rPr>
        <w:t>practicable</w:t>
      </w:r>
      <w:r w:rsidRPr="00952912">
        <w:rPr>
          <w:szCs w:val="22"/>
        </w:rPr>
        <w:t xml:space="preserve"> of their intention to take leave.</w:t>
      </w:r>
    </w:p>
    <w:p w14:paraId="7E279F59" w14:textId="77777777" w:rsidR="003334AD" w:rsidRPr="00952912" w:rsidRDefault="003334AD" w:rsidP="003334AD">
      <w:pPr>
        <w:pStyle w:val="ListNumber"/>
        <w:numPr>
          <w:ilvl w:val="1"/>
          <w:numId w:val="31"/>
        </w:numPr>
        <w:spacing w:after="60"/>
        <w:rPr>
          <w:szCs w:val="22"/>
        </w:rPr>
      </w:pPr>
      <w:r w:rsidRPr="00952912">
        <w:rPr>
          <w:szCs w:val="22"/>
        </w:rPr>
        <w:t xml:space="preserve">Submit </w:t>
      </w:r>
      <w:r>
        <w:rPr>
          <w:szCs w:val="22"/>
        </w:rPr>
        <w:t xml:space="preserve">their </w:t>
      </w:r>
      <w:r w:rsidRPr="00952912">
        <w:rPr>
          <w:szCs w:val="22"/>
        </w:rPr>
        <w:t>leave applications in a timely manner.</w:t>
      </w:r>
    </w:p>
    <w:p w14:paraId="5119212E" w14:textId="77777777" w:rsidR="003334AD" w:rsidRPr="00952912" w:rsidRDefault="003334AD" w:rsidP="003334AD">
      <w:pPr>
        <w:pStyle w:val="ListNumber"/>
        <w:numPr>
          <w:ilvl w:val="1"/>
          <w:numId w:val="31"/>
        </w:numPr>
        <w:spacing w:after="60"/>
        <w:rPr>
          <w:szCs w:val="22"/>
        </w:rPr>
      </w:pPr>
      <w:r w:rsidRPr="00952912">
        <w:rPr>
          <w:szCs w:val="22"/>
        </w:rPr>
        <w:t>Provide documentary evidence</w:t>
      </w:r>
      <w:r>
        <w:rPr>
          <w:szCs w:val="22"/>
        </w:rPr>
        <w:t xml:space="preserve"> with application</w:t>
      </w:r>
      <w:r w:rsidRPr="00952912">
        <w:rPr>
          <w:szCs w:val="22"/>
        </w:rPr>
        <w:t xml:space="preserve"> where required or there is a reasonable request to do so.</w:t>
      </w:r>
    </w:p>
    <w:p w14:paraId="4C1AB841" w14:textId="77777777" w:rsidR="003334AD" w:rsidRDefault="003334AD" w:rsidP="003334AD">
      <w:pPr>
        <w:pStyle w:val="ListNumber"/>
        <w:numPr>
          <w:ilvl w:val="1"/>
          <w:numId w:val="31"/>
        </w:numPr>
        <w:spacing w:after="60"/>
        <w:rPr>
          <w:szCs w:val="22"/>
        </w:rPr>
      </w:pPr>
      <w:r w:rsidRPr="00952912">
        <w:rPr>
          <w:szCs w:val="22"/>
        </w:rPr>
        <w:t>Understand their leave balance, credit accrual, and where to find relevant information about their leave (including on their payslip, HR21</w:t>
      </w:r>
      <w:r>
        <w:rPr>
          <w:szCs w:val="22"/>
        </w:rPr>
        <w:t>/ACTPS interweb</w:t>
      </w:r>
      <w:r w:rsidRPr="00952912">
        <w:rPr>
          <w:szCs w:val="22"/>
        </w:rPr>
        <w:t xml:space="preserve">, their manager and </w:t>
      </w:r>
      <w:r>
        <w:rPr>
          <w:szCs w:val="22"/>
        </w:rPr>
        <w:t>enterprise a</w:t>
      </w:r>
      <w:r w:rsidRPr="00952912">
        <w:rPr>
          <w:szCs w:val="22"/>
        </w:rPr>
        <w:t>greement provisions).</w:t>
      </w:r>
    </w:p>
    <w:p w14:paraId="381B6796" w14:textId="77777777" w:rsidR="003334AD" w:rsidRPr="00B171A1" w:rsidRDefault="003334AD" w:rsidP="003334AD">
      <w:pPr>
        <w:pStyle w:val="ListNumber"/>
        <w:numPr>
          <w:ilvl w:val="1"/>
          <w:numId w:val="31"/>
        </w:numPr>
        <w:spacing w:after="60"/>
        <w:rPr>
          <w:szCs w:val="22"/>
        </w:rPr>
      </w:pPr>
      <w:r w:rsidRPr="00B171A1">
        <w:rPr>
          <w:rFonts w:cs="Calibri"/>
          <w:szCs w:val="22"/>
        </w:rPr>
        <w:t xml:space="preserve">Work with managers towards a timely, functional, and safe return to work after a period of </w:t>
      </w:r>
      <w:r>
        <w:rPr>
          <w:rFonts w:cs="Calibri"/>
          <w:szCs w:val="22"/>
        </w:rPr>
        <w:t>personal leave</w:t>
      </w:r>
      <w:r w:rsidRPr="00B171A1">
        <w:rPr>
          <w:rFonts w:cs="Calibri"/>
          <w:szCs w:val="22"/>
        </w:rPr>
        <w:t>.</w:t>
      </w:r>
    </w:p>
    <w:p w14:paraId="0E61B465" w14:textId="77777777" w:rsidR="003334AD" w:rsidRPr="002318B0" w:rsidRDefault="003334AD" w:rsidP="003334AD">
      <w:pPr>
        <w:pStyle w:val="ListNumber"/>
        <w:numPr>
          <w:ilvl w:val="0"/>
          <w:numId w:val="0"/>
        </w:numPr>
        <w:spacing w:after="60"/>
        <w:ind w:left="1080"/>
        <w:rPr>
          <w:rFonts w:cs="Calibri"/>
          <w:szCs w:val="22"/>
        </w:rPr>
      </w:pPr>
      <w:r w:rsidRPr="002318B0">
        <w:rPr>
          <w:rFonts w:cs="Calibri"/>
          <w:szCs w:val="22"/>
        </w:rPr>
        <w:t>Note: All employees may access confidential, professional counselling and support services through Employee Assistance Program (EAP) at any time during their employment.</w:t>
      </w:r>
      <w:r w:rsidRPr="002318B0">
        <w:rPr>
          <w:rStyle w:val="FootnoteReference"/>
          <w:rFonts w:cs="Calibri"/>
          <w:szCs w:val="22"/>
        </w:rPr>
        <w:footnoteReference w:id="15"/>
      </w:r>
    </w:p>
    <w:p w14:paraId="3BC86EC1" w14:textId="6442690C" w:rsidR="003334AD" w:rsidRDefault="003334AD" w:rsidP="003334AD">
      <w:pPr>
        <w:pStyle w:val="Heading3"/>
      </w:pPr>
      <w:bookmarkStart w:id="45" w:name="_Toc214401107"/>
      <w:r>
        <w:t>Managers/Supervisor</w:t>
      </w:r>
      <w:bookmarkEnd w:id="45"/>
    </w:p>
    <w:p w14:paraId="168CE467" w14:textId="62C4D875" w:rsidR="002318B0" w:rsidRPr="00D434BC" w:rsidRDefault="002318B0" w:rsidP="002318B0">
      <w:pPr>
        <w:spacing w:after="60" w:line="250" w:lineRule="exact"/>
      </w:pPr>
      <w:r w:rsidRPr="13E794F8">
        <w:rPr>
          <w:rFonts w:cs="Calibri"/>
        </w:rPr>
        <w:t>Manager</w:t>
      </w:r>
      <w:r>
        <w:rPr>
          <w:rFonts w:cs="Calibri"/>
        </w:rPr>
        <w:t>s</w:t>
      </w:r>
      <w:r w:rsidRPr="13E794F8">
        <w:rPr>
          <w:rFonts w:cs="Calibri"/>
        </w:rPr>
        <w:t>/Supervisor</w:t>
      </w:r>
      <w:r>
        <w:rPr>
          <w:rFonts w:cs="Calibri"/>
        </w:rPr>
        <w:t>s</w:t>
      </w:r>
      <w:r w:rsidRPr="13E794F8">
        <w:rPr>
          <w:rFonts w:cs="Calibri"/>
        </w:rPr>
        <w:t xml:space="preserve"> </w:t>
      </w:r>
      <w:r>
        <w:t xml:space="preserve">should discuss and document in advance how employees will communicate requests for personal leave in unexpected circumstances. This should form part of onboarding staff. </w:t>
      </w:r>
    </w:p>
    <w:p w14:paraId="3622F0D3" w14:textId="77777777" w:rsidR="002318B0" w:rsidRPr="00D434BC" w:rsidRDefault="002318B0" w:rsidP="002318B0">
      <w:pPr>
        <w:spacing w:after="60" w:line="250" w:lineRule="exact"/>
      </w:pPr>
      <w:r w:rsidRPr="00D434BC">
        <w:rPr>
          <w:rFonts w:cs="Calibri"/>
        </w:rPr>
        <w:t xml:space="preserve">When receiving notification of an employee’s intention to take </w:t>
      </w:r>
      <w:r>
        <w:rPr>
          <w:rFonts w:cs="Calibri"/>
        </w:rPr>
        <w:t>personal leave</w:t>
      </w:r>
      <w:r w:rsidRPr="00D434BC">
        <w:rPr>
          <w:rFonts w:cs="Calibri"/>
        </w:rPr>
        <w:t xml:space="preserve"> a Manager/Supervisor should:</w:t>
      </w:r>
    </w:p>
    <w:p w14:paraId="757DAB56" w14:textId="77777777" w:rsidR="002318B0" w:rsidRDefault="002318B0" w:rsidP="002318B0">
      <w:pPr>
        <w:pStyle w:val="ListNumber"/>
        <w:numPr>
          <w:ilvl w:val="1"/>
          <w:numId w:val="32"/>
        </w:numPr>
        <w:spacing w:after="60"/>
        <w:rPr>
          <w:rFonts w:cs="Calibri"/>
          <w:szCs w:val="22"/>
        </w:rPr>
      </w:pPr>
      <w:r>
        <w:rPr>
          <w:rFonts w:cs="Calibri"/>
          <w:szCs w:val="22"/>
        </w:rPr>
        <w:t xml:space="preserve">Consider whether it is reasonably appropriate to request documentary evidence upon initial notification, having considered the employee’s entitlement to paid personal leave without documentary evidence. </w:t>
      </w:r>
    </w:p>
    <w:p w14:paraId="7122F687" w14:textId="77777777" w:rsidR="002318B0" w:rsidRPr="0038769F" w:rsidRDefault="002318B0" w:rsidP="002318B0">
      <w:pPr>
        <w:pStyle w:val="ListNumber"/>
        <w:numPr>
          <w:ilvl w:val="1"/>
          <w:numId w:val="32"/>
        </w:numPr>
        <w:spacing w:after="60"/>
        <w:rPr>
          <w:rFonts w:cs="Calibri"/>
          <w:szCs w:val="22"/>
        </w:rPr>
      </w:pPr>
      <w:r>
        <w:rPr>
          <w:rFonts w:cs="Calibri"/>
          <w:szCs w:val="22"/>
        </w:rPr>
        <w:t xml:space="preserve">Provide reasonable opportunity for the employee to produce documentary evidence and </w:t>
      </w:r>
      <w:proofErr w:type="gramStart"/>
      <w:r>
        <w:rPr>
          <w:rFonts w:cs="Calibri"/>
          <w:szCs w:val="22"/>
        </w:rPr>
        <w:t>submit an application</w:t>
      </w:r>
      <w:proofErr w:type="gramEnd"/>
      <w:r>
        <w:rPr>
          <w:rFonts w:cs="Calibri"/>
          <w:szCs w:val="22"/>
        </w:rPr>
        <w:t xml:space="preserve"> for personal leave where there was sudden or unexpected leave. </w:t>
      </w:r>
    </w:p>
    <w:p w14:paraId="655895A6" w14:textId="77777777" w:rsidR="002318B0" w:rsidRPr="00952912" w:rsidRDefault="002318B0" w:rsidP="002318B0">
      <w:pPr>
        <w:pStyle w:val="ListNumber"/>
        <w:numPr>
          <w:ilvl w:val="1"/>
          <w:numId w:val="32"/>
        </w:numPr>
        <w:spacing w:after="60"/>
        <w:rPr>
          <w:rFonts w:cs="Calibri"/>
          <w:szCs w:val="22"/>
        </w:rPr>
      </w:pPr>
      <w:r w:rsidRPr="00952912">
        <w:rPr>
          <w:rFonts w:cs="Calibri"/>
          <w:szCs w:val="22"/>
        </w:rPr>
        <w:t xml:space="preserve">Review </w:t>
      </w:r>
      <w:r>
        <w:rPr>
          <w:rFonts w:cs="Calibri"/>
          <w:szCs w:val="22"/>
        </w:rPr>
        <w:t>the personal leave</w:t>
      </w:r>
      <w:r w:rsidRPr="00952912">
        <w:rPr>
          <w:rFonts w:cs="Calibri"/>
          <w:szCs w:val="22"/>
        </w:rPr>
        <w:t xml:space="preserve"> application and approve or decline </w:t>
      </w:r>
      <w:r>
        <w:rPr>
          <w:rFonts w:cs="Calibri"/>
          <w:szCs w:val="22"/>
        </w:rPr>
        <w:t>it</w:t>
      </w:r>
      <w:r w:rsidRPr="00952912">
        <w:rPr>
          <w:rFonts w:cs="Calibri"/>
          <w:szCs w:val="22"/>
        </w:rPr>
        <w:t xml:space="preserve"> in a timely manner.</w:t>
      </w:r>
      <w:r>
        <w:rPr>
          <w:rFonts w:cs="Calibri"/>
          <w:szCs w:val="22"/>
        </w:rPr>
        <w:t xml:space="preserve"> If declined, the manager must consult with the employee as noted in the guidelines.</w:t>
      </w:r>
    </w:p>
    <w:p w14:paraId="1271DDD8" w14:textId="77777777" w:rsidR="002318B0" w:rsidRDefault="002318B0" w:rsidP="002318B0">
      <w:pPr>
        <w:pStyle w:val="ListNumber"/>
        <w:numPr>
          <w:ilvl w:val="1"/>
          <w:numId w:val="32"/>
        </w:numPr>
        <w:spacing w:after="60"/>
        <w:rPr>
          <w:rFonts w:cs="Calibri"/>
          <w:szCs w:val="22"/>
        </w:rPr>
      </w:pPr>
      <w:r>
        <w:rPr>
          <w:rFonts w:cs="Calibri"/>
          <w:szCs w:val="22"/>
        </w:rPr>
        <w:t>Upon request, p</w:t>
      </w:r>
      <w:r w:rsidRPr="00952912">
        <w:rPr>
          <w:rFonts w:cs="Calibri"/>
          <w:szCs w:val="22"/>
        </w:rPr>
        <w:t xml:space="preserve">rovide </w:t>
      </w:r>
      <w:r>
        <w:rPr>
          <w:rFonts w:cs="Calibri"/>
          <w:szCs w:val="22"/>
        </w:rPr>
        <w:t>the</w:t>
      </w:r>
      <w:r w:rsidRPr="00952912">
        <w:rPr>
          <w:rFonts w:cs="Calibri"/>
          <w:szCs w:val="22"/>
        </w:rPr>
        <w:t xml:space="preserve"> employee </w:t>
      </w:r>
      <w:r>
        <w:rPr>
          <w:rFonts w:cs="Calibri"/>
          <w:szCs w:val="22"/>
        </w:rPr>
        <w:t xml:space="preserve">with a </w:t>
      </w:r>
      <w:r w:rsidRPr="00952912">
        <w:rPr>
          <w:rFonts w:cs="Calibri"/>
          <w:szCs w:val="22"/>
        </w:rPr>
        <w:t xml:space="preserve">clear reason in writing where they decline a </w:t>
      </w:r>
      <w:r>
        <w:rPr>
          <w:rFonts w:cs="Calibri"/>
          <w:szCs w:val="22"/>
        </w:rPr>
        <w:t>personal leave</w:t>
      </w:r>
      <w:r w:rsidRPr="00952912">
        <w:rPr>
          <w:rFonts w:cs="Calibri"/>
          <w:szCs w:val="22"/>
        </w:rPr>
        <w:t xml:space="preserve"> request</w:t>
      </w:r>
      <w:r>
        <w:rPr>
          <w:rFonts w:cs="Calibri"/>
          <w:szCs w:val="22"/>
        </w:rPr>
        <w:t xml:space="preserve">. If appropriate, the manager may </w:t>
      </w:r>
      <w:r w:rsidRPr="00732E09">
        <w:rPr>
          <w:rFonts w:cs="Calibri"/>
          <w:szCs w:val="22"/>
        </w:rPr>
        <w:t xml:space="preserve">seek to discuss alternative solutions such as flexible working arrangements or reasonable adjustments to work environments as an alternative to </w:t>
      </w:r>
      <w:r>
        <w:rPr>
          <w:rFonts w:cs="Calibri"/>
          <w:szCs w:val="22"/>
        </w:rPr>
        <w:t>personal leave</w:t>
      </w:r>
      <w:r w:rsidRPr="00732E09">
        <w:rPr>
          <w:rFonts w:cs="Calibri"/>
          <w:szCs w:val="22"/>
        </w:rPr>
        <w:t>.</w:t>
      </w:r>
    </w:p>
    <w:p w14:paraId="35586775" w14:textId="77777777" w:rsidR="002318B0" w:rsidRPr="00C17020" w:rsidRDefault="002318B0" w:rsidP="002318B0">
      <w:pPr>
        <w:pStyle w:val="ListNumber"/>
        <w:numPr>
          <w:ilvl w:val="1"/>
          <w:numId w:val="32"/>
        </w:numPr>
        <w:spacing w:after="60"/>
      </w:pPr>
      <w:r w:rsidRPr="00E15C2D">
        <w:rPr>
          <w:rFonts w:cs="Calibri"/>
          <w:szCs w:val="22"/>
        </w:rPr>
        <w:t xml:space="preserve">Engage with employees to facilitate a timely, functional and safe return to the workplace after a period of </w:t>
      </w:r>
      <w:r>
        <w:rPr>
          <w:rFonts w:cs="Calibri"/>
          <w:szCs w:val="22"/>
        </w:rPr>
        <w:t>personal leave</w:t>
      </w:r>
      <w:r w:rsidRPr="00E15C2D">
        <w:rPr>
          <w:rFonts w:cs="Calibri"/>
          <w:szCs w:val="22"/>
        </w:rPr>
        <w:t>.</w:t>
      </w:r>
    </w:p>
    <w:p w14:paraId="1B85D1FE" w14:textId="77777777" w:rsidR="002318B0" w:rsidRPr="006A726F" w:rsidRDefault="002318B0" w:rsidP="002318B0">
      <w:pPr>
        <w:pStyle w:val="ListNumber"/>
        <w:numPr>
          <w:ilvl w:val="1"/>
          <w:numId w:val="32"/>
        </w:numPr>
        <w:spacing w:after="60"/>
      </w:pPr>
      <w:r>
        <w:rPr>
          <w:rFonts w:cs="Calibri"/>
          <w:szCs w:val="22"/>
        </w:rPr>
        <w:t>Engage with their relevant HR team in relation to any concerns with an employee’s personal leave, including excessive personal leave, low personal leave balances, and concerns regarding supporting documentation.</w:t>
      </w:r>
    </w:p>
    <w:p w14:paraId="1B0F0363" w14:textId="77777777" w:rsidR="00CA5A65" w:rsidRDefault="00CA5A65" w:rsidP="002318B0">
      <w:pPr>
        <w:pStyle w:val="BulletNumbers"/>
        <w:numPr>
          <w:ilvl w:val="0"/>
          <w:numId w:val="0"/>
        </w:numPr>
        <w:ind w:left="360" w:hanging="360"/>
      </w:pPr>
    </w:p>
    <w:p w14:paraId="1AA8C9E8" w14:textId="77777777" w:rsidR="00CA5A65" w:rsidRDefault="00CA5A65" w:rsidP="00532E9C">
      <w:pPr>
        <w:pStyle w:val="BulletNumbers"/>
        <w:numPr>
          <w:ilvl w:val="0"/>
          <w:numId w:val="0"/>
        </w:numPr>
        <w:ind w:left="360"/>
      </w:pPr>
    </w:p>
    <w:p w14:paraId="0C86676A" w14:textId="77777777" w:rsidR="00CA5A65" w:rsidRDefault="00CA5A65" w:rsidP="00532E9C">
      <w:pPr>
        <w:pStyle w:val="BulletNumbers"/>
        <w:numPr>
          <w:ilvl w:val="0"/>
          <w:numId w:val="0"/>
        </w:numPr>
        <w:ind w:left="360"/>
      </w:pPr>
    </w:p>
    <w:p w14:paraId="1C21EB43" w14:textId="77777777" w:rsidR="00CA5A65" w:rsidRDefault="00CA5A65" w:rsidP="00532E9C">
      <w:pPr>
        <w:pStyle w:val="BulletNumbers"/>
        <w:numPr>
          <w:ilvl w:val="0"/>
          <w:numId w:val="0"/>
        </w:numPr>
        <w:ind w:left="360"/>
      </w:pPr>
    </w:p>
    <w:p w14:paraId="6EF46C5E" w14:textId="77777777" w:rsidR="003334AD" w:rsidRDefault="003334AD" w:rsidP="00532E9C">
      <w:pPr>
        <w:pStyle w:val="BulletNumbers"/>
        <w:numPr>
          <w:ilvl w:val="0"/>
          <w:numId w:val="0"/>
        </w:numPr>
        <w:ind w:left="360"/>
      </w:pPr>
    </w:p>
    <w:p w14:paraId="1CE5EEF2" w14:textId="77777777" w:rsidR="003334AD" w:rsidRDefault="003334AD" w:rsidP="00532E9C">
      <w:pPr>
        <w:pStyle w:val="BulletNumbers"/>
        <w:numPr>
          <w:ilvl w:val="0"/>
          <w:numId w:val="0"/>
        </w:numPr>
        <w:ind w:left="360"/>
      </w:pPr>
    </w:p>
    <w:p w14:paraId="48C10DF8" w14:textId="77777777" w:rsidR="003334AD" w:rsidRDefault="003334AD" w:rsidP="00532E9C">
      <w:pPr>
        <w:pStyle w:val="BulletNumbers"/>
        <w:numPr>
          <w:ilvl w:val="0"/>
          <w:numId w:val="0"/>
        </w:numPr>
        <w:ind w:left="360"/>
      </w:pPr>
    </w:p>
    <w:p w14:paraId="3FC3A7F9" w14:textId="77777777" w:rsidR="003334AD" w:rsidRDefault="003334AD" w:rsidP="00532E9C">
      <w:pPr>
        <w:pStyle w:val="BulletNumbers"/>
        <w:numPr>
          <w:ilvl w:val="0"/>
          <w:numId w:val="0"/>
        </w:numPr>
        <w:ind w:left="360"/>
      </w:pPr>
    </w:p>
    <w:p w14:paraId="4CBC4022" w14:textId="77777777" w:rsidR="00CA5A65" w:rsidRDefault="00CA5A65" w:rsidP="00532E9C">
      <w:pPr>
        <w:pStyle w:val="BulletNumbers"/>
        <w:numPr>
          <w:ilvl w:val="0"/>
          <w:numId w:val="0"/>
        </w:numPr>
        <w:ind w:left="360"/>
      </w:pPr>
    </w:p>
    <w:p w14:paraId="18D20E1A" w14:textId="13D03967" w:rsidR="00CA5A65" w:rsidRDefault="00CA5A65" w:rsidP="00CA5A65">
      <w:pPr>
        <w:pStyle w:val="BulletNumbers"/>
        <w:numPr>
          <w:ilvl w:val="0"/>
          <w:numId w:val="0"/>
        </w:numPr>
        <w:ind w:left="284"/>
      </w:pPr>
      <w:r>
        <w:rPr>
          <w:noProof/>
          <w:lang w:val="en-GB"/>
          <w14:ligatures w14:val="standardContextual"/>
        </w:rPr>
        <w:drawing>
          <wp:anchor distT="0" distB="0" distL="114300" distR="114300" simplePos="0" relativeHeight="251660289" behindDoc="0" locked="0" layoutInCell="1" allowOverlap="1" wp14:anchorId="3636D87E" wp14:editId="627D249E">
            <wp:simplePos x="0" y="0"/>
            <wp:positionH relativeFrom="column">
              <wp:posOffset>0</wp:posOffset>
            </wp:positionH>
            <wp:positionV relativeFrom="page">
              <wp:posOffset>9157970</wp:posOffset>
            </wp:positionV>
            <wp:extent cx="1574800" cy="801370"/>
            <wp:effectExtent l="0" t="0" r="0" b="0"/>
            <wp:wrapNone/>
            <wp:docPr id="2034989759"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p>
    <w:sectPr w:rsidR="00CA5A65" w:rsidSect="00D40506">
      <w:footerReference w:type="first" r:id="rId35"/>
      <w:pgSz w:w="11906" w:h="16838"/>
      <w:pgMar w:top="113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340E" w14:textId="77777777" w:rsidR="007C559C" w:rsidRDefault="007C559C" w:rsidP="00BA666E">
      <w:r>
        <w:separator/>
      </w:r>
    </w:p>
  </w:endnote>
  <w:endnote w:type="continuationSeparator" w:id="0">
    <w:p w14:paraId="60AE0E7B" w14:textId="77777777" w:rsidR="007C559C" w:rsidRDefault="007C559C" w:rsidP="00BA666E">
      <w:r>
        <w:continuationSeparator/>
      </w:r>
    </w:p>
  </w:endnote>
  <w:endnote w:type="continuationNotice" w:id="1">
    <w:p w14:paraId="7988712C" w14:textId="77777777" w:rsidR="007C559C" w:rsidRDefault="007C559C"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rsidP="00FB0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323426462"/>
      <w:docPartObj>
        <w:docPartGallery w:val="Page Numbers (Bottom of Page)"/>
        <w:docPartUnique/>
      </w:docPartObj>
    </w:sdtPr>
    <w:sdtEndPr>
      <w:rPr>
        <w:rStyle w:val="PageNumber"/>
      </w:rPr>
    </w:sdtEndPr>
    <w:sdtContent>
      <w:p w14:paraId="2C45EE3B" w14:textId="77777777" w:rsidR="001E49B4" w:rsidRPr="003A0EC4" w:rsidRDefault="001E49B4"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sdt>
    <w:sdtPr>
      <w:rPr>
        <w:sz w:val="18"/>
        <w:szCs w:val="18"/>
      </w:rPr>
      <w:id w:val="-1967728817"/>
      <w:placeholder>
        <w:docPart w:val="29017B08C160D84ABA40B95201D18DE7"/>
      </w:placeholder>
      <w:temporary/>
      <w:showingPlcHdr/>
      <w15:appearance w15:val="hidden"/>
    </w:sdtPr>
    <w:sdtEndPr/>
    <w:sdtContent>
      <w:p w14:paraId="659008D0" w14:textId="593A8D12" w:rsidR="009724C2" w:rsidRPr="001E49B4" w:rsidRDefault="001E49B4" w:rsidP="001E49B4">
        <w:pPr>
          <w:pStyle w:val="Footer"/>
          <w:ind w:right="360"/>
          <w:rPr>
            <w:sz w:val="18"/>
            <w:szCs w:val="18"/>
          </w:rPr>
        </w:pPr>
        <w:r w:rsidRPr="003A0EC4">
          <w:rPr>
            <w:sz w:val="18"/>
            <w:szCs w:val="18"/>
          </w:rPr>
          <w:t>[Type here]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60092BF8" w:rsidR="008A2BE1" w:rsidRPr="003A0EC4" w:rsidRDefault="008A2BE1" w:rsidP="000943E9">
    <w:pPr>
      <w:pStyle w:val="Footer"/>
      <w:tabs>
        <w:tab w:val="clear" w:pos="4513"/>
        <w:tab w:val="clear" w:pos="9026"/>
        <w:tab w:val="left" w:pos="1473"/>
      </w:tabs>
      <w:ind w:right="36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81677751"/>
      <w:docPartObj>
        <w:docPartGallery w:val="Page Numbers (Bottom of Page)"/>
        <w:docPartUnique/>
      </w:docPartObj>
    </w:sdtPr>
    <w:sdtEndPr>
      <w:rPr>
        <w:rStyle w:val="PageNumber"/>
      </w:rPr>
    </w:sdtEndPr>
    <w:sdtContent>
      <w:p w14:paraId="7961A5FE" w14:textId="77777777" w:rsidR="000943E9" w:rsidRPr="003A0EC4" w:rsidRDefault="000943E9"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p w14:paraId="41FFDCA8" w14:textId="768BE35B" w:rsidR="003549CF" w:rsidRPr="001E49B4" w:rsidRDefault="003549CF" w:rsidP="001E49B4">
    <w:pPr>
      <w:pStyle w:val="Footer"/>
      <w:ind w:right="360"/>
      <w:rPr>
        <w:sz w:val="18"/>
        <w:szCs w:val="18"/>
      </w:rPr>
    </w:pPr>
    <w:r>
      <w:rPr>
        <w:sz w:val="18"/>
        <w:szCs w:val="18"/>
      </w:rPr>
      <w:t>Personal Leave Guidelines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FD1B" w14:textId="77777777" w:rsidR="00130E34" w:rsidRPr="003A0EC4" w:rsidRDefault="00130E34" w:rsidP="000943E9">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814F" w14:textId="77777777" w:rsidR="007C559C" w:rsidRDefault="007C559C" w:rsidP="00BA666E">
      <w:r>
        <w:separator/>
      </w:r>
    </w:p>
  </w:footnote>
  <w:footnote w:type="continuationSeparator" w:id="0">
    <w:p w14:paraId="1AB17343" w14:textId="77777777" w:rsidR="007C559C" w:rsidRDefault="007C559C" w:rsidP="00BA666E">
      <w:r>
        <w:continuationSeparator/>
      </w:r>
    </w:p>
  </w:footnote>
  <w:footnote w:type="continuationNotice" w:id="1">
    <w:p w14:paraId="19D633A6" w14:textId="77777777" w:rsidR="007C559C" w:rsidRDefault="007C559C" w:rsidP="00BA666E"/>
  </w:footnote>
  <w:footnote w:id="2">
    <w:p w14:paraId="089ABAA1" w14:textId="77777777" w:rsidR="00902C24" w:rsidRPr="00CE3057" w:rsidRDefault="00902C24" w:rsidP="00902C24">
      <w:pPr>
        <w:pStyle w:val="FootnoteText"/>
        <w:rPr>
          <w:sz w:val="16"/>
          <w:szCs w:val="16"/>
        </w:rPr>
      </w:pPr>
      <w:r w:rsidRPr="00CE3057">
        <w:rPr>
          <w:rStyle w:val="FootnoteReference"/>
          <w:sz w:val="16"/>
          <w:szCs w:val="16"/>
        </w:rPr>
        <w:footnoteRef/>
      </w:r>
      <w:r w:rsidRPr="00CE3057">
        <w:rPr>
          <w:sz w:val="16"/>
          <w:szCs w:val="16"/>
        </w:rPr>
        <w:t xml:space="preserve"> See definitions for immediate family and household member in </w:t>
      </w:r>
      <w:hyperlink r:id="rId1" w:history="1">
        <w:r w:rsidRPr="0069636B">
          <w:rPr>
            <w:rStyle w:val="Hyperlink"/>
            <w:sz w:val="16"/>
            <w:szCs w:val="16"/>
          </w:rPr>
          <w:t>ACTPS Enterprise Agreements</w:t>
        </w:r>
      </w:hyperlink>
    </w:p>
  </w:footnote>
  <w:footnote w:id="3">
    <w:p w14:paraId="32F663F1" w14:textId="4CB2C542" w:rsidR="00902C24" w:rsidRPr="00CE3057" w:rsidRDefault="00902C24" w:rsidP="00902C24">
      <w:pPr>
        <w:pStyle w:val="FootnoteText"/>
        <w:spacing w:before="60" w:after="60"/>
        <w:rPr>
          <w:sz w:val="16"/>
          <w:szCs w:val="16"/>
        </w:rPr>
      </w:pPr>
      <w:r w:rsidRPr="00CE3057">
        <w:rPr>
          <w:rStyle w:val="FootnoteReference"/>
          <w:sz w:val="16"/>
          <w:szCs w:val="16"/>
        </w:rPr>
        <w:footnoteRef/>
      </w:r>
      <w:r w:rsidRPr="00CE3057">
        <w:rPr>
          <w:sz w:val="16"/>
          <w:szCs w:val="16"/>
        </w:rPr>
        <w:t xml:space="preserve"> These guidelines refer to the 2023-2026 ‘common terms and conditions’ or ‘core’ provisions of </w:t>
      </w:r>
      <w:hyperlink r:id="rId2" w:history="1">
        <w:r w:rsidRPr="0069636B">
          <w:rPr>
            <w:rStyle w:val="Hyperlink"/>
            <w:sz w:val="16"/>
            <w:szCs w:val="16"/>
          </w:rPr>
          <w:t>ACTPS Enterprise Agreements</w:t>
        </w:r>
      </w:hyperlink>
      <w:r w:rsidRPr="00CE3057">
        <w:rPr>
          <w:sz w:val="16"/>
          <w:szCs w:val="16"/>
        </w:rPr>
        <w:t xml:space="preserve"> (the Agreement). </w:t>
      </w:r>
      <w:r w:rsidR="0002527C">
        <w:rPr>
          <w:sz w:val="16"/>
          <w:szCs w:val="16"/>
        </w:rPr>
        <w:t xml:space="preserve"> </w:t>
      </w:r>
      <w:r w:rsidRPr="00CE3057">
        <w:rPr>
          <w:sz w:val="16"/>
          <w:szCs w:val="16"/>
        </w:rPr>
        <w:t xml:space="preserve">An employee may need to review their directorate/agency-specific agreement for personal leave conditions specific to their work area. </w:t>
      </w:r>
    </w:p>
  </w:footnote>
  <w:footnote w:id="4">
    <w:p w14:paraId="76C0C42A" w14:textId="77777777" w:rsidR="00902C24" w:rsidRPr="00441CB6" w:rsidRDefault="00902C24" w:rsidP="00902C24">
      <w:pPr>
        <w:pStyle w:val="FootnoteText"/>
        <w:rPr>
          <w:sz w:val="16"/>
          <w:szCs w:val="16"/>
        </w:rPr>
      </w:pPr>
      <w:r w:rsidRPr="00CE3057">
        <w:rPr>
          <w:rStyle w:val="FootnoteReference"/>
          <w:sz w:val="16"/>
          <w:szCs w:val="16"/>
        </w:rPr>
        <w:footnoteRef/>
      </w:r>
      <w:r w:rsidRPr="00CE3057">
        <w:rPr>
          <w:sz w:val="16"/>
          <w:szCs w:val="16"/>
        </w:rPr>
        <w:t xml:space="preserve"> Senior Executive Staff (SES) are entitled to Leave provisions under the </w:t>
      </w:r>
      <w:hyperlink r:id="rId3" w:history="1">
        <w:r w:rsidRPr="0069636B">
          <w:rPr>
            <w:rStyle w:val="Hyperlink"/>
            <w:sz w:val="16"/>
            <w:szCs w:val="16"/>
          </w:rPr>
          <w:t>ACTPS Enterprise Agreements</w:t>
        </w:r>
      </w:hyperlink>
      <w:r w:rsidRPr="00CE3057">
        <w:rPr>
          <w:sz w:val="16"/>
          <w:szCs w:val="16"/>
        </w:rPr>
        <w:t xml:space="preserve"> as per Section 63 of the </w:t>
      </w:r>
      <w:hyperlink r:id="rId4" w:history="1">
        <w:r w:rsidRPr="0069636B">
          <w:rPr>
            <w:rStyle w:val="Hyperlink"/>
            <w:sz w:val="16"/>
            <w:szCs w:val="16"/>
          </w:rPr>
          <w:t>Public Sector Management Standards 2016</w:t>
        </w:r>
      </w:hyperlink>
      <w:r w:rsidRPr="00CE3057">
        <w:rPr>
          <w:sz w:val="16"/>
          <w:szCs w:val="16"/>
        </w:rPr>
        <w:t>.</w:t>
      </w:r>
    </w:p>
  </w:footnote>
  <w:footnote w:id="5">
    <w:p w14:paraId="4D70143E" w14:textId="77777777" w:rsidR="00902C24" w:rsidRPr="00BD4C5F" w:rsidRDefault="00902C24" w:rsidP="00902C24">
      <w:pPr>
        <w:pStyle w:val="FootnoteText"/>
        <w:rPr>
          <w:sz w:val="16"/>
          <w:szCs w:val="16"/>
        </w:rPr>
      </w:pPr>
      <w:r w:rsidRPr="00BD4C5F">
        <w:rPr>
          <w:rStyle w:val="FootnoteReference"/>
          <w:sz w:val="16"/>
          <w:szCs w:val="16"/>
        </w:rPr>
        <w:footnoteRef/>
      </w:r>
      <w:r w:rsidRPr="00BD4C5F">
        <w:rPr>
          <w:sz w:val="16"/>
          <w:szCs w:val="16"/>
        </w:rPr>
        <w:t xml:space="preserve"> See E1 of the </w:t>
      </w:r>
      <w:hyperlink r:id="rId5" w:history="1">
        <w:r w:rsidRPr="00527C61">
          <w:rPr>
            <w:rStyle w:val="Hyperlink"/>
            <w:sz w:val="16"/>
            <w:szCs w:val="16"/>
          </w:rPr>
          <w:t>Agreement</w:t>
        </w:r>
      </w:hyperlink>
      <w:r w:rsidRPr="00BD4C5F">
        <w:rPr>
          <w:sz w:val="16"/>
          <w:szCs w:val="16"/>
        </w:rPr>
        <w:t xml:space="preserve">. </w:t>
      </w:r>
    </w:p>
  </w:footnote>
  <w:footnote w:id="6">
    <w:p w14:paraId="5FC5667D" w14:textId="77777777" w:rsidR="00902C24" w:rsidRPr="00B93B96" w:rsidRDefault="00902C24" w:rsidP="00902C24">
      <w:pPr>
        <w:pStyle w:val="FootnoteText"/>
        <w:spacing w:before="60" w:after="60"/>
        <w:rPr>
          <w:sz w:val="16"/>
          <w:szCs w:val="16"/>
        </w:rPr>
      </w:pPr>
      <w:r w:rsidRPr="00BD4C5F">
        <w:rPr>
          <w:rStyle w:val="FootnoteReference"/>
          <w:sz w:val="16"/>
          <w:szCs w:val="16"/>
        </w:rPr>
        <w:footnoteRef/>
      </w:r>
      <w:r w:rsidRPr="00BD4C5F">
        <w:rPr>
          <w:sz w:val="16"/>
          <w:szCs w:val="16"/>
        </w:rPr>
        <w:t xml:space="preserve"> See the </w:t>
      </w:r>
      <w:hyperlink r:id="rId6">
        <w:r>
          <w:rPr>
            <w:rStyle w:val="Hyperlink"/>
            <w:rFonts w:asciiTheme="minorHAnsi" w:hAnsiTheme="minorHAnsi" w:cstheme="minorHAnsi"/>
            <w:sz w:val="16"/>
            <w:szCs w:val="16"/>
          </w:rPr>
          <w:t>Prior Service Recognition Policy</w:t>
        </w:r>
      </w:hyperlink>
      <w:r w:rsidRPr="00BD4C5F">
        <w:rPr>
          <w:rFonts w:asciiTheme="minorHAnsi" w:hAnsiTheme="minorHAnsi" w:cstheme="minorHAnsi"/>
          <w:sz w:val="16"/>
          <w:szCs w:val="16"/>
        </w:rPr>
        <w:t xml:space="preserve"> for further information on recognising prior service and crediting </w:t>
      </w:r>
      <w:r>
        <w:rPr>
          <w:rFonts w:asciiTheme="minorHAnsi" w:hAnsiTheme="minorHAnsi" w:cstheme="minorHAnsi"/>
          <w:sz w:val="16"/>
          <w:szCs w:val="16"/>
        </w:rPr>
        <w:t>personal leave</w:t>
      </w:r>
      <w:r w:rsidRPr="00BD4C5F">
        <w:rPr>
          <w:rFonts w:asciiTheme="minorHAnsi" w:hAnsiTheme="minorHAnsi" w:cstheme="minorHAnsi"/>
          <w:sz w:val="16"/>
          <w:szCs w:val="16"/>
        </w:rPr>
        <w:t>.</w:t>
      </w:r>
    </w:p>
  </w:footnote>
  <w:footnote w:id="7">
    <w:p w14:paraId="09A14892" w14:textId="77777777" w:rsidR="00334D19" w:rsidRPr="001063E5" w:rsidRDefault="00334D19" w:rsidP="00334D19">
      <w:pPr>
        <w:pStyle w:val="FootnoteText"/>
        <w:rPr>
          <w:sz w:val="16"/>
          <w:szCs w:val="16"/>
        </w:rPr>
      </w:pPr>
      <w:r w:rsidRPr="001063E5">
        <w:rPr>
          <w:rStyle w:val="FootnoteReference"/>
          <w:sz w:val="16"/>
          <w:szCs w:val="16"/>
        </w:rPr>
        <w:footnoteRef/>
      </w:r>
      <w:r w:rsidRPr="001063E5">
        <w:rPr>
          <w:sz w:val="16"/>
          <w:szCs w:val="16"/>
        </w:rPr>
        <w:t xml:space="preserve"> Under clause E4 of the </w:t>
      </w:r>
      <w:r>
        <w:rPr>
          <w:sz w:val="16"/>
          <w:szCs w:val="16"/>
        </w:rPr>
        <w:t>A</w:t>
      </w:r>
      <w:r w:rsidRPr="001063E5">
        <w:rPr>
          <w:sz w:val="16"/>
          <w:szCs w:val="16"/>
        </w:rPr>
        <w:t xml:space="preserve">greement terms </w:t>
      </w:r>
      <w:r>
        <w:rPr>
          <w:sz w:val="16"/>
          <w:szCs w:val="16"/>
        </w:rPr>
        <w:t>‘</w:t>
      </w:r>
      <w:r w:rsidRPr="001063E5">
        <w:rPr>
          <w:sz w:val="16"/>
          <w:szCs w:val="16"/>
        </w:rPr>
        <w:t>certificate</w:t>
      </w:r>
      <w:r>
        <w:rPr>
          <w:sz w:val="16"/>
          <w:szCs w:val="16"/>
        </w:rPr>
        <w:t>’</w:t>
      </w:r>
      <w:r w:rsidRPr="001063E5">
        <w:rPr>
          <w:sz w:val="16"/>
          <w:szCs w:val="16"/>
        </w:rPr>
        <w:t xml:space="preserve"> and </w:t>
      </w:r>
      <w:r>
        <w:rPr>
          <w:sz w:val="16"/>
          <w:szCs w:val="16"/>
        </w:rPr>
        <w:t>‘</w:t>
      </w:r>
      <w:r w:rsidRPr="001063E5">
        <w:rPr>
          <w:sz w:val="16"/>
          <w:szCs w:val="16"/>
        </w:rPr>
        <w:t>medical certificate</w:t>
      </w:r>
      <w:r>
        <w:rPr>
          <w:sz w:val="16"/>
          <w:szCs w:val="16"/>
        </w:rPr>
        <w:t xml:space="preserve">’ are used interchangeably in reference to documentary evidence provided by </w:t>
      </w:r>
      <w:r w:rsidRPr="001063E5">
        <w:rPr>
          <w:sz w:val="16"/>
          <w:szCs w:val="16"/>
        </w:rPr>
        <w:t xml:space="preserve">registered medical practitioner or registered health professional operating within </w:t>
      </w:r>
      <w:r>
        <w:rPr>
          <w:sz w:val="16"/>
          <w:szCs w:val="16"/>
        </w:rPr>
        <w:t>the</w:t>
      </w:r>
      <w:r w:rsidRPr="001063E5">
        <w:rPr>
          <w:sz w:val="16"/>
          <w:szCs w:val="16"/>
        </w:rPr>
        <w:t xml:space="preserve"> scope of their practice</w:t>
      </w:r>
      <w:r>
        <w:rPr>
          <w:sz w:val="16"/>
          <w:szCs w:val="16"/>
        </w:rPr>
        <w:t xml:space="preserve">. </w:t>
      </w:r>
    </w:p>
  </w:footnote>
  <w:footnote w:id="8">
    <w:p w14:paraId="0A3C84BA" w14:textId="77777777" w:rsidR="00D240A9" w:rsidRDefault="00D240A9" w:rsidP="00D240A9">
      <w:pPr>
        <w:pStyle w:val="FootnoteText"/>
      </w:pPr>
      <w:r>
        <w:rPr>
          <w:rStyle w:val="FootnoteReference"/>
        </w:rPr>
        <w:footnoteRef/>
      </w:r>
      <w:r>
        <w:t xml:space="preserve"> </w:t>
      </w:r>
      <w:r w:rsidRPr="007F39D3">
        <w:rPr>
          <w:sz w:val="16"/>
          <w:szCs w:val="16"/>
        </w:rPr>
        <w:t>Where possible, prior to the pay period in which the leave will be actioned to prevent overpayments in the case of unpaid personal leave.</w:t>
      </w:r>
    </w:p>
  </w:footnote>
  <w:footnote w:id="9">
    <w:p w14:paraId="1AAC3935" w14:textId="77777777" w:rsidR="00112DB0" w:rsidRDefault="00112DB0" w:rsidP="00112DB0">
      <w:pPr>
        <w:pStyle w:val="FootnoteText"/>
      </w:pPr>
    </w:p>
  </w:footnote>
  <w:footnote w:id="10">
    <w:p w14:paraId="5C1B66D7" w14:textId="77777777" w:rsidR="00112DB0" w:rsidRPr="00A421F2" w:rsidRDefault="00112DB0" w:rsidP="00112DB0">
      <w:pPr>
        <w:pStyle w:val="FootnoteText"/>
        <w:spacing w:before="60" w:after="60"/>
        <w:rPr>
          <w:sz w:val="16"/>
          <w:szCs w:val="16"/>
        </w:rPr>
      </w:pPr>
      <w:r w:rsidRPr="00A421F2">
        <w:rPr>
          <w:rStyle w:val="FootnoteReference"/>
          <w:sz w:val="16"/>
          <w:szCs w:val="16"/>
        </w:rPr>
        <w:footnoteRef/>
      </w:r>
      <w:r w:rsidRPr="00A421F2">
        <w:rPr>
          <w:sz w:val="16"/>
          <w:szCs w:val="16"/>
        </w:rPr>
        <w:t xml:space="preserve"> ‘Anticipating’ means borrowing from an employee’s future paid </w:t>
      </w:r>
      <w:r>
        <w:rPr>
          <w:sz w:val="16"/>
          <w:szCs w:val="16"/>
        </w:rPr>
        <w:t>personal leave</w:t>
      </w:r>
      <w:r w:rsidRPr="00A421F2">
        <w:rPr>
          <w:sz w:val="16"/>
          <w:szCs w:val="16"/>
        </w:rPr>
        <w:t>.</w:t>
      </w:r>
    </w:p>
  </w:footnote>
  <w:footnote w:id="11">
    <w:p w14:paraId="1C5E05D1" w14:textId="77777777" w:rsidR="00112DB0" w:rsidRPr="003334AD" w:rsidRDefault="00112DB0" w:rsidP="00112DB0">
      <w:pPr>
        <w:pStyle w:val="FootnoteText"/>
        <w:rPr>
          <w:sz w:val="16"/>
          <w:szCs w:val="16"/>
        </w:rPr>
      </w:pPr>
      <w:r w:rsidRPr="003334AD">
        <w:rPr>
          <w:rStyle w:val="FootnoteReference"/>
          <w:sz w:val="16"/>
          <w:szCs w:val="16"/>
        </w:rPr>
        <w:footnoteRef/>
      </w:r>
      <w:r w:rsidRPr="003334AD">
        <w:rPr>
          <w:sz w:val="16"/>
          <w:szCs w:val="16"/>
        </w:rPr>
        <w:t xml:space="preserve"> E4.43 of the core provisions in the Agreements.</w:t>
      </w:r>
    </w:p>
  </w:footnote>
  <w:footnote w:id="12">
    <w:p w14:paraId="5E11E982" w14:textId="77777777" w:rsidR="00112DB0" w:rsidRPr="00D40506" w:rsidRDefault="00112DB0" w:rsidP="00112DB0">
      <w:pPr>
        <w:pStyle w:val="FootnoteText"/>
        <w:rPr>
          <w:sz w:val="16"/>
          <w:szCs w:val="16"/>
        </w:rPr>
      </w:pPr>
      <w:r w:rsidRPr="00D40506">
        <w:rPr>
          <w:rStyle w:val="FootnoteReference"/>
          <w:sz w:val="16"/>
          <w:szCs w:val="16"/>
        </w:rPr>
        <w:footnoteRef/>
      </w:r>
      <w:r w:rsidRPr="00D40506">
        <w:rPr>
          <w:sz w:val="16"/>
          <w:szCs w:val="16"/>
        </w:rPr>
        <w:t xml:space="preserve"> E18.10 of the core provisions in the Agreements.</w:t>
      </w:r>
    </w:p>
  </w:footnote>
  <w:footnote w:id="13">
    <w:p w14:paraId="7037FE1C" w14:textId="77777777" w:rsidR="00112DB0" w:rsidRPr="00DD64BE" w:rsidRDefault="00112DB0" w:rsidP="00112DB0">
      <w:pPr>
        <w:pStyle w:val="FootnoteText"/>
        <w:spacing w:before="60" w:after="60"/>
        <w:rPr>
          <w:sz w:val="16"/>
          <w:szCs w:val="16"/>
        </w:rPr>
      </w:pPr>
      <w:r w:rsidRPr="004243B2">
        <w:rPr>
          <w:rStyle w:val="FootnoteReference"/>
          <w:sz w:val="16"/>
          <w:szCs w:val="16"/>
        </w:rPr>
        <w:footnoteRef/>
      </w:r>
      <w:r w:rsidRPr="004243B2">
        <w:rPr>
          <w:sz w:val="16"/>
          <w:szCs w:val="16"/>
        </w:rPr>
        <w:t xml:space="preserve"> See </w:t>
      </w:r>
      <w:r w:rsidRPr="004243B2">
        <w:rPr>
          <w:rFonts w:asciiTheme="minorHAnsi" w:hAnsiTheme="minorHAnsi" w:cstheme="minorHAnsi"/>
          <w:sz w:val="16"/>
          <w:szCs w:val="16"/>
        </w:rPr>
        <w:t xml:space="preserve">the </w:t>
      </w:r>
      <w:hyperlink r:id="rId7" w:history="1">
        <w:r w:rsidRPr="004243B2">
          <w:rPr>
            <w:rStyle w:val="Hyperlink"/>
            <w:rFonts w:asciiTheme="minorHAnsi" w:hAnsiTheme="minorHAnsi" w:cstheme="minorHAnsi"/>
            <w:sz w:val="16"/>
            <w:szCs w:val="16"/>
          </w:rPr>
          <w:t>ACTPS Flextime or Flexible Working Arrangement policies</w:t>
        </w:r>
      </w:hyperlink>
      <w:r w:rsidRPr="004243B2">
        <w:rPr>
          <w:sz w:val="16"/>
          <w:szCs w:val="16"/>
        </w:rPr>
        <w:t xml:space="preserve"> </w:t>
      </w:r>
      <w:r w:rsidRPr="004243B2">
        <w:rPr>
          <w:rFonts w:asciiTheme="minorHAnsi" w:hAnsiTheme="minorHAnsi" w:cstheme="minorHAnsi"/>
          <w:sz w:val="16"/>
          <w:szCs w:val="16"/>
        </w:rPr>
        <w:t>for further information.</w:t>
      </w:r>
    </w:p>
  </w:footnote>
  <w:footnote w:id="14">
    <w:p w14:paraId="75FBD347" w14:textId="77777777" w:rsidR="00112DB0" w:rsidRPr="00827AF0" w:rsidRDefault="00112DB0" w:rsidP="00112DB0">
      <w:pPr>
        <w:pStyle w:val="FootnoteText"/>
        <w:rPr>
          <w:sz w:val="16"/>
          <w:szCs w:val="16"/>
        </w:rPr>
      </w:pPr>
      <w:r w:rsidRPr="00827AF0">
        <w:rPr>
          <w:rStyle w:val="FootnoteReference"/>
          <w:sz w:val="16"/>
          <w:szCs w:val="16"/>
        </w:rPr>
        <w:footnoteRef/>
      </w:r>
      <w:r w:rsidRPr="00827AF0">
        <w:rPr>
          <w:sz w:val="16"/>
          <w:szCs w:val="16"/>
        </w:rPr>
        <w:t xml:space="preserve"> See </w:t>
      </w:r>
      <w:hyperlink r:id="rId8" w:history="1">
        <w:r w:rsidRPr="00827AF0">
          <w:rPr>
            <w:rStyle w:val="Hyperlink"/>
            <w:sz w:val="16"/>
            <w:szCs w:val="16"/>
          </w:rPr>
          <w:t>Right to Disconnect Guidelines</w:t>
        </w:r>
      </w:hyperlink>
      <w:r w:rsidRPr="00827AF0">
        <w:rPr>
          <w:sz w:val="16"/>
          <w:szCs w:val="16"/>
        </w:rPr>
        <w:t xml:space="preserve"> for further information.</w:t>
      </w:r>
    </w:p>
  </w:footnote>
  <w:footnote w:id="15">
    <w:p w14:paraId="5552446E" w14:textId="77777777" w:rsidR="003334AD" w:rsidRPr="00647DBF" w:rsidRDefault="003334AD" w:rsidP="003334AD">
      <w:pPr>
        <w:pStyle w:val="FootnoteText"/>
        <w:spacing w:before="60" w:after="60"/>
        <w:rPr>
          <w:sz w:val="16"/>
          <w:szCs w:val="16"/>
        </w:rPr>
      </w:pPr>
      <w:r w:rsidRPr="00647DBF">
        <w:rPr>
          <w:rStyle w:val="FootnoteReference"/>
          <w:sz w:val="16"/>
          <w:szCs w:val="16"/>
        </w:rPr>
        <w:footnoteRef/>
      </w:r>
      <w:r w:rsidRPr="00647DBF">
        <w:rPr>
          <w:sz w:val="16"/>
          <w:szCs w:val="16"/>
        </w:rPr>
        <w:t xml:space="preserve"> Seek advice from the relevant HR area of the directorate/agency on access to EAP.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8240" behindDoc="0" locked="0" layoutInCell="1" allowOverlap="1" wp14:anchorId="0A764BD5" wp14:editId="3D9A72E3">
              <wp:simplePos x="0" y="0"/>
              <wp:positionH relativeFrom="column">
                <wp:posOffset>-408618</wp:posOffset>
              </wp:positionH>
              <wp:positionV relativeFrom="paragraph">
                <wp:posOffset>-554355</wp:posOffset>
              </wp:positionV>
              <wp:extent cx="0" cy="11546006"/>
              <wp:effectExtent l="0" t="0" r="12700" b="11430"/>
              <wp:wrapNone/>
              <wp:docPr id="1028645097" name="Straight Connector 3"/>
              <wp:cNvGraphicFramePr/>
              <a:graphic xmlns:a="http://schemas.openxmlformats.org/drawingml/2006/main">
                <a:graphicData uri="http://schemas.microsoft.com/office/word/2010/wordprocessingShape">
                  <wps:wsp>
                    <wps:cNvCnPr/>
                    <wps:spPr>
                      <a:xfrm>
                        <a:off x="0" y="0"/>
                        <a:ext cx="0" cy="11546006"/>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2CD20"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5pt,-43.65pt" to="-32.1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j81wEAABgEAAAOAAAAZHJzL2Uyb0RvYy54bWysU8tu2zAQvBfoPxC815KS2mgFyzkkSC9N&#10;GvTxAQy1tAjwBZKx5L/PkpTlpDm1yIWShruzO7Or7dWkFTmAD9KajjarmhIw3PbS7Dv65/ftpy+U&#10;hMhMz5Q10NEjBHq1+/hhO7oWLuxgVQ+eIIkJ7eg6OsTo2qoKfADNwso6MHgprNcs4qffV71nI7Jr&#10;VV3U9aYare+dtxxCQPSmXNJd5hcCePwhRIBIVEext5hPn8/HdFa7LWv3nrlB8rkN9h9daCYNFl2o&#10;blhk5MnLN1Racm+DFXHFra6sEJJD1oBqmvovNb8G5iBrQXOCW2wK70fL7w/X5sGjDaMLbXAPPqmY&#10;hNfpif2RKZt1XMyCKRJeQI5o06w/b3AQycnqnOl8iN/AapJeOqqkSUJYyw7fQyyhp5AEK0PGjm4u&#10;13WOClbJ/lYqle7yLsC18uTAcIpxanKMetJ3ti/Y13Vdz7NEGCde4BOKfS0kucsX/HinDIJn+fkt&#10;HhWUxn6CILJHwaXsQlRKMM7BxGZWrwxGpzSBvS+Js6a00mcZrxPn+JQKeWv/JXnJyJWtiUuylsb6&#10;4ujr6snEMgVR4k8OFN3JgkfbH/NiZGtw/bJz86+S9vvld04//9C7ZwAAAP//AwBQSwMEFAAGAAgA&#10;AAAhAJCu5ZLhAAAADAEAAA8AAABkcnMvZG93bnJldi54bWxMj0FPwzAMhe9I/IfISFzQlo5BN5Wm&#10;EyBA2tA0MbjsljamLTROlWRb+fcYcYDbs9+n5+d8MdhOHNCH1pGCyTgBgVQ501Kt4O31cTQHEaIm&#10;oztHqOALAyyK05NcZ8Yd6QUP21gLDqGQaQVNjH0mZagatDqMXY/E3rvzVkcefS2N10cOt528TJJU&#10;Wt0SX2h0j/cNVp/bvVVgn5+Wu6XfbdYX1+nH3YPXKyxXSp2fDbc3ICIO8Q+Gn/pcHQruVLo9mSA6&#10;BaP0asooi/mMBRO/m5LR2XSSgCxy+f+J4hsAAP//AwBQSwECLQAUAAYACAAAACEAtoM4kv4AAADh&#10;AQAAEwAAAAAAAAAAAAAAAAAAAAAAW0NvbnRlbnRfVHlwZXNdLnhtbFBLAQItABQABgAIAAAAIQA4&#10;/SH/1gAAAJQBAAALAAAAAAAAAAAAAAAAAC8BAABfcmVscy8ucmVsc1BLAQItABQABgAIAAAAIQAa&#10;R3j81wEAABgEAAAOAAAAAAAAAAAAAAAAAC4CAABkcnMvZTJvRG9jLnhtbFBLAQItABQABgAIAAAA&#10;IQCQruWS4QAAAAwBAAAPAAAAAAAAAAAAAAAAADEEAABkcnMvZG93bnJldi54bWxQSwUGAAAAAAQA&#10;BADzAAAAPwUAAAAA&#10;" strokecolor="#0d0d0d [3069]" strokeweight=".5pt">
              <v:stroke joinstyle="miter"/>
            </v:line>
          </w:pict>
        </mc:Fallback>
      </mc:AlternateContent>
    </w:r>
    <w:r w:rsidR="009572B8">
      <w:rPr>
        <w:noProof/>
      </w:rPr>
      <mc:AlternateContent>
        <mc:Choice Requires="wps">
          <w:drawing>
            <wp:anchor distT="0" distB="0" distL="114300" distR="114300" simplePos="0" relativeHeight="251658241"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4DFFB" id="Oval 2" o:spid="_x0000_s1026" style="position:absolute;margin-left:-41.15pt;margin-top:74.2pt;width:17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E2XbgOEA&#10;AAALAQAADwAAAGRycy9kb3ducmV2LnhtbEyPUUvDMBSF3wX/Q7iCL6NLl1UJtenQochgL05BfMua&#10;rCk2N6XJtvrvd33Sx3vOx7nnVKvJ9+xkx9gFVLCY58AsNsF02Cr4eH/JJLCYNBrdB7QKfmyEVX19&#10;VenShDO+2dMutYxCMJZagUtpKDmPjbNex3kYLJJ3CKPXic6x5WbUZwr3PRd5fs+97pA+OD3YtbPN&#10;9+7oFWzvXrf4XBy+Zgv3NHyKpdhs1kKp25vp8QFYslP6g+G3PlWHmjrtwxFNZL2CTIoloWQUsgBG&#10;RFZIUvakSFEAryv+f0N9AQAA//8DAFBLAQItABQABgAIAAAAIQC2gziS/gAAAOEBAAATAAAAAAAA&#10;AAAAAAAAAAAAAABbQ29udGVudF9UeXBlc10ueG1sUEsBAi0AFAAGAAgAAAAhADj9If/WAAAAlAEA&#10;AAsAAAAAAAAAAAAAAAAALwEAAF9yZWxzLy5yZWxzUEsBAi0AFAAGAAgAAAAhANv3gSJ4AgAAYQUA&#10;AA4AAAAAAAAAAAAAAAAALgIAAGRycy9lMm9Eb2MueG1sUEsBAi0AFAAGAAgAAAAhABNl24DhAAAA&#10;CwEAAA8AAAAAAAAAAAAAAAAA0gQAAGRycy9kb3ducmV2LnhtbFBLBQYAAAAABAAEAPMAAADgBQAA&#10;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A4CAE98"/>
    <w:lvl w:ilvl="0">
      <w:start w:val="1"/>
      <w:numFmt w:val="decimal"/>
      <w:pStyle w:val="ListNumber"/>
      <w:lvlText w:val="%1."/>
      <w:lvlJc w:val="left"/>
      <w:pPr>
        <w:tabs>
          <w:tab w:val="num" w:pos="360"/>
        </w:tabs>
        <w:ind w:left="360" w:hanging="360"/>
      </w:pPr>
    </w:lvl>
  </w:abstractNum>
  <w:abstractNum w:abstractNumId="1"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821A6"/>
    <w:multiLevelType w:val="hybridMultilevel"/>
    <w:tmpl w:val="BE7E88E0"/>
    <w:lvl w:ilvl="0" w:tplc="FFFFFFFF">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A523F"/>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4"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DA50AC"/>
    <w:multiLevelType w:val="hybridMultilevel"/>
    <w:tmpl w:val="C04E0468"/>
    <w:lvl w:ilvl="0" w:tplc="FFFFFFFF">
      <w:start w:val="1"/>
      <w:numFmt w:val="decimal"/>
      <w:lvlText w:val="%1."/>
      <w:lvlJc w:val="left"/>
      <w:pPr>
        <w:ind w:left="720" w:hanging="360"/>
      </w:pPr>
      <w:rPr>
        <w:rFonts w:hint="default"/>
      </w:rPr>
    </w:lvl>
    <w:lvl w:ilvl="1" w:tplc="D7CA117E">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DC25F9"/>
    <w:multiLevelType w:val="hybridMultilevel"/>
    <w:tmpl w:val="3CE6CE84"/>
    <w:lvl w:ilvl="0" w:tplc="C574A8FC">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36222A6C">
      <w:start w:val="1"/>
      <w:numFmt w:val="lowerLetter"/>
      <w:lvlText w:val="%2."/>
      <w:lvlJc w:val="left"/>
      <w:pPr>
        <w:ind w:left="923" w:hanging="360"/>
      </w:pPr>
      <w:rPr>
        <w:rFonts w:hint="default"/>
        <w:spacing w:val="-1"/>
        <w:w w:val="100"/>
        <w:lang w:val="en-US" w:eastAsia="en-US" w:bidi="ar-SA"/>
      </w:rPr>
    </w:lvl>
    <w:lvl w:ilvl="2" w:tplc="B9268F62">
      <w:numFmt w:val="bullet"/>
      <w:lvlText w:val="•"/>
      <w:lvlJc w:val="left"/>
      <w:pPr>
        <w:ind w:left="1237" w:hanging="360"/>
      </w:pPr>
      <w:rPr>
        <w:rFonts w:hint="default"/>
        <w:lang w:val="en-US" w:eastAsia="en-US" w:bidi="ar-SA"/>
      </w:rPr>
    </w:lvl>
    <w:lvl w:ilvl="3" w:tplc="13A4F5EA">
      <w:numFmt w:val="bullet"/>
      <w:lvlText w:val="•"/>
      <w:lvlJc w:val="left"/>
      <w:pPr>
        <w:ind w:left="2275" w:hanging="360"/>
      </w:pPr>
      <w:rPr>
        <w:rFonts w:hint="default"/>
        <w:lang w:val="en-US" w:eastAsia="en-US" w:bidi="ar-SA"/>
      </w:rPr>
    </w:lvl>
    <w:lvl w:ilvl="4" w:tplc="D99CB434">
      <w:numFmt w:val="bullet"/>
      <w:lvlText w:val="•"/>
      <w:lvlJc w:val="left"/>
      <w:pPr>
        <w:ind w:left="3313" w:hanging="360"/>
      </w:pPr>
      <w:rPr>
        <w:rFonts w:hint="default"/>
        <w:lang w:val="en-US" w:eastAsia="en-US" w:bidi="ar-SA"/>
      </w:rPr>
    </w:lvl>
    <w:lvl w:ilvl="5" w:tplc="DBAA9E0E">
      <w:numFmt w:val="bullet"/>
      <w:lvlText w:val="•"/>
      <w:lvlJc w:val="left"/>
      <w:pPr>
        <w:ind w:left="4351" w:hanging="360"/>
      </w:pPr>
      <w:rPr>
        <w:rFonts w:hint="default"/>
        <w:lang w:val="en-US" w:eastAsia="en-US" w:bidi="ar-SA"/>
      </w:rPr>
    </w:lvl>
    <w:lvl w:ilvl="6" w:tplc="09C40704">
      <w:numFmt w:val="bullet"/>
      <w:lvlText w:val="•"/>
      <w:lvlJc w:val="left"/>
      <w:pPr>
        <w:ind w:left="5390" w:hanging="360"/>
      </w:pPr>
      <w:rPr>
        <w:rFonts w:hint="default"/>
        <w:lang w:val="en-US" w:eastAsia="en-US" w:bidi="ar-SA"/>
      </w:rPr>
    </w:lvl>
    <w:lvl w:ilvl="7" w:tplc="A5DE9F54">
      <w:numFmt w:val="bullet"/>
      <w:lvlText w:val="•"/>
      <w:lvlJc w:val="left"/>
      <w:pPr>
        <w:ind w:left="6428" w:hanging="360"/>
      </w:pPr>
      <w:rPr>
        <w:rFonts w:hint="default"/>
        <w:lang w:val="en-US" w:eastAsia="en-US" w:bidi="ar-SA"/>
      </w:rPr>
    </w:lvl>
    <w:lvl w:ilvl="8" w:tplc="0AF4777E">
      <w:numFmt w:val="bullet"/>
      <w:lvlText w:val="•"/>
      <w:lvlJc w:val="left"/>
      <w:pPr>
        <w:ind w:left="7466" w:hanging="360"/>
      </w:pPr>
      <w:rPr>
        <w:rFonts w:hint="default"/>
        <w:lang w:val="en-US" w:eastAsia="en-US" w:bidi="ar-SA"/>
      </w:rPr>
    </w:lvl>
  </w:abstractNum>
  <w:abstractNum w:abstractNumId="7" w15:restartNumberingAfterBreak="0">
    <w:nsid w:val="16917D5D"/>
    <w:multiLevelType w:val="hybridMultilevel"/>
    <w:tmpl w:val="D5DA9496"/>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9" w15:restartNumberingAfterBreak="0">
    <w:nsid w:val="18B22221"/>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10" w15:restartNumberingAfterBreak="0">
    <w:nsid w:val="1A4D32C6"/>
    <w:multiLevelType w:val="hybridMultilevel"/>
    <w:tmpl w:val="2B48B94A"/>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626C148">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C54E0"/>
    <w:multiLevelType w:val="hybridMultilevel"/>
    <w:tmpl w:val="1D34A8B8"/>
    <w:lvl w:ilvl="0" w:tplc="6F4C4868">
      <w:start w:val="1"/>
      <w:numFmt w:val="decimal"/>
      <w:lvlText w:val="%1."/>
      <w:lvlJc w:val="left"/>
      <w:pPr>
        <w:ind w:left="-360" w:hanging="360"/>
      </w:pPr>
      <w:rPr>
        <w:b w:val="0"/>
        <w:bCs w:val="0"/>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260" w:hanging="360"/>
      </w:pPr>
      <w:rPr>
        <w:rFonts w:ascii="Symbol" w:hAnsi="Symbol" w:hint="default"/>
      </w:r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2" w15:restartNumberingAfterBreak="0">
    <w:nsid w:val="20866558"/>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13"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BD0594"/>
    <w:multiLevelType w:val="hybridMultilevel"/>
    <w:tmpl w:val="4828B6BA"/>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1810EF"/>
    <w:multiLevelType w:val="hybridMultilevel"/>
    <w:tmpl w:val="ECBEF9E2"/>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17"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0C7817"/>
    <w:multiLevelType w:val="hybridMultilevel"/>
    <w:tmpl w:val="FB2A09E4"/>
    <w:lvl w:ilvl="0" w:tplc="FFFFFFFF">
      <w:start w:val="1"/>
      <w:numFmt w:val="decimal"/>
      <w:lvlText w:val="%1."/>
      <w:lvlJc w:val="left"/>
      <w:pPr>
        <w:ind w:left="999"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1566" w:hanging="360"/>
      </w:pPr>
      <w:rPr>
        <w:rFonts w:hint="default"/>
        <w:spacing w:val="-1"/>
        <w:w w:val="100"/>
        <w:lang w:val="en-US" w:eastAsia="en-US" w:bidi="ar-SA"/>
      </w:rPr>
    </w:lvl>
    <w:lvl w:ilvl="2" w:tplc="0C09001B">
      <w:start w:val="1"/>
      <w:numFmt w:val="lowerRoman"/>
      <w:lvlText w:val="%3."/>
      <w:lvlJc w:val="right"/>
      <w:pPr>
        <w:ind w:left="1880" w:hanging="360"/>
      </w:pPr>
    </w:lvl>
    <w:lvl w:ilvl="3" w:tplc="FFFFFFFF">
      <w:numFmt w:val="bullet"/>
      <w:lvlText w:val="•"/>
      <w:lvlJc w:val="left"/>
      <w:pPr>
        <w:ind w:left="2918" w:hanging="360"/>
      </w:pPr>
      <w:rPr>
        <w:rFonts w:hint="default"/>
        <w:lang w:val="en-US" w:eastAsia="en-US" w:bidi="ar-SA"/>
      </w:rPr>
    </w:lvl>
    <w:lvl w:ilvl="4" w:tplc="FFFFFFFF">
      <w:numFmt w:val="bullet"/>
      <w:lvlText w:val="•"/>
      <w:lvlJc w:val="left"/>
      <w:pPr>
        <w:ind w:left="3956" w:hanging="360"/>
      </w:pPr>
      <w:rPr>
        <w:rFonts w:hint="default"/>
        <w:lang w:val="en-US" w:eastAsia="en-US" w:bidi="ar-SA"/>
      </w:rPr>
    </w:lvl>
    <w:lvl w:ilvl="5" w:tplc="FFFFFFFF">
      <w:numFmt w:val="bullet"/>
      <w:lvlText w:val="•"/>
      <w:lvlJc w:val="left"/>
      <w:pPr>
        <w:ind w:left="4994" w:hanging="360"/>
      </w:pPr>
      <w:rPr>
        <w:rFonts w:hint="default"/>
        <w:lang w:val="en-US" w:eastAsia="en-US" w:bidi="ar-SA"/>
      </w:rPr>
    </w:lvl>
    <w:lvl w:ilvl="6" w:tplc="FFFFFFFF">
      <w:numFmt w:val="bullet"/>
      <w:lvlText w:val="•"/>
      <w:lvlJc w:val="left"/>
      <w:pPr>
        <w:ind w:left="6033" w:hanging="360"/>
      </w:pPr>
      <w:rPr>
        <w:rFonts w:hint="default"/>
        <w:lang w:val="en-US" w:eastAsia="en-US" w:bidi="ar-SA"/>
      </w:rPr>
    </w:lvl>
    <w:lvl w:ilvl="7" w:tplc="FFFFFFFF">
      <w:numFmt w:val="bullet"/>
      <w:lvlText w:val="•"/>
      <w:lvlJc w:val="left"/>
      <w:pPr>
        <w:ind w:left="7071" w:hanging="360"/>
      </w:pPr>
      <w:rPr>
        <w:rFonts w:hint="default"/>
        <w:lang w:val="en-US" w:eastAsia="en-US" w:bidi="ar-SA"/>
      </w:rPr>
    </w:lvl>
    <w:lvl w:ilvl="8" w:tplc="FFFFFFFF">
      <w:numFmt w:val="bullet"/>
      <w:lvlText w:val="•"/>
      <w:lvlJc w:val="left"/>
      <w:pPr>
        <w:ind w:left="8109" w:hanging="360"/>
      </w:pPr>
      <w:rPr>
        <w:rFonts w:hint="default"/>
        <w:lang w:val="en-US" w:eastAsia="en-US" w:bidi="ar-SA"/>
      </w:rPr>
    </w:lvl>
  </w:abstractNum>
  <w:abstractNum w:abstractNumId="19" w15:restartNumberingAfterBreak="0">
    <w:nsid w:val="4FF65D4D"/>
    <w:multiLevelType w:val="hybridMultilevel"/>
    <w:tmpl w:val="B23C206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6F2208"/>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2" w15:restartNumberingAfterBreak="0">
    <w:nsid w:val="545A5515"/>
    <w:multiLevelType w:val="hybridMultilevel"/>
    <w:tmpl w:val="4F1A1012"/>
    <w:lvl w:ilvl="0" w:tplc="52FE689C">
      <w:start w:val="1"/>
      <w:numFmt w:val="decimal"/>
      <w:pStyle w:val="BulletNumbers"/>
      <w:lvlText w:val="%1."/>
      <w:lvlJc w:val="left"/>
      <w:pPr>
        <w:ind w:left="360" w:hanging="360"/>
      </w:pPr>
      <w:rPr>
        <w:rFonts w:ascii="Calibri" w:hAnsi="Calibri" w:cs="Calibri" w:hint="default"/>
      </w:rPr>
    </w:lvl>
    <w:lvl w:ilvl="1" w:tplc="DED07244">
      <w:start w:val="1"/>
      <w:numFmt w:val="lowerLetter"/>
      <w:lvlText w:val="%2."/>
      <w:lvlJc w:val="left"/>
      <w:pPr>
        <w:ind w:left="1080" w:hanging="360"/>
      </w:pPr>
      <w:rPr>
        <w:color w:val="auto"/>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47E2368"/>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4" w15:restartNumberingAfterBreak="0">
    <w:nsid w:val="5F3C4381"/>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5" w15:restartNumberingAfterBreak="0">
    <w:nsid w:val="60D7616A"/>
    <w:multiLevelType w:val="hybridMultilevel"/>
    <w:tmpl w:val="8AD23E92"/>
    <w:lvl w:ilvl="0" w:tplc="FFFFFFFF">
      <w:start w:val="1"/>
      <w:numFmt w:val="decimal"/>
      <w:lvlText w:val="%1."/>
      <w:lvlJc w:val="left"/>
      <w:pPr>
        <w:ind w:left="720" w:hanging="360"/>
      </w:pPr>
      <w:rPr>
        <w:rFonts w:hint="default"/>
      </w:rPr>
    </w:lvl>
    <w:lvl w:ilvl="1" w:tplc="D7CA117E">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744134"/>
    <w:multiLevelType w:val="hybridMultilevel"/>
    <w:tmpl w:val="744E55D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7" w15:restartNumberingAfterBreak="0">
    <w:nsid w:val="7659779A"/>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8" w15:restartNumberingAfterBreak="0">
    <w:nsid w:val="77420320"/>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9" w15:restartNumberingAfterBreak="0">
    <w:nsid w:val="7DC83FCB"/>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30" w15:restartNumberingAfterBreak="0">
    <w:nsid w:val="7F1D4E3F"/>
    <w:multiLevelType w:val="hybridMultilevel"/>
    <w:tmpl w:val="B25C19A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4E1B1D"/>
    <w:multiLevelType w:val="hybridMultilevel"/>
    <w:tmpl w:val="B23C206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1472229">
    <w:abstractNumId w:val="13"/>
  </w:num>
  <w:num w:numId="2" w16cid:durableId="863640098">
    <w:abstractNumId w:val="8"/>
  </w:num>
  <w:num w:numId="3" w16cid:durableId="1678847481">
    <w:abstractNumId w:val="22"/>
  </w:num>
  <w:num w:numId="4" w16cid:durableId="1249928375">
    <w:abstractNumId w:val="4"/>
  </w:num>
  <w:num w:numId="5" w16cid:durableId="1519275277">
    <w:abstractNumId w:val="17"/>
  </w:num>
  <w:num w:numId="6" w16cid:durableId="1329359717">
    <w:abstractNumId w:val="1"/>
  </w:num>
  <w:num w:numId="7" w16cid:durableId="1328482827">
    <w:abstractNumId w:val="20"/>
  </w:num>
  <w:num w:numId="8" w16cid:durableId="1225219295">
    <w:abstractNumId w:val="14"/>
  </w:num>
  <w:num w:numId="9" w16cid:durableId="1945528470">
    <w:abstractNumId w:val="6"/>
  </w:num>
  <w:num w:numId="10" w16cid:durableId="392578686">
    <w:abstractNumId w:val="29"/>
  </w:num>
  <w:num w:numId="11" w16cid:durableId="2052923316">
    <w:abstractNumId w:val="3"/>
  </w:num>
  <w:num w:numId="12" w16cid:durableId="662440854">
    <w:abstractNumId w:val="26"/>
  </w:num>
  <w:num w:numId="13" w16cid:durableId="1303342649">
    <w:abstractNumId w:val="16"/>
  </w:num>
  <w:num w:numId="14" w16cid:durableId="25839688">
    <w:abstractNumId w:val="28"/>
  </w:num>
  <w:num w:numId="15" w16cid:durableId="1188330901">
    <w:abstractNumId w:val="21"/>
  </w:num>
  <w:num w:numId="16" w16cid:durableId="1683117945">
    <w:abstractNumId w:val="18"/>
  </w:num>
  <w:num w:numId="17" w16cid:durableId="260643703">
    <w:abstractNumId w:val="9"/>
  </w:num>
  <w:num w:numId="18" w16cid:durableId="648872554">
    <w:abstractNumId w:val="27"/>
  </w:num>
  <w:num w:numId="19" w16cid:durableId="1701667405">
    <w:abstractNumId w:val="24"/>
  </w:num>
  <w:num w:numId="20" w16cid:durableId="344981842">
    <w:abstractNumId w:val="23"/>
  </w:num>
  <w:num w:numId="21" w16cid:durableId="949507412">
    <w:abstractNumId w:val="12"/>
  </w:num>
  <w:num w:numId="22" w16cid:durableId="1702390621">
    <w:abstractNumId w:val="11"/>
  </w:num>
  <w:num w:numId="23" w16cid:durableId="601762186">
    <w:abstractNumId w:val="0"/>
  </w:num>
  <w:num w:numId="24" w16cid:durableId="29187311">
    <w:abstractNumId w:val="30"/>
  </w:num>
  <w:num w:numId="25" w16cid:durableId="813959090">
    <w:abstractNumId w:val="7"/>
  </w:num>
  <w:num w:numId="26" w16cid:durableId="731536551">
    <w:abstractNumId w:val="19"/>
  </w:num>
  <w:num w:numId="27" w16cid:durableId="1021589975">
    <w:abstractNumId w:val="15"/>
  </w:num>
  <w:num w:numId="28" w16cid:durableId="1275408902">
    <w:abstractNumId w:val="31"/>
  </w:num>
  <w:num w:numId="29" w16cid:durableId="582878402">
    <w:abstractNumId w:val="2"/>
  </w:num>
  <w:num w:numId="30" w16cid:durableId="263222063">
    <w:abstractNumId w:val="10"/>
  </w:num>
  <w:num w:numId="31" w16cid:durableId="1792093078">
    <w:abstractNumId w:val="25"/>
  </w:num>
  <w:num w:numId="32" w16cid:durableId="591472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2527C"/>
    <w:rsid w:val="00032711"/>
    <w:rsid w:val="00045B32"/>
    <w:rsid w:val="00056DA7"/>
    <w:rsid w:val="000573FF"/>
    <w:rsid w:val="00071A0B"/>
    <w:rsid w:val="00072B6E"/>
    <w:rsid w:val="000943E9"/>
    <w:rsid w:val="00095931"/>
    <w:rsid w:val="000A1CC3"/>
    <w:rsid w:val="000C32D9"/>
    <w:rsid w:val="000C75FA"/>
    <w:rsid w:val="000D3B4B"/>
    <w:rsid w:val="000E3666"/>
    <w:rsid w:val="000F4E35"/>
    <w:rsid w:val="000F63A1"/>
    <w:rsid w:val="00105DB1"/>
    <w:rsid w:val="001101F1"/>
    <w:rsid w:val="00112DB0"/>
    <w:rsid w:val="0011323F"/>
    <w:rsid w:val="00114DF0"/>
    <w:rsid w:val="001169FA"/>
    <w:rsid w:val="00121970"/>
    <w:rsid w:val="001227E9"/>
    <w:rsid w:val="00126288"/>
    <w:rsid w:val="001276CE"/>
    <w:rsid w:val="00130E34"/>
    <w:rsid w:val="00131548"/>
    <w:rsid w:val="00136DE7"/>
    <w:rsid w:val="00147A01"/>
    <w:rsid w:val="0015372A"/>
    <w:rsid w:val="00156530"/>
    <w:rsid w:val="00163361"/>
    <w:rsid w:val="0017244C"/>
    <w:rsid w:val="00180F44"/>
    <w:rsid w:val="00194682"/>
    <w:rsid w:val="00195522"/>
    <w:rsid w:val="001A0533"/>
    <w:rsid w:val="001A1860"/>
    <w:rsid w:val="001A196B"/>
    <w:rsid w:val="001A46DA"/>
    <w:rsid w:val="001D1A8A"/>
    <w:rsid w:val="001E49B4"/>
    <w:rsid w:val="001E5336"/>
    <w:rsid w:val="001E7A46"/>
    <w:rsid w:val="001F0E49"/>
    <w:rsid w:val="001F3F43"/>
    <w:rsid w:val="001F4642"/>
    <w:rsid w:val="002038A1"/>
    <w:rsid w:val="00210F5B"/>
    <w:rsid w:val="0021648A"/>
    <w:rsid w:val="00220F2F"/>
    <w:rsid w:val="00227139"/>
    <w:rsid w:val="002318B0"/>
    <w:rsid w:val="0023477E"/>
    <w:rsid w:val="0027032B"/>
    <w:rsid w:val="00273B17"/>
    <w:rsid w:val="002806C1"/>
    <w:rsid w:val="00283AF1"/>
    <w:rsid w:val="00285BFF"/>
    <w:rsid w:val="00295B52"/>
    <w:rsid w:val="002A2615"/>
    <w:rsid w:val="002C178B"/>
    <w:rsid w:val="002C3D46"/>
    <w:rsid w:val="002D6F66"/>
    <w:rsid w:val="002E06F6"/>
    <w:rsid w:val="002E143D"/>
    <w:rsid w:val="002E3252"/>
    <w:rsid w:val="002E3B91"/>
    <w:rsid w:val="002F4476"/>
    <w:rsid w:val="002F60F1"/>
    <w:rsid w:val="00302778"/>
    <w:rsid w:val="0031324D"/>
    <w:rsid w:val="00322377"/>
    <w:rsid w:val="00325F58"/>
    <w:rsid w:val="003334AD"/>
    <w:rsid w:val="003339AA"/>
    <w:rsid w:val="00334D19"/>
    <w:rsid w:val="00353170"/>
    <w:rsid w:val="003549CF"/>
    <w:rsid w:val="003559D5"/>
    <w:rsid w:val="0035775E"/>
    <w:rsid w:val="003665D7"/>
    <w:rsid w:val="003712A0"/>
    <w:rsid w:val="003743D5"/>
    <w:rsid w:val="003749E3"/>
    <w:rsid w:val="003A0EC4"/>
    <w:rsid w:val="003B17D1"/>
    <w:rsid w:val="003C4C7F"/>
    <w:rsid w:val="003C6195"/>
    <w:rsid w:val="003C6E6B"/>
    <w:rsid w:val="003D0BDE"/>
    <w:rsid w:val="003F1A79"/>
    <w:rsid w:val="004026F8"/>
    <w:rsid w:val="00416EFE"/>
    <w:rsid w:val="00417198"/>
    <w:rsid w:val="004231BA"/>
    <w:rsid w:val="004402A8"/>
    <w:rsid w:val="004506A6"/>
    <w:rsid w:val="004558DD"/>
    <w:rsid w:val="00472915"/>
    <w:rsid w:val="004752B9"/>
    <w:rsid w:val="004831DE"/>
    <w:rsid w:val="004843E6"/>
    <w:rsid w:val="004953D0"/>
    <w:rsid w:val="00495CD4"/>
    <w:rsid w:val="004A1C59"/>
    <w:rsid w:val="004B0A3E"/>
    <w:rsid w:val="004C01FE"/>
    <w:rsid w:val="004E3310"/>
    <w:rsid w:val="004E438E"/>
    <w:rsid w:val="005002B7"/>
    <w:rsid w:val="00503A78"/>
    <w:rsid w:val="00512417"/>
    <w:rsid w:val="00514AD5"/>
    <w:rsid w:val="00516807"/>
    <w:rsid w:val="00532E9C"/>
    <w:rsid w:val="00533AD3"/>
    <w:rsid w:val="005364A6"/>
    <w:rsid w:val="005513FB"/>
    <w:rsid w:val="00564B0F"/>
    <w:rsid w:val="00583E2D"/>
    <w:rsid w:val="00584105"/>
    <w:rsid w:val="00586CB5"/>
    <w:rsid w:val="00594640"/>
    <w:rsid w:val="00597E8D"/>
    <w:rsid w:val="005B1482"/>
    <w:rsid w:val="005B397B"/>
    <w:rsid w:val="005C5584"/>
    <w:rsid w:val="005E07C4"/>
    <w:rsid w:val="005F3493"/>
    <w:rsid w:val="005F4189"/>
    <w:rsid w:val="005F74ED"/>
    <w:rsid w:val="00603153"/>
    <w:rsid w:val="00607FEE"/>
    <w:rsid w:val="00612E15"/>
    <w:rsid w:val="00622545"/>
    <w:rsid w:val="006509AC"/>
    <w:rsid w:val="006704CD"/>
    <w:rsid w:val="00671152"/>
    <w:rsid w:val="006723B6"/>
    <w:rsid w:val="006764EF"/>
    <w:rsid w:val="006844FF"/>
    <w:rsid w:val="006A7C35"/>
    <w:rsid w:val="006C0D59"/>
    <w:rsid w:val="006C3418"/>
    <w:rsid w:val="006E4B42"/>
    <w:rsid w:val="006E7BED"/>
    <w:rsid w:val="006F10E4"/>
    <w:rsid w:val="006F4F0D"/>
    <w:rsid w:val="006F7B6E"/>
    <w:rsid w:val="007012DE"/>
    <w:rsid w:val="007079AD"/>
    <w:rsid w:val="00711297"/>
    <w:rsid w:val="0071275E"/>
    <w:rsid w:val="00724855"/>
    <w:rsid w:val="00734C98"/>
    <w:rsid w:val="00743D7F"/>
    <w:rsid w:val="007459AE"/>
    <w:rsid w:val="00745A04"/>
    <w:rsid w:val="0075613D"/>
    <w:rsid w:val="00761D75"/>
    <w:rsid w:val="00767285"/>
    <w:rsid w:val="00770D48"/>
    <w:rsid w:val="007738CD"/>
    <w:rsid w:val="00785A0C"/>
    <w:rsid w:val="00787E73"/>
    <w:rsid w:val="007A0BAB"/>
    <w:rsid w:val="007A3E84"/>
    <w:rsid w:val="007B27EC"/>
    <w:rsid w:val="007B32AC"/>
    <w:rsid w:val="007C559C"/>
    <w:rsid w:val="007D4E6D"/>
    <w:rsid w:val="007F62CD"/>
    <w:rsid w:val="007F7E8B"/>
    <w:rsid w:val="00807655"/>
    <w:rsid w:val="00813BDB"/>
    <w:rsid w:val="00816C66"/>
    <w:rsid w:val="00822FBC"/>
    <w:rsid w:val="008255AF"/>
    <w:rsid w:val="00827AF0"/>
    <w:rsid w:val="008470E7"/>
    <w:rsid w:val="008525C2"/>
    <w:rsid w:val="0085272F"/>
    <w:rsid w:val="00855B90"/>
    <w:rsid w:val="0085734C"/>
    <w:rsid w:val="008601E6"/>
    <w:rsid w:val="00866BF9"/>
    <w:rsid w:val="00880B2B"/>
    <w:rsid w:val="0088750D"/>
    <w:rsid w:val="008A2BE1"/>
    <w:rsid w:val="008A3F5C"/>
    <w:rsid w:val="008B436A"/>
    <w:rsid w:val="008F21DA"/>
    <w:rsid w:val="00902C24"/>
    <w:rsid w:val="00903D92"/>
    <w:rsid w:val="00906D82"/>
    <w:rsid w:val="00910645"/>
    <w:rsid w:val="00930293"/>
    <w:rsid w:val="00930AD3"/>
    <w:rsid w:val="00940D2E"/>
    <w:rsid w:val="00946B0A"/>
    <w:rsid w:val="0094718B"/>
    <w:rsid w:val="00950576"/>
    <w:rsid w:val="009572B8"/>
    <w:rsid w:val="00963A4E"/>
    <w:rsid w:val="00965D9A"/>
    <w:rsid w:val="009724C2"/>
    <w:rsid w:val="009749C2"/>
    <w:rsid w:val="009842EF"/>
    <w:rsid w:val="00984901"/>
    <w:rsid w:val="009A042F"/>
    <w:rsid w:val="009A302D"/>
    <w:rsid w:val="009A6416"/>
    <w:rsid w:val="009D23FF"/>
    <w:rsid w:val="009D6BF6"/>
    <w:rsid w:val="00A05C5F"/>
    <w:rsid w:val="00A12E1A"/>
    <w:rsid w:val="00A239B5"/>
    <w:rsid w:val="00A23C4E"/>
    <w:rsid w:val="00A322FF"/>
    <w:rsid w:val="00A32A51"/>
    <w:rsid w:val="00A364A4"/>
    <w:rsid w:val="00A3684B"/>
    <w:rsid w:val="00A62731"/>
    <w:rsid w:val="00A720D7"/>
    <w:rsid w:val="00A81F78"/>
    <w:rsid w:val="00A90282"/>
    <w:rsid w:val="00A91C13"/>
    <w:rsid w:val="00AB1501"/>
    <w:rsid w:val="00AC1F14"/>
    <w:rsid w:val="00AD3D3C"/>
    <w:rsid w:val="00AE09C7"/>
    <w:rsid w:val="00AE3A47"/>
    <w:rsid w:val="00AE56C7"/>
    <w:rsid w:val="00AE7125"/>
    <w:rsid w:val="00B000A2"/>
    <w:rsid w:val="00B01334"/>
    <w:rsid w:val="00B14E15"/>
    <w:rsid w:val="00B26CAD"/>
    <w:rsid w:val="00B328CF"/>
    <w:rsid w:val="00B40F81"/>
    <w:rsid w:val="00B46ADB"/>
    <w:rsid w:val="00B505B1"/>
    <w:rsid w:val="00B55602"/>
    <w:rsid w:val="00B572A8"/>
    <w:rsid w:val="00B84320"/>
    <w:rsid w:val="00B863D6"/>
    <w:rsid w:val="00B8686E"/>
    <w:rsid w:val="00B9531B"/>
    <w:rsid w:val="00BA2369"/>
    <w:rsid w:val="00BA60DA"/>
    <w:rsid w:val="00BA666E"/>
    <w:rsid w:val="00BB4077"/>
    <w:rsid w:val="00BD00BD"/>
    <w:rsid w:val="00BD7553"/>
    <w:rsid w:val="00BE463F"/>
    <w:rsid w:val="00C12919"/>
    <w:rsid w:val="00C2107B"/>
    <w:rsid w:val="00C249B1"/>
    <w:rsid w:val="00C36E94"/>
    <w:rsid w:val="00C467D2"/>
    <w:rsid w:val="00C52FE1"/>
    <w:rsid w:val="00C723DB"/>
    <w:rsid w:val="00C74B72"/>
    <w:rsid w:val="00C74E6B"/>
    <w:rsid w:val="00C80B46"/>
    <w:rsid w:val="00C94431"/>
    <w:rsid w:val="00C94D78"/>
    <w:rsid w:val="00C94ED5"/>
    <w:rsid w:val="00CA41C4"/>
    <w:rsid w:val="00CA5A65"/>
    <w:rsid w:val="00CA79F0"/>
    <w:rsid w:val="00CB3638"/>
    <w:rsid w:val="00CC55B8"/>
    <w:rsid w:val="00CC7D4B"/>
    <w:rsid w:val="00CD0DF8"/>
    <w:rsid w:val="00CD6BC3"/>
    <w:rsid w:val="00CD7F7C"/>
    <w:rsid w:val="00CE2E57"/>
    <w:rsid w:val="00CF1835"/>
    <w:rsid w:val="00D06408"/>
    <w:rsid w:val="00D1645C"/>
    <w:rsid w:val="00D21CE9"/>
    <w:rsid w:val="00D21F8E"/>
    <w:rsid w:val="00D240A9"/>
    <w:rsid w:val="00D2777E"/>
    <w:rsid w:val="00D31DBA"/>
    <w:rsid w:val="00D40506"/>
    <w:rsid w:val="00D408D1"/>
    <w:rsid w:val="00D4159E"/>
    <w:rsid w:val="00D45016"/>
    <w:rsid w:val="00D47A0E"/>
    <w:rsid w:val="00D50158"/>
    <w:rsid w:val="00D60EFC"/>
    <w:rsid w:val="00D633BD"/>
    <w:rsid w:val="00D71000"/>
    <w:rsid w:val="00D84C60"/>
    <w:rsid w:val="00D85495"/>
    <w:rsid w:val="00D863B5"/>
    <w:rsid w:val="00D8789A"/>
    <w:rsid w:val="00D95AD8"/>
    <w:rsid w:val="00DE1B9D"/>
    <w:rsid w:val="00DE2476"/>
    <w:rsid w:val="00E06718"/>
    <w:rsid w:val="00E111C2"/>
    <w:rsid w:val="00E12C16"/>
    <w:rsid w:val="00E140DC"/>
    <w:rsid w:val="00E301B8"/>
    <w:rsid w:val="00E33EA0"/>
    <w:rsid w:val="00E35BC8"/>
    <w:rsid w:val="00E537E4"/>
    <w:rsid w:val="00E57ACC"/>
    <w:rsid w:val="00E60FDC"/>
    <w:rsid w:val="00E6352B"/>
    <w:rsid w:val="00E70021"/>
    <w:rsid w:val="00E805EC"/>
    <w:rsid w:val="00E846C1"/>
    <w:rsid w:val="00EA3A4E"/>
    <w:rsid w:val="00EA6983"/>
    <w:rsid w:val="00EB3099"/>
    <w:rsid w:val="00EC260A"/>
    <w:rsid w:val="00EC795B"/>
    <w:rsid w:val="00EF1D88"/>
    <w:rsid w:val="00EF5814"/>
    <w:rsid w:val="00F11ED4"/>
    <w:rsid w:val="00F30E50"/>
    <w:rsid w:val="00F342AE"/>
    <w:rsid w:val="00F36AE2"/>
    <w:rsid w:val="00F412E9"/>
    <w:rsid w:val="00F515DF"/>
    <w:rsid w:val="00F52214"/>
    <w:rsid w:val="00F52818"/>
    <w:rsid w:val="00F60BA7"/>
    <w:rsid w:val="00F66DDA"/>
    <w:rsid w:val="00F72E5A"/>
    <w:rsid w:val="00F91726"/>
    <w:rsid w:val="00F94BCC"/>
    <w:rsid w:val="00FB26FC"/>
    <w:rsid w:val="00FB51C7"/>
    <w:rsid w:val="00FB5DB3"/>
    <w:rsid w:val="00FC4B10"/>
    <w:rsid w:val="00FD38BD"/>
    <w:rsid w:val="00FE4CE8"/>
    <w:rsid w:val="00FE5BEE"/>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A34EEE50-6ACF-E443-9FE5-09D1BFF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3D0BDE"/>
    <w:pPr>
      <w:keepNext/>
      <w:keepLines/>
      <w:spacing w:before="720" w:after="737"/>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607FEE"/>
    <w:pPr>
      <w:keepNext/>
      <w:keepLines/>
      <w:spacing w:before="360" w:after="80"/>
      <w:outlineLvl w:val="1"/>
    </w:pPr>
    <w:rPr>
      <w:rFonts w:ascii="Montserrat SemiBold" w:eastAsiaTheme="majorEastAsia" w:hAnsi="Montserrat SemiBold" w:cstheme="majorBidi"/>
      <w:bCs w:val="0"/>
      <w:iCs w:val="0"/>
      <w:color w:val="6E46E0"/>
      <w:sz w:val="36"/>
      <w:szCs w:val="36"/>
    </w:rPr>
  </w:style>
  <w:style w:type="paragraph" w:styleId="Heading3">
    <w:name w:val="heading 3"/>
    <w:basedOn w:val="Normal"/>
    <w:next w:val="Normal"/>
    <w:link w:val="Heading3Char"/>
    <w:uiPriority w:val="9"/>
    <w:unhideWhenUsed/>
    <w:qFormat/>
    <w:rsid w:val="00607FEE"/>
    <w:pPr>
      <w:keepNext/>
      <w:keepLines/>
      <w:spacing w:before="240" w:after="60"/>
      <w:outlineLvl w:val="2"/>
    </w:pPr>
    <w:rPr>
      <w:rFonts w:ascii="Montserrat SemiBold" w:eastAsiaTheme="majorEastAsia" w:hAnsi="Montserrat SemiBold" w:cstheme="majorBidi"/>
      <w:bCs w:val="0"/>
      <w:iCs w:val="0"/>
      <w:color w:val="404040" w:themeColor="text1" w:themeTint="BF"/>
      <w:sz w:val="28"/>
      <w:szCs w:val="28"/>
      <w:lang w:val="en-GB" w:eastAsia="en-AU"/>
    </w:rPr>
  </w:style>
  <w:style w:type="paragraph" w:styleId="Heading4">
    <w:name w:val="heading 4"/>
    <w:basedOn w:val="Normal"/>
    <w:next w:val="Normal"/>
    <w:link w:val="Heading4Char"/>
    <w:uiPriority w:val="9"/>
    <w:unhideWhenUsed/>
    <w:qFormat/>
    <w:rsid w:val="00210F5B"/>
    <w:pPr>
      <w:keepNext/>
      <w:keepLines/>
      <w:spacing w:before="80" w:after="120"/>
      <w:outlineLvl w:val="3"/>
    </w:pPr>
    <w:rPr>
      <w:rFonts w:ascii="Montserrat Medium" w:eastAsiaTheme="majorEastAsia" w:hAnsi="Montserrat Medium" w:cs="Times New Roman (Headings CS)"/>
      <w:bCs w:val="0"/>
      <w:iCs w:val="0"/>
      <w:sz w:val="24"/>
      <w:szCs w:val="24"/>
    </w:rPr>
  </w:style>
  <w:style w:type="paragraph" w:styleId="Heading5">
    <w:name w:val="heading 5"/>
    <w:basedOn w:val="Normal"/>
    <w:next w:val="Normal"/>
    <w:link w:val="Heading5Char"/>
    <w:uiPriority w:val="9"/>
    <w:unhideWhenUsed/>
    <w:qFormat/>
    <w:rsid w:val="00210F5B"/>
    <w:pPr>
      <w:keepNext/>
      <w:keepLines/>
      <w:spacing w:before="120" w:after="120"/>
      <w:outlineLvl w:val="4"/>
    </w:pPr>
    <w:rPr>
      <w:rFonts w:ascii="Montserrat" w:eastAsiaTheme="majorEastAsia" w:hAnsi="Montserrat" w:cstheme="majorBidi"/>
      <w:bCs w:val="0"/>
      <w:iCs w:val="0"/>
    </w:rPr>
  </w:style>
  <w:style w:type="paragraph" w:styleId="Heading6">
    <w:name w:val="heading 6"/>
    <w:basedOn w:val="Normal"/>
    <w:next w:val="Normal"/>
    <w:link w:val="Heading6Char"/>
    <w:uiPriority w:val="9"/>
    <w:unhideWhenUsed/>
    <w:qFormat/>
    <w:rsid w:val="00880B2B"/>
    <w:pPr>
      <w:keepNext/>
      <w:keepLines/>
      <w:spacing w:before="80" w:after="40"/>
      <w:outlineLvl w:val="5"/>
    </w:pPr>
    <w:rPr>
      <w:rFonts w:eastAsiaTheme="majorEastAsia" w:cstheme="majorBidi"/>
      <w:b/>
      <w:b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E"/>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607FEE"/>
    <w:rPr>
      <w:rFonts w:ascii="Montserrat SemiBold" w:eastAsiaTheme="majorEastAsia" w:hAnsi="Montserrat SemiBold" w:cstheme="majorBidi"/>
      <w:color w:val="6E46E0"/>
      <w:kern w:val="0"/>
      <w:sz w:val="36"/>
      <w:szCs w:val="36"/>
      <w14:ligatures w14:val="none"/>
    </w:rPr>
  </w:style>
  <w:style w:type="character" w:customStyle="1" w:styleId="Heading3Char">
    <w:name w:val="Heading 3 Char"/>
    <w:basedOn w:val="DefaultParagraphFont"/>
    <w:link w:val="Heading3"/>
    <w:uiPriority w:val="9"/>
    <w:rsid w:val="00607FEE"/>
    <w:rPr>
      <w:rFonts w:ascii="Montserrat SemiBold" w:eastAsiaTheme="majorEastAsia" w:hAnsi="Montserrat SemiBold" w:cstheme="majorBidi"/>
      <w:color w:val="404040" w:themeColor="text1" w:themeTint="BF"/>
      <w:kern w:val="0"/>
      <w:sz w:val="28"/>
      <w:szCs w:val="28"/>
      <w:lang w:val="en-GB" w:eastAsia="en-AU"/>
      <w14:ligatures w14:val="none"/>
    </w:rPr>
  </w:style>
  <w:style w:type="character" w:customStyle="1" w:styleId="Heading4Char">
    <w:name w:val="Heading 4 Char"/>
    <w:basedOn w:val="DefaultParagraphFont"/>
    <w:link w:val="Heading4"/>
    <w:uiPriority w:val="9"/>
    <w:rsid w:val="00210F5B"/>
    <w:rPr>
      <w:rFonts w:ascii="Montserrat Medium" w:eastAsiaTheme="majorEastAsia" w:hAnsi="Montserrat Medium" w:cs="Times New Roman (Headings CS)"/>
      <w:kern w:val="0"/>
      <w14:ligatures w14:val="none"/>
    </w:rPr>
  </w:style>
  <w:style w:type="character" w:customStyle="1" w:styleId="Heading5Char">
    <w:name w:val="Heading 5 Char"/>
    <w:basedOn w:val="DefaultParagraphFont"/>
    <w:link w:val="Heading5"/>
    <w:uiPriority w:val="9"/>
    <w:rsid w:val="00210F5B"/>
    <w:rPr>
      <w:rFonts w:ascii="Montserrat" w:eastAsiaTheme="majorEastAsia" w:hAnsi="Montserrat" w:cstheme="majorBidi"/>
      <w:kern w:val="0"/>
      <w:sz w:val="22"/>
      <w:szCs w:val="22"/>
      <w14:ligatures w14:val="none"/>
    </w:rPr>
  </w:style>
  <w:style w:type="character" w:customStyle="1" w:styleId="Heading6Char">
    <w:name w:val="Heading 6 Char"/>
    <w:basedOn w:val="DefaultParagraphFont"/>
    <w:link w:val="Heading6"/>
    <w:uiPriority w:val="9"/>
    <w:rsid w:val="00880B2B"/>
    <w:rPr>
      <w:rFonts w:ascii="Calibri" w:eastAsiaTheme="majorEastAsia" w:hAnsi="Calibri" w:cstheme="majorBidi"/>
      <w:b/>
      <w:iCs/>
      <w:kern w:val="0"/>
      <w:sz w:val="22"/>
      <w:szCs w:val="22"/>
      <w14:ligatures w14:val="none"/>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CA5A65"/>
    <w:pPr>
      <w:tabs>
        <w:tab w:val="clear" w:pos="9016"/>
        <w:tab w:val="right" w:leader="dot" w:pos="9026"/>
      </w:tabs>
      <w:spacing w:before="80" w:line="260" w:lineRule="exact"/>
    </w:pPr>
  </w:style>
  <w:style w:type="paragraph" w:styleId="TOC1">
    <w:name w:val="toc 1"/>
    <w:basedOn w:val="Normal"/>
    <w:next w:val="Normal"/>
    <w:autoRedefine/>
    <w:uiPriority w:val="39"/>
    <w:unhideWhenUsed/>
    <w:rsid w:val="00C74E6B"/>
    <w:pPr>
      <w:tabs>
        <w:tab w:val="right" w:leader="dot" w:pos="9016"/>
      </w:tabs>
      <w:spacing w:before="200" w:after="40" w:line="280" w:lineRule="exact"/>
    </w:pPr>
    <w:rPr>
      <w:rFonts w:eastAsia="Calibri"/>
      <w:b/>
      <w:bCs w:val="0"/>
      <w:noProof/>
      <w:color w:val="262626" w:themeColor="text1" w:themeTint="D9"/>
    </w:rPr>
  </w:style>
  <w:style w:type="paragraph" w:styleId="TOC3">
    <w:name w:val="toc 3"/>
    <w:basedOn w:val="TOC2"/>
    <w:next w:val="Normal"/>
    <w:autoRedefine/>
    <w:uiPriority w:val="39"/>
    <w:unhideWhenUsed/>
    <w:rsid w:val="00C74E6B"/>
    <w:rPr>
      <w:b w:val="0"/>
      <w:bCs/>
    </w:rPr>
  </w:style>
  <w:style w:type="paragraph" w:customStyle="1" w:styleId="Bullet1">
    <w:name w:val="Bullet 1"/>
    <w:basedOn w:val="Normal"/>
    <w:qFormat/>
    <w:rsid w:val="004B0A3E"/>
    <w:pPr>
      <w:numPr>
        <w:numId w:val="1"/>
      </w:numPr>
      <w:tabs>
        <w:tab w:val="left" w:pos="284"/>
      </w:tabs>
      <w:spacing w:before="60" w:after="120" w:line="300" w:lineRule="exact"/>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807655"/>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pPr>
  </w:style>
  <w:style w:type="paragraph" w:customStyle="1" w:styleId="Bulletalpha">
    <w:name w:val="Bullet alpha"/>
    <w:basedOn w:val="Bullet1"/>
    <w:qFormat/>
    <w:rsid w:val="004B0A3E"/>
    <w:pPr>
      <w:numPr>
        <w:numId w:val="4"/>
      </w:numPr>
      <w:tabs>
        <w:tab w:val="clear" w:pos="284"/>
        <w:tab w:val="left" w:pos="364"/>
      </w:tabs>
    </w:pPr>
  </w:style>
  <w:style w:type="paragraph" w:customStyle="1" w:styleId="Bulletroman">
    <w:name w:val="Bullet roman"/>
    <w:basedOn w:val="BulletNumbers"/>
    <w:qFormat/>
    <w:rsid w:val="004B0A3E"/>
    <w:pPr>
      <w:numPr>
        <w:numId w:val="5"/>
      </w:numPr>
      <w:tabs>
        <w:tab w:val="clear" w:pos="426"/>
        <w:tab w:val="left" w:pos="363"/>
      </w:tabs>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aliases w:val="Heading 2.,List Paragraph1,Recommendation,List Paragraph11,List Paragraph111,L,F5 List Paragraph,Dot pt,CV text,Medium Grid 1 - Accent 21,Numbered Paragraph,List Paragraph2,NFP GP Bulleted List,FooterText,numbered,列出段,Bullets,?"/>
    <w:basedOn w:val="Normal"/>
    <w:link w:val="ListParagraphChar"/>
    <w:uiPriority w:val="34"/>
    <w:qFormat/>
    <w:rsid w:val="0088750D"/>
    <w:pPr>
      <w:ind w:left="720"/>
      <w:contextualSpacing/>
    </w:pPr>
  </w:style>
  <w:style w:type="table" w:customStyle="1" w:styleId="Breakoutbox">
    <w:name w:val="Breakout box"/>
    <w:basedOn w:val="TableNormal"/>
    <w:uiPriority w:val="99"/>
    <w:rsid w:val="004026F8"/>
    <w:tblPr>
      <w:tblCellMar>
        <w:top w:w="57" w:type="dxa"/>
        <w:left w:w="198" w:type="dxa"/>
        <w:bottom w:w="57" w:type="dxa"/>
        <w:right w:w="227" w:type="dxa"/>
      </w:tblCellMar>
    </w:tblPr>
    <w:tcPr>
      <w:shd w:val="clear" w:color="auto" w:fill="F2F2F2" w:themeFill="background1" w:themeFillShade="F2"/>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character" w:styleId="UnresolvedMention">
    <w:name w:val="Unresolved Mention"/>
    <w:basedOn w:val="DefaultParagraphFont"/>
    <w:uiPriority w:val="99"/>
    <w:semiHidden/>
    <w:unhideWhenUsed/>
    <w:rsid w:val="008255AF"/>
    <w:rPr>
      <w:color w:val="605E5C"/>
      <w:shd w:val="clear" w:color="auto" w:fill="E1DFDD"/>
    </w:rPr>
  </w:style>
  <w:style w:type="paragraph" w:customStyle="1" w:styleId="TableParagraph">
    <w:name w:val="Table Paragraph"/>
    <w:basedOn w:val="Normal"/>
    <w:uiPriority w:val="1"/>
    <w:qFormat/>
    <w:rsid w:val="00B40F81"/>
    <w:pPr>
      <w:widowControl w:val="0"/>
      <w:autoSpaceDE w:val="0"/>
      <w:autoSpaceDN w:val="0"/>
      <w:spacing w:before="102" w:after="0"/>
      <w:ind w:left="122"/>
    </w:pPr>
    <w:rPr>
      <w:rFonts w:eastAsia="Calibri" w:cs="Calibri"/>
      <w:bCs w:val="0"/>
      <w:iCs w:val="0"/>
      <w:lang w:val="en-US"/>
    </w:rPr>
  </w:style>
  <w:style w:type="paragraph" w:customStyle="1" w:styleId="IntroParagraph">
    <w:name w:val="Intro Paragraph"/>
    <w:basedOn w:val="Normal"/>
    <w:link w:val="IntroParagraphChar"/>
    <w:qFormat/>
    <w:rsid w:val="00902C24"/>
    <w:pPr>
      <w:spacing w:before="200" w:after="60"/>
    </w:pPr>
    <w:rPr>
      <w:rFonts w:cs="Times New Roman"/>
      <w:bCs w:val="0"/>
      <w:iCs w:val="0"/>
      <w:color w:val="482D8C"/>
      <w:szCs w:val="20"/>
    </w:rPr>
  </w:style>
  <w:style w:type="character" w:customStyle="1" w:styleId="IntroParagraphChar">
    <w:name w:val="Intro Paragraph Char"/>
    <w:basedOn w:val="DefaultParagraphFont"/>
    <w:link w:val="IntroParagraph"/>
    <w:rsid w:val="00902C24"/>
    <w:rPr>
      <w:rFonts w:ascii="Calibri" w:eastAsia="Times New Roman" w:hAnsi="Calibri" w:cs="Times New Roman"/>
      <w:color w:val="482D8C"/>
      <w:kern w:val="0"/>
      <w:sz w:val="22"/>
      <w:szCs w:val="20"/>
      <w14:ligatures w14:val="none"/>
    </w:rPr>
  </w:style>
  <w:style w:type="paragraph" w:styleId="FootnoteText">
    <w:name w:val="footnote text"/>
    <w:basedOn w:val="Normal"/>
    <w:link w:val="FootnoteTextChar"/>
    <w:uiPriority w:val="99"/>
    <w:semiHidden/>
    <w:unhideWhenUsed/>
    <w:rsid w:val="00902C24"/>
    <w:pPr>
      <w:spacing w:before="0" w:after="0"/>
    </w:pPr>
    <w:rPr>
      <w:rFonts w:cs="Times New Roman"/>
      <w:bCs w:val="0"/>
      <w:iCs w:val="0"/>
      <w:sz w:val="20"/>
      <w:szCs w:val="20"/>
    </w:rPr>
  </w:style>
  <w:style w:type="character" w:customStyle="1" w:styleId="FootnoteTextChar">
    <w:name w:val="Footnote Text Char"/>
    <w:basedOn w:val="DefaultParagraphFont"/>
    <w:link w:val="FootnoteText"/>
    <w:uiPriority w:val="99"/>
    <w:semiHidden/>
    <w:rsid w:val="00902C24"/>
    <w:rPr>
      <w:rFonts w:ascii="Calibri" w:eastAsia="Times New Roman" w:hAnsi="Calibri" w:cs="Times New Roman"/>
      <w:kern w:val="0"/>
      <w:sz w:val="20"/>
      <w:szCs w:val="20"/>
      <w14:ligatures w14:val="none"/>
    </w:rPr>
  </w:style>
  <w:style w:type="character" w:styleId="FootnoteReference">
    <w:name w:val="footnote reference"/>
    <w:basedOn w:val="DefaultParagraphFont"/>
    <w:uiPriority w:val="99"/>
    <w:semiHidden/>
    <w:unhideWhenUsed/>
    <w:rsid w:val="00902C24"/>
    <w:rPr>
      <w:vertAlign w:val="superscript"/>
    </w:rPr>
  </w:style>
  <w:style w:type="paragraph" w:styleId="ListNumber">
    <w:name w:val="List Number"/>
    <w:basedOn w:val="Normal"/>
    <w:rsid w:val="00902C24"/>
    <w:pPr>
      <w:numPr>
        <w:numId w:val="23"/>
      </w:numPr>
      <w:spacing w:before="200" w:after="200"/>
    </w:pPr>
    <w:rPr>
      <w:rFonts w:cs="Times New Roman"/>
      <w:bCs w:val="0"/>
      <w:iCs w:val="0"/>
      <w:szCs w:val="20"/>
    </w:rPr>
  </w:style>
  <w:style w:type="character" w:customStyle="1" w:styleId="ListParagraphChar">
    <w:name w:val="List Paragraph Char"/>
    <w:aliases w:val="Heading 2. Char,List Paragraph1 Char,Recommendation Char,List Paragraph11 Char,List Paragraph111 Char,L Char,F5 List Paragraph Char,Dot pt Char,CV text Char,Medium Grid 1 - Accent 21 Char,Numbered Paragraph Char,List Paragraph2 Char"/>
    <w:link w:val="ListParagraph"/>
    <w:uiPriority w:val="34"/>
    <w:rsid w:val="00902C24"/>
    <w:rPr>
      <w:rFonts w:ascii="Calibri" w:eastAsia="Times New Roman" w:hAnsi="Calibri" w:cstheme="minorHAnsi"/>
      <w:bCs/>
      <w:iCs/>
      <w:kern w:val="0"/>
      <w:sz w:val="22"/>
      <w:szCs w:val="22"/>
      <w14:ligatures w14:val="none"/>
    </w:rPr>
  </w:style>
  <w:style w:type="character" w:customStyle="1" w:styleId="cf01">
    <w:name w:val="cf01"/>
    <w:basedOn w:val="DefaultParagraphFont"/>
    <w:rsid w:val="00334D19"/>
    <w:rPr>
      <w:rFonts w:ascii="Segoe UI" w:hAnsi="Segoe UI" w:cs="Segoe UI" w:hint="default"/>
      <w:sz w:val="18"/>
      <w:szCs w:val="18"/>
    </w:rPr>
  </w:style>
  <w:style w:type="character" w:customStyle="1" w:styleId="ui-provider">
    <w:name w:val="ui-provider"/>
    <w:basedOn w:val="DefaultParagraphFont"/>
    <w:rsid w:val="00D240A9"/>
  </w:style>
  <w:style w:type="paragraph" w:styleId="NormalWeb">
    <w:name w:val="Normal (Web)"/>
    <w:basedOn w:val="Normal"/>
    <w:uiPriority w:val="99"/>
    <w:unhideWhenUsed/>
    <w:rsid w:val="00D240A9"/>
    <w:pPr>
      <w:spacing w:before="100" w:beforeAutospacing="1" w:after="100" w:afterAutospacing="1"/>
    </w:pPr>
    <w:rPr>
      <w:rFonts w:ascii="Times New Roman" w:hAnsi="Times New Roman" w:cs="Times New Roman"/>
      <w:bCs w:val="0"/>
      <w:iCs w:val="0"/>
      <w:sz w:val="24"/>
      <w:szCs w:val="24"/>
      <w:lang w:eastAsia="en-AU"/>
    </w:rPr>
  </w:style>
  <w:style w:type="character" w:styleId="CommentReference">
    <w:name w:val="annotation reference"/>
    <w:basedOn w:val="DefaultParagraphFont"/>
    <w:uiPriority w:val="99"/>
    <w:semiHidden/>
    <w:unhideWhenUsed/>
    <w:rsid w:val="00827AF0"/>
    <w:rPr>
      <w:sz w:val="16"/>
      <w:szCs w:val="16"/>
    </w:rPr>
  </w:style>
  <w:style w:type="paragraph" w:styleId="CommentText">
    <w:name w:val="annotation text"/>
    <w:basedOn w:val="Normal"/>
    <w:link w:val="CommentTextChar"/>
    <w:uiPriority w:val="99"/>
    <w:unhideWhenUsed/>
    <w:rsid w:val="00827AF0"/>
    <w:rPr>
      <w:sz w:val="20"/>
      <w:szCs w:val="20"/>
    </w:rPr>
  </w:style>
  <w:style w:type="character" w:customStyle="1" w:styleId="CommentTextChar">
    <w:name w:val="Comment Text Char"/>
    <w:basedOn w:val="DefaultParagraphFont"/>
    <w:link w:val="CommentText"/>
    <w:uiPriority w:val="99"/>
    <w:rsid w:val="00827AF0"/>
    <w:rPr>
      <w:rFonts w:ascii="Calibri" w:eastAsia="Times New Roman" w:hAnsi="Calibri" w:cstheme="minorHAnsi"/>
      <w:bCs/>
      <w:i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7AF0"/>
    <w:rPr>
      <w:b/>
    </w:rPr>
  </w:style>
  <w:style w:type="character" w:customStyle="1" w:styleId="CommentSubjectChar">
    <w:name w:val="Comment Subject Char"/>
    <w:basedOn w:val="CommentTextChar"/>
    <w:link w:val="CommentSubject"/>
    <w:uiPriority w:val="99"/>
    <w:semiHidden/>
    <w:rsid w:val="00827AF0"/>
    <w:rPr>
      <w:rFonts w:ascii="Calibri" w:eastAsia="Times New Roman" w:hAnsi="Calibri" w:cstheme="minorHAnsi"/>
      <w:b/>
      <w:bCs/>
      <w:iCs/>
      <w:kern w:val="0"/>
      <w:sz w:val="20"/>
      <w:szCs w:val="20"/>
      <w14:ligatures w14:val="none"/>
    </w:rPr>
  </w:style>
  <w:style w:type="table" w:styleId="PlainTable4">
    <w:name w:val="Plain Table 4"/>
    <w:basedOn w:val="TableNormal"/>
    <w:uiPriority w:val="44"/>
    <w:rsid w:val="0002527C"/>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Cnoteslist">
    <w:name w:val="AC_notes list"/>
    <w:basedOn w:val="Normal"/>
    <w:link w:val="ACnoteslistChar"/>
    <w:qFormat/>
    <w:rsid w:val="003334AD"/>
    <w:pPr>
      <w:spacing w:before="240" w:after="60"/>
      <w:ind w:left="360" w:hanging="360"/>
    </w:pPr>
    <w:rPr>
      <w:rFonts w:cs="Times New Roman"/>
      <w:bCs w:val="0"/>
      <w:iCs w:val="0"/>
    </w:rPr>
  </w:style>
  <w:style w:type="character" w:customStyle="1" w:styleId="ACnoteslistChar">
    <w:name w:val="AC_notes list Char"/>
    <w:basedOn w:val="DefaultParagraphFont"/>
    <w:link w:val="ACnoteslist"/>
    <w:rsid w:val="003334AD"/>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cmtedd.act.gov.au/employment-framework/for-employees/agreements" TargetMode="External"/><Relationship Id="rId26" Type="http://schemas.openxmlformats.org/officeDocument/2006/relationships/hyperlink" Target="https://www.legislation.act.gov.au/a/1994-37/" TargetMode="External"/><Relationship Id="rId21" Type="http://schemas.openxmlformats.org/officeDocument/2006/relationships/hyperlink" Target="https://www.ag.gov.au/legal-system/statutory-declarations/about-commonwealth-statutory-declarations" TargetMode="External"/><Relationship Id="rId34" Type="http://schemas.openxmlformats.org/officeDocument/2006/relationships/hyperlink" Target="mailto:eba@act.gov.a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legislation.gov.au/C2004A03668/latest/text" TargetMode="External"/><Relationship Id="rId33" Type="http://schemas.openxmlformats.org/officeDocument/2006/relationships/hyperlink" Target="mailto:eba@act.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ccesshub.gov.au" TargetMode="External"/><Relationship Id="rId20" Type="http://schemas.openxmlformats.org/officeDocument/2006/relationships/hyperlink" Target="https://legislation.act.gov.au/di/2016-251/" TargetMode="External"/><Relationship Id="rId29" Type="http://schemas.openxmlformats.org/officeDocument/2006/relationships/hyperlink" Target="https://www.legislation.act.gov.au/a/2011-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actss.service-now.com/sharedservices?id=sc_cat_item&amp;sys_id=abaeedc51b2f6150d2bc20e6b04bcb31" TargetMode="External"/><Relationship Id="rId32" Type="http://schemas.openxmlformats.org/officeDocument/2006/relationships/hyperlink" Target="https://www.cmtedd.act.gov.au/employment-framework/for-employees/a-z"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hr21/Interface/login.aspx" TargetMode="External"/><Relationship Id="rId28" Type="http://schemas.openxmlformats.org/officeDocument/2006/relationships/hyperlink" Target="https://www.legislation.gov.au/C2009A00028/latest/tex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act.gov.au/a/1994-37/" TargetMode="External"/><Relationship Id="rId31" Type="http://schemas.openxmlformats.org/officeDocument/2006/relationships/hyperlink" Target="https://www.cmtedd.act.gov.au/employment-framework/for-employees/a-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ag.gov.au/legal-system/statutory-declarations/about-commonwealth-statutory-declarations/digital-commonwealth-statutory-declarations" TargetMode="External"/><Relationship Id="rId27" Type="http://schemas.openxmlformats.org/officeDocument/2006/relationships/hyperlink" Target="https://www.legislation.act.gov.au/di/2016-251/" TargetMode="External"/><Relationship Id="rId30" Type="http://schemas.openxmlformats.org/officeDocument/2006/relationships/hyperlink" Target="https://www.cmtedd.act.gov.au/employment-framework/for-employees/agreements"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mtedd.act.gov.au/employment-framework/for-employees/a-z" TargetMode="External"/><Relationship Id="rId3" Type="http://schemas.openxmlformats.org/officeDocument/2006/relationships/hyperlink" Target="https://www.cmtedd.act.gov.au/employment-framework/for-employees/agreements" TargetMode="External"/><Relationship Id="rId7" Type="http://schemas.openxmlformats.org/officeDocument/2006/relationships/hyperlink" Target="https://www.cmtedd.act.gov.au/employment-framework/for-employees/a-z" TargetMode="External"/><Relationship Id="rId2" Type="http://schemas.openxmlformats.org/officeDocument/2006/relationships/hyperlink" Target="https://www.cmtedd.act.gov.au/employment-framework/for-employees/agreements" TargetMode="External"/><Relationship Id="rId1" Type="http://schemas.openxmlformats.org/officeDocument/2006/relationships/hyperlink" Target="https://www.cmtedd.act.gov.au/employment-framework/for-employees/agreements" TargetMode="External"/><Relationship Id="rId6" Type="http://schemas.openxmlformats.org/officeDocument/2006/relationships/hyperlink" Target="https://www.cmtedd.act.gov.au/employment-framework/for-employees/a-z" TargetMode="External"/><Relationship Id="rId5" Type="http://schemas.openxmlformats.org/officeDocument/2006/relationships/hyperlink" Target="https://www.cmtedd.act.gov.au/employment-framework/for-employees/agreements" TargetMode="External"/><Relationship Id="rId4" Type="http://schemas.openxmlformats.org/officeDocument/2006/relationships/hyperlink" Target="https://www.legislation.act.gov.au/di/2016-251/default.a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17B08C160D84ABA40B95201D18DE7"/>
        <w:category>
          <w:name w:val="General"/>
          <w:gallery w:val="placeholder"/>
        </w:category>
        <w:types>
          <w:type w:val="bbPlcHdr"/>
        </w:types>
        <w:behaviors>
          <w:behavior w:val="content"/>
        </w:behaviors>
        <w:guid w:val="{8243139D-DD87-D444-98DE-73D745F28A9E}"/>
      </w:docPartPr>
      <w:docPartBody>
        <w:p w:rsidR="005E0121" w:rsidRDefault="005E0121" w:rsidP="005E0121">
          <w:pPr>
            <w:pStyle w:val="29017B08C160D84ABA40B95201D18DE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1"/>
    <w:rsid w:val="00043FD4"/>
    <w:rsid w:val="000F4E35"/>
    <w:rsid w:val="0011323F"/>
    <w:rsid w:val="001276CE"/>
    <w:rsid w:val="00273B17"/>
    <w:rsid w:val="004011D3"/>
    <w:rsid w:val="004E3310"/>
    <w:rsid w:val="00503A78"/>
    <w:rsid w:val="00597E8D"/>
    <w:rsid w:val="005E0121"/>
    <w:rsid w:val="006E7BED"/>
    <w:rsid w:val="006F4F0D"/>
    <w:rsid w:val="00940D2E"/>
    <w:rsid w:val="00A56704"/>
    <w:rsid w:val="00A75673"/>
    <w:rsid w:val="00C94ED5"/>
    <w:rsid w:val="00DD2577"/>
    <w:rsid w:val="00E7388C"/>
    <w:rsid w:val="00F20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017B08C160D84ABA40B95201D18DE7">
    <w:name w:val="29017B08C160D84ABA40B95201D18DE7"/>
    <w:rsid w:val="005E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5dd0cb-f3c9-4c14-af4c-4b0975627b8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6489B9C421C943AD841694E97C04FF" ma:contentTypeVersion="6" ma:contentTypeDescription="Create a new document." ma:contentTypeScope="" ma:versionID="ee69bce047b9edbb75880ef4ee2bb9ac">
  <xsd:schema xmlns:xsd="http://www.w3.org/2001/XMLSchema" xmlns:xs="http://www.w3.org/2001/XMLSchema" xmlns:p="http://schemas.microsoft.com/office/2006/metadata/properties" xmlns:ns2="265a1073-5785-4d20-87e2-0d3575f3600e" xmlns:ns3="be5dd0cb-f3c9-4c14-af4c-4b0975627b83" targetNamespace="http://schemas.microsoft.com/office/2006/metadata/properties" ma:root="true" ma:fieldsID="93f387ee5cca6a07b18d4957a6be8cbc" ns2:_="" ns3:_="">
    <xsd:import namespace="265a1073-5785-4d20-87e2-0d3575f3600e"/>
    <xsd:import namespace="be5dd0cb-f3c9-4c14-af4c-4b0975627b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a1073-5785-4d20-87e2-0d3575f36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dd0cb-f3c9-4c14-af4c-4b0975627b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62075-BCF5-4095-BA5C-578E25B84630}">
  <ds:schemaRefs>
    <ds:schemaRef ds:uri="http://purl.org/dc/terms/"/>
    <ds:schemaRef ds:uri="http://schemas.microsoft.com/office/2006/metadata/properties"/>
    <ds:schemaRef ds:uri="http://www.w3.org/XML/1998/namespace"/>
    <ds:schemaRef ds:uri="be5dd0cb-f3c9-4c14-af4c-4b0975627b83"/>
    <ds:schemaRef ds:uri="http://purl.org/dc/dcmitype/"/>
    <ds:schemaRef ds:uri="265a1073-5785-4d20-87e2-0d3575f3600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3.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4.xml><?xml version="1.0" encoding="utf-8"?>
<ds:datastoreItem xmlns:ds="http://schemas.openxmlformats.org/officeDocument/2006/customXml" ds:itemID="{41FB0529-8BDC-43AA-9FB1-1CB0F1B5E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a1073-5785-4d20-87e2-0d3575f3600e"/>
    <ds:schemaRef ds:uri="be5dd0cb-f3c9-4c14-af4c-4b0975627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6607</Words>
  <Characters>39449</Characters>
  <Application>Microsoft Office Word</Application>
  <DocSecurity>0</DocSecurity>
  <Lines>1160</Lines>
  <Paragraphs>731</Paragraphs>
  <ScaleCrop>false</ScaleCrop>
  <HeadingPairs>
    <vt:vector size="2" baseType="variant">
      <vt:variant>
        <vt:lpstr>Title</vt:lpstr>
      </vt:variant>
      <vt:variant>
        <vt:i4>1</vt:i4>
      </vt:variant>
    </vt:vector>
  </HeadingPairs>
  <TitlesOfParts>
    <vt:vector size="1" baseType="lpstr">
      <vt:lpstr>Personal Leave Guidelines</vt:lpstr>
    </vt:vector>
  </TitlesOfParts>
  <Manager/>
  <Company/>
  <LinksUpToDate>false</LinksUpToDate>
  <CharactersWithSpaces>45325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Leave Guidelines</dc:title>
  <dc:subject/>
  <dc:creator>Nadudvary, Bryce</dc:creator>
  <cp:keywords/>
  <dc:description/>
  <cp:lastModifiedBy>O'Flynn, Helen</cp:lastModifiedBy>
  <cp:revision>4</cp:revision>
  <cp:lastPrinted>2025-12-23T04:43:00Z</cp:lastPrinted>
  <dcterms:created xsi:type="dcterms:W3CDTF">2025-11-18T12:47:00Z</dcterms:created>
  <dcterms:modified xsi:type="dcterms:W3CDTF">2025-12-23T04:45:00Z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0x010100B66489B9C421C943AD841694E97C04FF</vt:lpwstr>
  </property>
</Properties>
</file>