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51DE" w14:textId="77777777" w:rsidR="000A2FFC" w:rsidRDefault="00E753AA">
      <w:r>
        <w:rPr>
          <w:noProof/>
        </w:rPr>
        <w:drawing>
          <wp:anchor distT="0" distB="0" distL="114300" distR="114300" simplePos="0" relativeHeight="251683840" behindDoc="1" locked="0" layoutInCell="1" allowOverlap="1" wp14:anchorId="3A54D137" wp14:editId="62EAEC17">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697028A3" wp14:editId="0ED3DFD7">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5026A629" w14:textId="77777777" w:rsidR="00F875BD" w:rsidRDefault="00F875BD"/>
        <w:p w14:paraId="75C15E1D" w14:textId="078A65D2" w:rsidR="00F875BD" w:rsidRDefault="00491031">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4D63645E" wp14:editId="1AB7A804">
                    <wp:simplePos x="0" y="0"/>
                    <wp:positionH relativeFrom="margin">
                      <wp:posOffset>-211219</wp:posOffset>
                    </wp:positionH>
                    <wp:positionV relativeFrom="page">
                      <wp:posOffset>4674358</wp:posOffset>
                    </wp:positionV>
                    <wp:extent cx="3923731" cy="3076575"/>
                    <wp:effectExtent l="0" t="0" r="0" b="952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731"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2DC70" w14:textId="7F46851A" w:rsidR="00795404" w:rsidRDefault="00491031" w:rsidP="0089332C">
                                <w:pPr>
                                  <w:pStyle w:val="Title"/>
                                  <w:rPr>
                                    <w:caps w:val="0"/>
                                    <w:color w:val="FFFFFF"/>
                                  </w:rPr>
                                </w:pPr>
                                <w:r>
                                  <w:rPr>
                                    <w:caps w:val="0"/>
                                    <w:color w:val="FFFFFF"/>
                                  </w:rPr>
                                  <w:t xml:space="preserve">ACTPS </w:t>
                                </w:r>
                                <w:r w:rsidR="00795404">
                                  <w:rPr>
                                    <w:caps w:val="0"/>
                                    <w:color w:val="FFFFFF"/>
                                  </w:rPr>
                                  <w:t>Reportable Conduct Policy</w:t>
                                </w:r>
                              </w:p>
                              <w:p w14:paraId="25F685F5" w14:textId="3E95D115" w:rsidR="00246AAC" w:rsidRPr="00276C34" w:rsidRDefault="00246AAC" w:rsidP="0089332C">
                                <w:pPr>
                                  <w:pStyle w:val="Title"/>
                                  <w:rPr>
                                    <w:caps w:val="0"/>
                                    <w:color w:val="FFFFFF"/>
                                  </w:rPr>
                                </w:pPr>
                                <w:r w:rsidRPr="00276C34">
                                  <w:rPr>
                                    <w:caps w:val="0"/>
                                    <w:color w:val="FFFFFF"/>
                                  </w:rPr>
                                  <w:t xml:space="preserve"> </w:t>
                                </w:r>
                              </w:p>
                              <w:p w14:paraId="15D38E1E" w14:textId="68B11FEE" w:rsidR="001647F4" w:rsidRDefault="001647F4" w:rsidP="00731016">
                                <w:pPr>
                                  <w:pStyle w:val="Subtitle"/>
                                  <w:spacing w:line="240" w:lineRule="auto"/>
                                  <w:rPr>
                                    <w:color w:val="FFFFFF"/>
                                  </w:rPr>
                                </w:pPr>
                                <w:r w:rsidRPr="00276C34">
                                  <w:rPr>
                                    <w:color w:val="FFFFFF"/>
                                  </w:rPr>
                                  <w:t xml:space="preserve">Policy number: </w:t>
                                </w:r>
                                <w:r w:rsidR="00491031">
                                  <w:rPr>
                                    <w:color w:val="FFFFFF"/>
                                  </w:rPr>
                                  <w:t>42/2022</w:t>
                                </w:r>
                              </w:p>
                              <w:p w14:paraId="2FE04A7E" w14:textId="77777777" w:rsidR="00795404" w:rsidRPr="00276C34" w:rsidRDefault="00795404" w:rsidP="00731016">
                                <w:pPr>
                                  <w:pStyle w:val="Subtitle"/>
                                  <w:spacing w:line="240" w:lineRule="auto"/>
                                  <w:rPr>
                                    <w:color w:val="FFFFFF"/>
                                  </w:rPr>
                                </w:pPr>
                              </w:p>
                              <w:p w14:paraId="57B607C7" w14:textId="6FC38F64" w:rsidR="001647F4" w:rsidRPr="00276C34" w:rsidRDefault="001647F4" w:rsidP="00731016">
                                <w:pPr>
                                  <w:pStyle w:val="Subtitle"/>
                                  <w:spacing w:line="240" w:lineRule="auto"/>
                                  <w:rPr>
                                    <w:color w:val="FFFFFF"/>
                                  </w:rPr>
                                </w:pPr>
                                <w:r w:rsidRPr="00276C34">
                                  <w:rPr>
                                    <w:color w:val="FFFFFF"/>
                                  </w:rPr>
                                  <w:t>Issue Date:</w:t>
                                </w:r>
                                <w:r w:rsidR="00A14904">
                                  <w:rPr>
                                    <w:color w:val="FFFFFF"/>
                                  </w:rPr>
                                  <w:t xml:space="preserve"> </w:t>
                                </w:r>
                                <w:r w:rsidR="00491031">
                                  <w:rPr>
                                    <w:color w:val="FFFFFF"/>
                                  </w:rPr>
                                  <w:t>June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3645E" id="_x0000_t202" coordsize="21600,21600" o:spt="202" path="m,l,21600r21600,l21600,xe">
                    <v:stroke joinstyle="miter"/>
                    <v:path gradientshapeok="t" o:connecttype="rect"/>
                  </v:shapetype>
                  <v:shape id="Text Box 9" o:spid="_x0000_s1026" type="#_x0000_t202" style="position:absolute;margin-left:-16.65pt;margin-top:368.05pt;width:308.95pt;height:24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" filled="f" stroked="f">
                    <v:textbox>
                      <w:txbxContent>
                        <w:p w14:paraId="1482DC70" w14:textId="7F46851A" w:rsidR="00795404" w:rsidRDefault="00491031" w:rsidP="0089332C">
                          <w:pPr>
                            <w:pStyle w:val="Title"/>
                            <w:rPr>
                              <w:caps w:val="0"/>
                              <w:color w:val="FFFFFF"/>
                            </w:rPr>
                          </w:pPr>
                          <w:r>
                            <w:rPr>
                              <w:caps w:val="0"/>
                              <w:color w:val="FFFFFF"/>
                            </w:rPr>
                            <w:t xml:space="preserve">ACTPS </w:t>
                          </w:r>
                          <w:r w:rsidR="00795404">
                            <w:rPr>
                              <w:caps w:val="0"/>
                              <w:color w:val="FFFFFF"/>
                            </w:rPr>
                            <w:t>Reportable Conduct Policy</w:t>
                          </w:r>
                        </w:p>
                        <w:p w14:paraId="25F685F5" w14:textId="3E95D115" w:rsidR="00246AAC" w:rsidRPr="00276C34" w:rsidRDefault="00246AAC" w:rsidP="0089332C">
                          <w:pPr>
                            <w:pStyle w:val="Title"/>
                            <w:rPr>
                              <w:caps w:val="0"/>
                              <w:color w:val="FFFFFF"/>
                            </w:rPr>
                          </w:pPr>
                          <w:r w:rsidRPr="00276C34">
                            <w:rPr>
                              <w:caps w:val="0"/>
                              <w:color w:val="FFFFFF"/>
                            </w:rPr>
                            <w:t xml:space="preserve"> </w:t>
                          </w:r>
                        </w:p>
                        <w:p w14:paraId="15D38E1E" w14:textId="68B11FEE" w:rsidR="001647F4" w:rsidRDefault="001647F4" w:rsidP="00731016">
                          <w:pPr>
                            <w:pStyle w:val="Subtitle"/>
                            <w:spacing w:line="240" w:lineRule="auto"/>
                            <w:rPr>
                              <w:color w:val="FFFFFF"/>
                            </w:rPr>
                          </w:pPr>
                          <w:r w:rsidRPr="00276C34">
                            <w:rPr>
                              <w:color w:val="FFFFFF"/>
                            </w:rPr>
                            <w:t xml:space="preserve">Policy number: </w:t>
                          </w:r>
                          <w:r w:rsidR="00491031">
                            <w:rPr>
                              <w:color w:val="FFFFFF"/>
                            </w:rPr>
                            <w:t>42/2022</w:t>
                          </w:r>
                        </w:p>
                        <w:p w14:paraId="2FE04A7E" w14:textId="77777777" w:rsidR="00795404" w:rsidRPr="00276C34" w:rsidRDefault="00795404" w:rsidP="00731016">
                          <w:pPr>
                            <w:pStyle w:val="Subtitle"/>
                            <w:spacing w:line="240" w:lineRule="auto"/>
                            <w:rPr>
                              <w:color w:val="FFFFFF"/>
                            </w:rPr>
                          </w:pPr>
                        </w:p>
                        <w:p w14:paraId="57B607C7" w14:textId="6FC38F64" w:rsidR="001647F4" w:rsidRPr="00276C34" w:rsidRDefault="001647F4" w:rsidP="00731016">
                          <w:pPr>
                            <w:pStyle w:val="Subtitle"/>
                            <w:spacing w:line="240" w:lineRule="auto"/>
                            <w:rPr>
                              <w:color w:val="FFFFFF"/>
                            </w:rPr>
                          </w:pPr>
                          <w:r w:rsidRPr="00276C34">
                            <w:rPr>
                              <w:color w:val="FFFFFF"/>
                            </w:rPr>
                            <w:t>Issue Date:</w:t>
                          </w:r>
                          <w:r w:rsidR="00A14904">
                            <w:rPr>
                              <w:color w:val="FFFFFF"/>
                            </w:rPr>
                            <w:t xml:space="preserve"> </w:t>
                          </w:r>
                          <w:r w:rsidR="00491031">
                            <w:rPr>
                              <w:color w:val="FFFFFF"/>
                            </w:rPr>
                            <w:t>June 2017</w:t>
                          </w:r>
                        </w:p>
                      </w:txbxContent>
                    </v:textbox>
                    <w10:wrap anchorx="margin" anchory="page"/>
                  </v:shape>
                </w:pict>
              </mc:Fallback>
            </mc:AlternateContent>
          </w:r>
          <w:r w:rsidR="00A14904">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713F00C9" wp14:editId="5D3A0A56">
                    <wp:simplePos x="0" y="0"/>
                    <wp:positionH relativeFrom="margin">
                      <wp:posOffset>-211317</wp:posOffset>
                    </wp:positionH>
                    <wp:positionV relativeFrom="page">
                      <wp:posOffset>7805530</wp:posOffset>
                    </wp:positionV>
                    <wp:extent cx="4293704" cy="916940"/>
                    <wp:effectExtent l="0" t="0" r="0" b="381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4"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9A07" w14:textId="77777777" w:rsidR="00A14904" w:rsidRDefault="00A14904" w:rsidP="0089332C">
                                <w:pPr>
                                  <w:pStyle w:val="Intro"/>
                                  <w:rPr>
                                    <w:color w:val="FFFFFF"/>
                                  </w:rPr>
                                </w:pPr>
                                <w:r>
                                  <w:rPr>
                                    <w:color w:val="FFFFFF"/>
                                  </w:rPr>
                                  <w:t>ISSUED BY:</w:t>
                                </w:r>
                              </w:p>
                              <w:p w14:paraId="4ED0D689" w14:textId="5AE4587D" w:rsidR="00246AAC" w:rsidRPr="000016B9" w:rsidRDefault="00A14904" w:rsidP="0089332C">
                                <w:pPr>
                                  <w:pStyle w:val="Intro"/>
                                  <w:rPr>
                                    <w:caps/>
                                    <w:color w:val="FFFFFF"/>
                                  </w:rPr>
                                </w:pPr>
                                <w:r>
                                  <w:rPr>
                                    <w:color w:val="FFFFFF"/>
                                  </w:rPr>
                                  <w:t xml:space="preserve">WORKFORCE CAPABILITY AND GOVERANCE, CMTEDD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3F00C9" id="Text Box 10" o:spid="_x0000_s1027" type="#_x0000_t202" style="position:absolute;margin-left:-16.65pt;margin-top:614.6pt;width:338.1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" filled="f" stroked="f">
                    <v:textbox style="mso-fit-shape-to-text:t">
                      <w:txbxContent>
                        <w:p w14:paraId="1DAE9A07" w14:textId="77777777" w:rsidR="00A14904" w:rsidRDefault="00A14904" w:rsidP="0089332C">
                          <w:pPr>
                            <w:pStyle w:val="Intro"/>
                            <w:rPr>
                              <w:color w:val="FFFFFF"/>
                            </w:rPr>
                          </w:pPr>
                          <w:r>
                            <w:rPr>
                              <w:color w:val="FFFFFF"/>
                            </w:rPr>
                            <w:t>ISSUED BY:</w:t>
                          </w:r>
                        </w:p>
                        <w:p w14:paraId="4ED0D689" w14:textId="5AE4587D" w:rsidR="00246AAC" w:rsidRPr="000016B9" w:rsidRDefault="00A14904" w:rsidP="0089332C">
                          <w:pPr>
                            <w:pStyle w:val="Intro"/>
                            <w:rPr>
                              <w:caps/>
                              <w:color w:val="FFFFFF"/>
                            </w:rPr>
                          </w:pPr>
                          <w:r>
                            <w:rPr>
                              <w:color w:val="FFFFFF"/>
                            </w:rPr>
                            <w:t xml:space="preserve">WORKFORCE CAPABILITY AND GOVERANCE, CMTEDD </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16447BF8" w14:textId="77777777" w:rsidR="002D33BC" w:rsidRPr="005115E8" w:rsidRDefault="002D33BC" w:rsidP="005115E8">
      <w:pPr>
        <w:pStyle w:val="TOC1"/>
      </w:pPr>
      <w:r w:rsidRPr="005115E8">
        <w:lastRenderedPageBreak/>
        <w:t>Content</w:t>
      </w:r>
      <w:r w:rsidR="005115E8" w:rsidRPr="005115E8">
        <w:t>s</w:t>
      </w:r>
    </w:p>
    <w:p w14:paraId="4D7399A2" w14:textId="26C74AC5" w:rsidR="0082056B" w:rsidRDefault="00DD7FA7">
      <w:pPr>
        <w:pStyle w:val="TOC2"/>
        <w:rPr>
          <w:rFonts w:eastAsiaTheme="minorEastAsia" w:cstheme="minorBidi"/>
          <w:color w:val="auto"/>
          <w:sz w:val="22"/>
          <w:szCs w:val="22"/>
        </w:rPr>
      </w:pPr>
      <w:r>
        <w:rPr>
          <w:b/>
          <w:caps/>
          <w:color w:val="482D8C" w:themeColor="background2"/>
          <w:sz w:val="32"/>
          <w:szCs w:val="40"/>
        </w:rPr>
        <w:fldChar w:fldCharType="begin"/>
      </w:r>
      <w:r w:rsidR="0096313F">
        <w:instrText xml:space="preserve"> TOC \o "1-4" \u </w:instrText>
      </w:r>
      <w:r>
        <w:rPr>
          <w:b/>
          <w:caps/>
          <w:color w:val="482D8C" w:themeColor="background2"/>
          <w:sz w:val="32"/>
          <w:szCs w:val="40"/>
        </w:rPr>
        <w:fldChar w:fldCharType="separate"/>
      </w:r>
      <w:r w:rsidR="0082056B" w:rsidRPr="002C188A">
        <w:rPr>
          <w:b/>
        </w:rPr>
        <w:t>Introduction/Purpose</w:t>
      </w:r>
      <w:r w:rsidR="0082056B">
        <w:tab/>
      </w:r>
      <w:r w:rsidR="0082056B">
        <w:fldChar w:fldCharType="begin"/>
      </w:r>
      <w:r w:rsidR="0082056B">
        <w:instrText xml:space="preserve"> PAGEREF _Toc111798123 \h </w:instrText>
      </w:r>
      <w:r w:rsidR="0082056B">
        <w:fldChar w:fldCharType="separate"/>
      </w:r>
      <w:r w:rsidR="00AD6936">
        <w:t>3</w:t>
      </w:r>
      <w:r w:rsidR="0082056B">
        <w:fldChar w:fldCharType="end"/>
      </w:r>
    </w:p>
    <w:p w14:paraId="66D9B5EA" w14:textId="0D378A26" w:rsidR="0082056B" w:rsidRDefault="0082056B">
      <w:pPr>
        <w:pStyle w:val="TOC2"/>
        <w:rPr>
          <w:rFonts w:eastAsiaTheme="minorEastAsia" w:cstheme="minorBidi"/>
          <w:color w:val="auto"/>
          <w:sz w:val="22"/>
          <w:szCs w:val="22"/>
        </w:rPr>
      </w:pPr>
      <w:r w:rsidRPr="002C188A">
        <w:rPr>
          <w:b/>
        </w:rPr>
        <w:t>Application</w:t>
      </w:r>
      <w:r>
        <w:tab/>
      </w:r>
      <w:r>
        <w:fldChar w:fldCharType="begin"/>
      </w:r>
      <w:r>
        <w:instrText xml:space="preserve"> PAGEREF _Toc111798124 \h </w:instrText>
      </w:r>
      <w:r>
        <w:fldChar w:fldCharType="separate"/>
      </w:r>
      <w:r w:rsidR="00AD6936">
        <w:t>3</w:t>
      </w:r>
      <w:r>
        <w:fldChar w:fldCharType="end"/>
      </w:r>
    </w:p>
    <w:p w14:paraId="4924B896" w14:textId="019DF9B7" w:rsidR="0082056B" w:rsidRDefault="0082056B">
      <w:pPr>
        <w:pStyle w:val="TOC2"/>
        <w:rPr>
          <w:rFonts w:eastAsiaTheme="minorEastAsia" w:cstheme="minorBidi"/>
          <w:color w:val="auto"/>
          <w:sz w:val="22"/>
          <w:szCs w:val="22"/>
        </w:rPr>
      </w:pPr>
      <w:r w:rsidRPr="002C188A">
        <w:rPr>
          <w:b/>
        </w:rPr>
        <w:t>Why is a Reportable Conduct Scheme being Introduced?</w:t>
      </w:r>
      <w:r>
        <w:tab/>
      </w:r>
      <w:r>
        <w:fldChar w:fldCharType="begin"/>
      </w:r>
      <w:r>
        <w:instrText xml:space="preserve"> PAGEREF _Toc111798125 \h </w:instrText>
      </w:r>
      <w:r>
        <w:fldChar w:fldCharType="separate"/>
      </w:r>
      <w:r w:rsidR="00AD6936">
        <w:t>3</w:t>
      </w:r>
      <w:r>
        <w:fldChar w:fldCharType="end"/>
      </w:r>
    </w:p>
    <w:p w14:paraId="20CA1F85" w14:textId="18596268" w:rsidR="0082056B" w:rsidRDefault="0082056B">
      <w:pPr>
        <w:pStyle w:val="TOC2"/>
        <w:rPr>
          <w:rFonts w:eastAsiaTheme="minorEastAsia" w:cstheme="minorBidi"/>
          <w:color w:val="auto"/>
          <w:sz w:val="22"/>
          <w:szCs w:val="22"/>
        </w:rPr>
      </w:pPr>
      <w:r w:rsidRPr="002C188A">
        <w:rPr>
          <w:b/>
        </w:rPr>
        <w:t>When does it Start?</w:t>
      </w:r>
      <w:r>
        <w:tab/>
      </w:r>
      <w:r>
        <w:fldChar w:fldCharType="begin"/>
      </w:r>
      <w:r>
        <w:instrText xml:space="preserve"> PAGEREF _Toc111798126 \h </w:instrText>
      </w:r>
      <w:r>
        <w:fldChar w:fldCharType="separate"/>
      </w:r>
      <w:r w:rsidR="00AD6936">
        <w:t>3</w:t>
      </w:r>
      <w:r>
        <w:fldChar w:fldCharType="end"/>
      </w:r>
    </w:p>
    <w:p w14:paraId="052800AB" w14:textId="62A82678" w:rsidR="0082056B" w:rsidRDefault="0082056B">
      <w:pPr>
        <w:pStyle w:val="TOC2"/>
        <w:rPr>
          <w:rFonts w:eastAsiaTheme="minorEastAsia" w:cstheme="minorBidi"/>
          <w:color w:val="auto"/>
          <w:sz w:val="22"/>
          <w:szCs w:val="22"/>
        </w:rPr>
      </w:pPr>
      <w:r w:rsidRPr="002C188A">
        <w:rPr>
          <w:b/>
        </w:rPr>
        <w:t>How does it affect Me?</w:t>
      </w:r>
      <w:r>
        <w:tab/>
      </w:r>
      <w:r>
        <w:fldChar w:fldCharType="begin"/>
      </w:r>
      <w:r>
        <w:instrText xml:space="preserve"> PAGEREF _Toc111798127 \h </w:instrText>
      </w:r>
      <w:r>
        <w:fldChar w:fldCharType="separate"/>
      </w:r>
      <w:r w:rsidR="00AD6936">
        <w:t>4</w:t>
      </w:r>
      <w:r>
        <w:fldChar w:fldCharType="end"/>
      </w:r>
    </w:p>
    <w:p w14:paraId="6AAE614E" w14:textId="7D6186BA" w:rsidR="0082056B" w:rsidRDefault="0082056B">
      <w:pPr>
        <w:pStyle w:val="TOC2"/>
        <w:rPr>
          <w:rFonts w:eastAsiaTheme="minorEastAsia" w:cstheme="minorBidi"/>
          <w:color w:val="auto"/>
          <w:sz w:val="22"/>
          <w:szCs w:val="22"/>
        </w:rPr>
      </w:pPr>
      <w:r w:rsidRPr="002C188A">
        <w:rPr>
          <w:b/>
        </w:rPr>
        <w:t>Who in my Directorate is Responsible for Reporting to the Ombudsman?</w:t>
      </w:r>
      <w:r>
        <w:tab/>
      </w:r>
      <w:r>
        <w:fldChar w:fldCharType="begin"/>
      </w:r>
      <w:r>
        <w:instrText xml:space="preserve"> PAGEREF _Toc111798128 \h </w:instrText>
      </w:r>
      <w:r>
        <w:fldChar w:fldCharType="separate"/>
      </w:r>
      <w:r w:rsidR="00AD6936">
        <w:t>4</w:t>
      </w:r>
      <w:r>
        <w:fldChar w:fldCharType="end"/>
      </w:r>
    </w:p>
    <w:p w14:paraId="3ED7EE96" w14:textId="726A7B9B" w:rsidR="0082056B" w:rsidRDefault="0082056B">
      <w:pPr>
        <w:pStyle w:val="TOC2"/>
        <w:rPr>
          <w:rFonts w:eastAsiaTheme="minorEastAsia" w:cstheme="minorBidi"/>
          <w:color w:val="auto"/>
          <w:sz w:val="22"/>
          <w:szCs w:val="22"/>
        </w:rPr>
      </w:pPr>
      <w:r w:rsidRPr="002C188A">
        <w:rPr>
          <w:b/>
        </w:rPr>
        <w:t>Where do I go for more Information?</w:t>
      </w:r>
      <w:r>
        <w:tab/>
      </w:r>
      <w:r>
        <w:fldChar w:fldCharType="begin"/>
      </w:r>
      <w:r>
        <w:instrText xml:space="preserve"> PAGEREF _Toc111798129 \h </w:instrText>
      </w:r>
      <w:r>
        <w:fldChar w:fldCharType="separate"/>
      </w:r>
      <w:r w:rsidR="00AD6936">
        <w:t>4</w:t>
      </w:r>
      <w:r>
        <w:fldChar w:fldCharType="end"/>
      </w:r>
    </w:p>
    <w:p w14:paraId="7CE8D6FE" w14:textId="0F1E3A9D" w:rsidR="0082056B" w:rsidRDefault="0082056B">
      <w:pPr>
        <w:pStyle w:val="TOC2"/>
        <w:rPr>
          <w:rFonts w:eastAsiaTheme="minorEastAsia" w:cstheme="minorBidi"/>
          <w:color w:val="auto"/>
          <w:sz w:val="22"/>
          <w:szCs w:val="22"/>
        </w:rPr>
      </w:pPr>
      <w:r w:rsidRPr="002C188A">
        <w:rPr>
          <w:b/>
        </w:rPr>
        <w:t>Legislative Reference</w:t>
      </w:r>
      <w:r>
        <w:tab/>
      </w:r>
      <w:r>
        <w:fldChar w:fldCharType="begin"/>
      </w:r>
      <w:r>
        <w:instrText xml:space="preserve"> PAGEREF _Toc111798130 \h </w:instrText>
      </w:r>
      <w:r>
        <w:fldChar w:fldCharType="separate"/>
      </w:r>
      <w:r w:rsidR="00AD6936">
        <w:t>4</w:t>
      </w:r>
      <w:r>
        <w:fldChar w:fldCharType="end"/>
      </w:r>
    </w:p>
    <w:p w14:paraId="0B8CBAB3" w14:textId="4E7B835D" w:rsidR="0082056B" w:rsidRDefault="0082056B">
      <w:pPr>
        <w:pStyle w:val="TOC2"/>
        <w:rPr>
          <w:rFonts w:eastAsiaTheme="minorEastAsia" w:cstheme="minorBidi"/>
          <w:color w:val="auto"/>
          <w:sz w:val="22"/>
          <w:szCs w:val="22"/>
        </w:rPr>
      </w:pPr>
      <w:r w:rsidRPr="002C188A">
        <w:rPr>
          <w:b/>
        </w:rPr>
        <w:t>Review</w:t>
      </w:r>
      <w:r>
        <w:tab/>
      </w:r>
      <w:r>
        <w:fldChar w:fldCharType="begin"/>
      </w:r>
      <w:r>
        <w:instrText xml:space="preserve"> PAGEREF _Toc111798131 \h </w:instrText>
      </w:r>
      <w:r>
        <w:fldChar w:fldCharType="separate"/>
      </w:r>
      <w:r w:rsidR="00AD6936">
        <w:t>4</w:t>
      </w:r>
      <w:r>
        <w:fldChar w:fldCharType="end"/>
      </w:r>
    </w:p>
    <w:p w14:paraId="30E31236" w14:textId="7A01E4CF" w:rsidR="0082056B" w:rsidRDefault="0082056B">
      <w:pPr>
        <w:pStyle w:val="TOC2"/>
        <w:rPr>
          <w:rFonts w:eastAsiaTheme="minorEastAsia" w:cstheme="minorBidi"/>
          <w:color w:val="auto"/>
          <w:sz w:val="22"/>
          <w:szCs w:val="22"/>
        </w:rPr>
      </w:pPr>
      <w:r w:rsidRPr="002C188A">
        <w:rPr>
          <w:b/>
        </w:rPr>
        <w:t>Approval Authority</w:t>
      </w:r>
      <w:r>
        <w:tab/>
      </w:r>
      <w:r>
        <w:fldChar w:fldCharType="begin"/>
      </w:r>
      <w:r>
        <w:instrText xml:space="preserve"> PAGEREF _Toc111798132 \h </w:instrText>
      </w:r>
      <w:r>
        <w:fldChar w:fldCharType="separate"/>
      </w:r>
      <w:r w:rsidR="00AD6936">
        <w:t>4</w:t>
      </w:r>
      <w:r>
        <w:fldChar w:fldCharType="end"/>
      </w:r>
    </w:p>
    <w:p w14:paraId="3A7AB8CD" w14:textId="52535881" w:rsidR="00C34A60" w:rsidRDefault="00DD7FA7" w:rsidP="0082056B">
      <w:pPr>
        <w:pStyle w:val="TOC2"/>
        <w:rPr>
          <w:color w:val="E36C0A"/>
          <w:spacing w:val="5"/>
          <w:sz w:val="72"/>
          <w:szCs w:val="72"/>
        </w:rPr>
      </w:pPr>
      <w:r>
        <w:fldChar w:fldCharType="end"/>
      </w:r>
      <w:r w:rsidR="00C34A60">
        <w:br w:type="page"/>
      </w:r>
    </w:p>
    <w:p w14:paraId="478CD6A8" w14:textId="21CA8C97" w:rsidR="00276C34" w:rsidRPr="00276C34" w:rsidRDefault="00276C34" w:rsidP="00BB2544">
      <w:pPr>
        <w:keepNext/>
        <w:suppressAutoHyphens/>
        <w:spacing w:before="240" w:after="60" w:line="240" w:lineRule="auto"/>
        <w:outlineLvl w:val="1"/>
        <w:rPr>
          <w:b/>
          <w:color w:val="AB4399"/>
          <w:sz w:val="38"/>
          <w:szCs w:val="36"/>
        </w:rPr>
      </w:pPr>
      <w:bookmarkStart w:id="0" w:name="_Toc111798123"/>
      <w:bookmarkStart w:id="1" w:name="_Hlk50933769"/>
      <w:r w:rsidRPr="00276C34">
        <w:rPr>
          <w:b/>
          <w:color w:val="AB4399"/>
          <w:sz w:val="38"/>
          <w:szCs w:val="36"/>
        </w:rPr>
        <w:lastRenderedPageBreak/>
        <w:t>Introduction</w:t>
      </w:r>
      <w:bookmarkEnd w:id="0"/>
    </w:p>
    <w:p w14:paraId="0113D2E3" w14:textId="3ADB2D0A" w:rsidR="00276C34" w:rsidRPr="00772762" w:rsidRDefault="00795404" w:rsidP="00795404">
      <w:pPr>
        <w:pStyle w:val="ListParagraph"/>
        <w:numPr>
          <w:ilvl w:val="0"/>
          <w:numId w:val="36"/>
        </w:numPr>
        <w:spacing w:line="240" w:lineRule="auto"/>
        <w:rPr>
          <w:sz w:val="22"/>
          <w:szCs w:val="22"/>
        </w:rPr>
      </w:pPr>
      <w:r w:rsidRPr="00772762">
        <w:rPr>
          <w:sz w:val="22"/>
          <w:szCs w:val="22"/>
        </w:rPr>
        <w:t xml:space="preserve">The ACT has passed legislation to implement a reportable conduct scheme in response to the Royal Commission into Institutional Responses to Child Sexual Abuse. The scheme is an employment-based child protection measure designed to ensure that allegations of abuse and certain criminal convictions are identified, </w:t>
      </w:r>
      <w:proofErr w:type="gramStart"/>
      <w:r w:rsidRPr="00772762">
        <w:rPr>
          <w:sz w:val="22"/>
          <w:szCs w:val="22"/>
        </w:rPr>
        <w:t>reported</w:t>
      </w:r>
      <w:proofErr w:type="gramEnd"/>
      <w:r w:rsidRPr="00772762">
        <w:rPr>
          <w:sz w:val="22"/>
          <w:szCs w:val="22"/>
        </w:rPr>
        <w:t xml:space="preserve"> and acted on appropriately.</w:t>
      </w:r>
    </w:p>
    <w:p w14:paraId="055BADE8" w14:textId="77777777" w:rsidR="00795404" w:rsidRPr="00772762" w:rsidRDefault="00795404" w:rsidP="00795404">
      <w:pPr>
        <w:pStyle w:val="ListParagraph"/>
        <w:spacing w:line="240" w:lineRule="auto"/>
        <w:ind w:left="360"/>
        <w:rPr>
          <w:sz w:val="22"/>
          <w:szCs w:val="22"/>
        </w:rPr>
      </w:pPr>
    </w:p>
    <w:p w14:paraId="39136FE3" w14:textId="2FD7F758" w:rsidR="00795404" w:rsidRPr="00772762" w:rsidRDefault="00795404" w:rsidP="00795404">
      <w:pPr>
        <w:pStyle w:val="ListParagraph"/>
        <w:numPr>
          <w:ilvl w:val="0"/>
          <w:numId w:val="36"/>
        </w:numPr>
        <w:spacing w:line="240" w:lineRule="auto"/>
        <w:rPr>
          <w:sz w:val="22"/>
          <w:szCs w:val="22"/>
        </w:rPr>
      </w:pPr>
      <w:r w:rsidRPr="00772762">
        <w:rPr>
          <w:sz w:val="22"/>
          <w:szCs w:val="22"/>
        </w:rPr>
        <w:t xml:space="preserve">Under the scheme, certain organisations that provide services for children, as well as all ACTPS Directorates, will need to notify the </w:t>
      </w:r>
      <w:hyperlink r:id="rId13" w:history="1">
        <w:r w:rsidR="00624D02" w:rsidRPr="00772762">
          <w:rPr>
            <w:rStyle w:val="Hyperlink"/>
            <w:sz w:val="22"/>
            <w:szCs w:val="22"/>
          </w:rPr>
          <w:t>ACT Ombudsman</w:t>
        </w:r>
      </w:hyperlink>
      <w:r w:rsidRPr="00772762">
        <w:rPr>
          <w:color w:val="0070C0"/>
          <w:sz w:val="22"/>
          <w:szCs w:val="22"/>
        </w:rPr>
        <w:t xml:space="preserve"> </w:t>
      </w:r>
      <w:r w:rsidRPr="00772762">
        <w:rPr>
          <w:sz w:val="22"/>
          <w:szCs w:val="22"/>
        </w:rPr>
        <w:t>of allegations that an employee has engaged in conduct that results in: ill treatment; neglect or psychological harm to a child; misconduct of a sexual nature; or the employee has committed criminal offences involving a child.</w:t>
      </w:r>
    </w:p>
    <w:p w14:paraId="18F4CCA1" w14:textId="77777777" w:rsidR="00281CAD" w:rsidRPr="00772762" w:rsidRDefault="00281CAD" w:rsidP="00281CAD">
      <w:pPr>
        <w:pStyle w:val="ListParagraph"/>
        <w:rPr>
          <w:sz w:val="22"/>
          <w:szCs w:val="22"/>
        </w:rPr>
      </w:pPr>
    </w:p>
    <w:p w14:paraId="55D5FDC2" w14:textId="77777777" w:rsidR="00281CAD" w:rsidRPr="00772762" w:rsidRDefault="00281CAD" w:rsidP="00281CAD">
      <w:pPr>
        <w:pStyle w:val="ListParagraph"/>
        <w:numPr>
          <w:ilvl w:val="0"/>
          <w:numId w:val="36"/>
        </w:numPr>
        <w:spacing w:line="240" w:lineRule="auto"/>
        <w:rPr>
          <w:sz w:val="22"/>
          <w:szCs w:val="22"/>
        </w:rPr>
      </w:pPr>
      <w:r w:rsidRPr="00772762">
        <w:rPr>
          <w:sz w:val="22"/>
          <w:szCs w:val="22"/>
        </w:rPr>
        <w:t>‘Employees’ in the scheme include volunteers and other persons engaged to provide services to children. The ACT Ombudsman has powers to independently oversee, monitor and report on an organisation’s investigation of allegations or convictions</w:t>
      </w:r>
    </w:p>
    <w:p w14:paraId="54F1149F" w14:textId="77777777" w:rsidR="000F034C" w:rsidRPr="00772762" w:rsidRDefault="000F034C" w:rsidP="000F034C">
      <w:pPr>
        <w:pStyle w:val="ListParagraph"/>
        <w:spacing w:line="240" w:lineRule="auto"/>
        <w:ind w:left="360"/>
        <w:rPr>
          <w:sz w:val="22"/>
          <w:szCs w:val="22"/>
        </w:rPr>
      </w:pPr>
    </w:p>
    <w:p w14:paraId="7DF96FED" w14:textId="31DE231D" w:rsidR="00795404" w:rsidRPr="00772762" w:rsidRDefault="000F034C" w:rsidP="00795404">
      <w:pPr>
        <w:pStyle w:val="ListParagraph"/>
        <w:numPr>
          <w:ilvl w:val="0"/>
          <w:numId w:val="36"/>
        </w:numPr>
        <w:spacing w:line="240" w:lineRule="auto"/>
        <w:rPr>
          <w:sz w:val="22"/>
          <w:szCs w:val="22"/>
        </w:rPr>
      </w:pPr>
      <w:r w:rsidRPr="00772762">
        <w:rPr>
          <w:sz w:val="22"/>
          <w:szCs w:val="22"/>
        </w:rPr>
        <w:t>This policy articulates the correct procedure ACTPS staff should adopt in dealing with allegations of reportable conduct.</w:t>
      </w:r>
    </w:p>
    <w:p w14:paraId="708DF87F" w14:textId="77777777" w:rsidR="00276C34" w:rsidRPr="00276C34" w:rsidRDefault="00276C34" w:rsidP="00276C34">
      <w:pPr>
        <w:keepNext/>
        <w:suppressAutoHyphens/>
        <w:spacing w:before="240" w:after="60" w:line="300" w:lineRule="exact"/>
        <w:outlineLvl w:val="1"/>
        <w:rPr>
          <w:b/>
          <w:color w:val="AB4399"/>
          <w:sz w:val="38"/>
          <w:szCs w:val="36"/>
        </w:rPr>
      </w:pPr>
      <w:bookmarkStart w:id="2" w:name="_Toc111798124"/>
      <w:r w:rsidRPr="00276C34">
        <w:rPr>
          <w:b/>
          <w:color w:val="AB4399"/>
          <w:sz w:val="38"/>
          <w:szCs w:val="36"/>
        </w:rPr>
        <w:t>Application</w:t>
      </w:r>
      <w:bookmarkEnd w:id="2"/>
    </w:p>
    <w:p w14:paraId="7E05C58F" w14:textId="77777777" w:rsidR="00281CAD" w:rsidRPr="00772762" w:rsidRDefault="00281CAD" w:rsidP="00281CAD">
      <w:pPr>
        <w:pStyle w:val="ListParagraph"/>
        <w:numPr>
          <w:ilvl w:val="0"/>
          <w:numId w:val="36"/>
        </w:numPr>
        <w:spacing w:after="0" w:line="240" w:lineRule="auto"/>
        <w:rPr>
          <w:sz w:val="22"/>
          <w:szCs w:val="22"/>
        </w:rPr>
      </w:pPr>
      <w:r w:rsidRPr="00772762">
        <w:rPr>
          <w:sz w:val="22"/>
          <w:szCs w:val="22"/>
        </w:rPr>
        <w:t xml:space="preserve">This policy is a whole-of-government strategy issued by the Head of Service under section 17(2)(a) of the </w:t>
      </w:r>
      <w:r w:rsidRPr="00772762">
        <w:rPr>
          <w:i/>
          <w:iCs/>
          <w:sz w:val="22"/>
          <w:szCs w:val="22"/>
        </w:rPr>
        <w:t>Public Sector Management Act 1994</w:t>
      </w:r>
      <w:r w:rsidRPr="00772762">
        <w:rPr>
          <w:sz w:val="22"/>
          <w:szCs w:val="22"/>
        </w:rPr>
        <w:t xml:space="preserve"> (PSM Act) and binds all employees engaged under the PSM Act and all public sector employers within the meaning of section 152(1)(a) of the PSM Act. </w:t>
      </w:r>
    </w:p>
    <w:p w14:paraId="2C93FA5F" w14:textId="77777777" w:rsidR="00281CAD" w:rsidRPr="00772762" w:rsidRDefault="00281CAD" w:rsidP="00281CAD">
      <w:pPr>
        <w:pStyle w:val="ListParagraph"/>
        <w:spacing w:after="0" w:line="240" w:lineRule="auto"/>
        <w:ind w:left="360"/>
        <w:rPr>
          <w:sz w:val="22"/>
          <w:szCs w:val="22"/>
        </w:rPr>
      </w:pPr>
    </w:p>
    <w:p w14:paraId="7D232E71" w14:textId="77777777" w:rsidR="00772762" w:rsidRPr="00772762" w:rsidRDefault="00731016" w:rsidP="00772762">
      <w:pPr>
        <w:pStyle w:val="ListParagraph"/>
        <w:numPr>
          <w:ilvl w:val="0"/>
          <w:numId w:val="36"/>
        </w:numPr>
        <w:spacing w:after="0" w:line="240" w:lineRule="auto"/>
        <w:rPr>
          <w:sz w:val="22"/>
          <w:szCs w:val="22"/>
        </w:rPr>
      </w:pPr>
      <w:proofErr w:type="gramStart"/>
      <w:r w:rsidRPr="00772762">
        <w:rPr>
          <w:sz w:val="22"/>
          <w:szCs w:val="22"/>
        </w:rPr>
        <w:t>For the purpose of</w:t>
      </w:r>
      <w:proofErr w:type="gramEnd"/>
      <w:r w:rsidRPr="00772762">
        <w:rPr>
          <w:sz w:val="22"/>
          <w:szCs w:val="22"/>
        </w:rPr>
        <w:t xml:space="preserve"> this policy, any reference to the Head of Service is also taken to be a reference to a public sector employer within the meaning of section 152(1) of the PSM Act. </w:t>
      </w:r>
    </w:p>
    <w:p w14:paraId="49B9AD58" w14:textId="77777777" w:rsidR="00772762" w:rsidRPr="00772762" w:rsidRDefault="00772762" w:rsidP="00772762">
      <w:pPr>
        <w:pStyle w:val="ListParagraph"/>
        <w:rPr>
          <w:sz w:val="22"/>
          <w:szCs w:val="22"/>
        </w:rPr>
      </w:pPr>
    </w:p>
    <w:p w14:paraId="4E65BD8C" w14:textId="77777777" w:rsidR="00772762" w:rsidRPr="00772762" w:rsidRDefault="00731016" w:rsidP="00772762">
      <w:pPr>
        <w:pStyle w:val="ListParagraph"/>
        <w:numPr>
          <w:ilvl w:val="0"/>
          <w:numId w:val="36"/>
        </w:numPr>
        <w:spacing w:after="0" w:line="240" w:lineRule="auto"/>
        <w:rPr>
          <w:sz w:val="22"/>
          <w:szCs w:val="22"/>
        </w:rPr>
      </w:pPr>
      <w:proofErr w:type="gramStart"/>
      <w:r w:rsidRPr="00772762">
        <w:rPr>
          <w:sz w:val="22"/>
          <w:szCs w:val="22"/>
        </w:rPr>
        <w:t>For the purpose of</w:t>
      </w:r>
      <w:proofErr w:type="gramEnd"/>
      <w:r w:rsidRPr="00772762">
        <w:rPr>
          <w:sz w:val="22"/>
          <w:szCs w:val="22"/>
        </w:rPr>
        <w:t xml:space="preserve"> this policy, employees are defined as including executives, permanent officers, temporary employees, casual workers, and a public sector employer’s staff member who is employed on either a permanent or temporary basis</w:t>
      </w:r>
      <w:r w:rsidR="00281CAD" w:rsidRPr="00772762">
        <w:rPr>
          <w:sz w:val="22"/>
          <w:szCs w:val="22"/>
        </w:rPr>
        <w:t xml:space="preserve">. </w:t>
      </w:r>
    </w:p>
    <w:p w14:paraId="3025826C" w14:textId="77777777" w:rsidR="00772762" w:rsidRPr="00772762" w:rsidRDefault="00772762" w:rsidP="00772762">
      <w:pPr>
        <w:pStyle w:val="ListParagraph"/>
        <w:rPr>
          <w:sz w:val="22"/>
          <w:szCs w:val="22"/>
        </w:rPr>
      </w:pPr>
    </w:p>
    <w:p w14:paraId="13973CD2" w14:textId="77777777" w:rsidR="00772762" w:rsidRPr="00772762" w:rsidRDefault="00731016" w:rsidP="00772762">
      <w:pPr>
        <w:pStyle w:val="ListParagraph"/>
        <w:numPr>
          <w:ilvl w:val="0"/>
          <w:numId w:val="36"/>
        </w:numPr>
        <w:spacing w:after="0" w:line="240" w:lineRule="auto"/>
        <w:rPr>
          <w:sz w:val="22"/>
          <w:szCs w:val="22"/>
        </w:rPr>
      </w:pPr>
      <w:proofErr w:type="gramStart"/>
      <w:r w:rsidRPr="00772762">
        <w:rPr>
          <w:sz w:val="22"/>
          <w:szCs w:val="22"/>
        </w:rPr>
        <w:t>For the purpose of</w:t>
      </w:r>
      <w:proofErr w:type="gramEnd"/>
      <w:r w:rsidRPr="00772762">
        <w:rPr>
          <w:sz w:val="22"/>
          <w:szCs w:val="22"/>
        </w:rPr>
        <w:t xml:space="preserve"> this policy, any necessary change is made to the terms of the policy so as to apply the policy to a public sector employer and their staff members.</w:t>
      </w:r>
    </w:p>
    <w:p w14:paraId="2C04F97E" w14:textId="77777777" w:rsidR="00772762" w:rsidRPr="00772762" w:rsidRDefault="00772762" w:rsidP="00772762">
      <w:pPr>
        <w:pStyle w:val="ListParagraph"/>
        <w:rPr>
          <w:sz w:val="22"/>
          <w:szCs w:val="22"/>
        </w:rPr>
      </w:pPr>
    </w:p>
    <w:p w14:paraId="07F1CA98" w14:textId="18A8E0F3" w:rsidR="00731016" w:rsidRPr="00772762" w:rsidRDefault="00281CAD" w:rsidP="00772762">
      <w:pPr>
        <w:pStyle w:val="ListParagraph"/>
        <w:numPr>
          <w:ilvl w:val="0"/>
          <w:numId w:val="36"/>
        </w:numPr>
        <w:spacing w:after="0" w:line="240" w:lineRule="auto"/>
        <w:rPr>
          <w:sz w:val="22"/>
          <w:szCs w:val="22"/>
        </w:rPr>
      </w:pPr>
      <w:r w:rsidRPr="00772762">
        <w:rPr>
          <w:sz w:val="22"/>
          <w:szCs w:val="22"/>
        </w:rPr>
        <w:t>Directorates may put in place their own policy and procedural documents which assist in implementing this policy</w:t>
      </w:r>
      <w:r w:rsidRPr="00772762">
        <w:rPr>
          <w:rFonts w:eastAsia="Times New Roman"/>
          <w:sz w:val="22"/>
          <w:szCs w:val="22"/>
        </w:rPr>
        <w:t xml:space="preserve">. </w:t>
      </w:r>
    </w:p>
    <w:p w14:paraId="6DE9ED69" w14:textId="2C898E6D" w:rsidR="00276C34" w:rsidRPr="00276C34" w:rsidRDefault="000F034C" w:rsidP="00276C34">
      <w:pPr>
        <w:keepNext/>
        <w:suppressAutoHyphens/>
        <w:spacing w:before="240" w:after="60" w:line="300" w:lineRule="exact"/>
        <w:outlineLvl w:val="1"/>
        <w:rPr>
          <w:b/>
          <w:color w:val="AB4399"/>
          <w:sz w:val="38"/>
          <w:szCs w:val="36"/>
        </w:rPr>
      </w:pPr>
      <w:bookmarkStart w:id="3" w:name="_Toc111798125"/>
      <w:r>
        <w:rPr>
          <w:b/>
          <w:color w:val="AB4399"/>
          <w:sz w:val="38"/>
          <w:szCs w:val="36"/>
        </w:rPr>
        <w:t>Why is a Reportable Conduct Scheme being Introduced?</w:t>
      </w:r>
      <w:bookmarkEnd w:id="3"/>
    </w:p>
    <w:p w14:paraId="4245BFD8" w14:textId="18637BCF" w:rsidR="00276C34" w:rsidRPr="00772762" w:rsidRDefault="000F034C" w:rsidP="000F034C">
      <w:pPr>
        <w:pStyle w:val="ListParagraph"/>
        <w:numPr>
          <w:ilvl w:val="0"/>
          <w:numId w:val="36"/>
        </w:numPr>
        <w:rPr>
          <w:sz w:val="22"/>
          <w:szCs w:val="22"/>
        </w:rPr>
      </w:pPr>
      <w:r w:rsidRPr="00772762">
        <w:rPr>
          <w:sz w:val="22"/>
          <w:szCs w:val="22"/>
        </w:rPr>
        <w:t>The new oversight role of the ACT Ombudsman provides assurance to the community that investigations into allegations of abuse by employees are independently reviewed. It will also support organisations to appropriately respond to and address these allegations</w:t>
      </w:r>
      <w:r w:rsidR="00276C34" w:rsidRPr="00772762">
        <w:rPr>
          <w:sz w:val="22"/>
          <w:szCs w:val="22"/>
        </w:rPr>
        <w:t>.</w:t>
      </w:r>
    </w:p>
    <w:p w14:paraId="3B9185DF" w14:textId="77777777" w:rsidR="000F034C" w:rsidRPr="00772762" w:rsidRDefault="000F034C" w:rsidP="000F034C">
      <w:pPr>
        <w:pStyle w:val="ListParagraph"/>
        <w:ind w:left="360"/>
        <w:rPr>
          <w:sz w:val="22"/>
          <w:szCs w:val="22"/>
        </w:rPr>
      </w:pPr>
    </w:p>
    <w:p w14:paraId="00B41A59" w14:textId="7F0FEB69" w:rsidR="000F034C" w:rsidRPr="00772762" w:rsidRDefault="00B5660B" w:rsidP="000F034C">
      <w:pPr>
        <w:pStyle w:val="ListParagraph"/>
        <w:numPr>
          <w:ilvl w:val="0"/>
          <w:numId w:val="36"/>
        </w:numPr>
        <w:rPr>
          <w:sz w:val="22"/>
          <w:szCs w:val="22"/>
        </w:rPr>
      </w:pPr>
      <w:r w:rsidRPr="00772762">
        <w:rPr>
          <w:sz w:val="22"/>
          <w:szCs w:val="22"/>
        </w:rPr>
        <w:t>The scheme mirrors the NSW system, which has proven to be an effective and successful model.</w:t>
      </w:r>
    </w:p>
    <w:p w14:paraId="08DD8E20" w14:textId="03F79F31" w:rsidR="00276C34" w:rsidRPr="00276C34" w:rsidRDefault="00B5660B" w:rsidP="00276C34">
      <w:pPr>
        <w:keepNext/>
        <w:suppressAutoHyphens/>
        <w:spacing w:before="240" w:after="60" w:line="300" w:lineRule="exact"/>
        <w:outlineLvl w:val="1"/>
        <w:rPr>
          <w:b/>
          <w:color w:val="AB4399"/>
          <w:sz w:val="38"/>
          <w:szCs w:val="36"/>
        </w:rPr>
      </w:pPr>
      <w:bookmarkStart w:id="4" w:name="_Toc111798126"/>
      <w:r>
        <w:rPr>
          <w:b/>
          <w:color w:val="AB4399"/>
          <w:sz w:val="38"/>
          <w:szCs w:val="36"/>
        </w:rPr>
        <w:t>When does it Start?</w:t>
      </w:r>
      <w:bookmarkEnd w:id="4"/>
    </w:p>
    <w:p w14:paraId="36A20E22" w14:textId="0B66C856" w:rsidR="00276C34" w:rsidRPr="00772762" w:rsidRDefault="00B5660B" w:rsidP="000F034C">
      <w:pPr>
        <w:pStyle w:val="ListParagraph"/>
        <w:numPr>
          <w:ilvl w:val="0"/>
          <w:numId w:val="36"/>
        </w:numPr>
        <w:rPr>
          <w:sz w:val="22"/>
          <w:szCs w:val="22"/>
        </w:rPr>
      </w:pPr>
      <w:r w:rsidRPr="00772762">
        <w:rPr>
          <w:sz w:val="22"/>
          <w:szCs w:val="22"/>
        </w:rPr>
        <w:t>The scheme commences on 1 July 2017</w:t>
      </w:r>
      <w:r w:rsidR="00276C34" w:rsidRPr="00772762">
        <w:rPr>
          <w:sz w:val="22"/>
          <w:szCs w:val="22"/>
        </w:rPr>
        <w:t>.</w:t>
      </w:r>
    </w:p>
    <w:p w14:paraId="02050426" w14:textId="4CC0F411" w:rsidR="00276C34" w:rsidRPr="00276C34" w:rsidRDefault="00B5660B" w:rsidP="00772762">
      <w:pPr>
        <w:keepNext/>
        <w:suppressAutoHyphens/>
        <w:spacing w:before="240" w:after="60" w:line="240" w:lineRule="auto"/>
        <w:outlineLvl w:val="1"/>
        <w:rPr>
          <w:b/>
          <w:color w:val="AB4399"/>
          <w:sz w:val="38"/>
          <w:szCs w:val="36"/>
        </w:rPr>
      </w:pPr>
      <w:bookmarkStart w:id="5" w:name="_Toc111798127"/>
      <w:r>
        <w:rPr>
          <w:b/>
          <w:color w:val="AB4399"/>
          <w:sz w:val="38"/>
          <w:szCs w:val="36"/>
        </w:rPr>
        <w:lastRenderedPageBreak/>
        <w:t>How does it affect Me?</w:t>
      </w:r>
      <w:bookmarkEnd w:id="5"/>
      <w:r>
        <w:rPr>
          <w:b/>
          <w:color w:val="AB4399"/>
          <w:sz w:val="38"/>
          <w:szCs w:val="36"/>
        </w:rPr>
        <w:t xml:space="preserve"> </w:t>
      </w:r>
    </w:p>
    <w:p w14:paraId="157CD876" w14:textId="703EF473" w:rsidR="00276C34" w:rsidRPr="00772762" w:rsidRDefault="00B5660B" w:rsidP="000F034C">
      <w:pPr>
        <w:pStyle w:val="ListParagraph"/>
        <w:numPr>
          <w:ilvl w:val="0"/>
          <w:numId w:val="36"/>
        </w:numPr>
        <w:rPr>
          <w:sz w:val="22"/>
          <w:szCs w:val="22"/>
        </w:rPr>
      </w:pPr>
      <w:r w:rsidRPr="00772762">
        <w:rPr>
          <w:sz w:val="22"/>
          <w:szCs w:val="22"/>
        </w:rPr>
        <w:t>All ACT employees are covered by the scheme both in their professional and private lives. It does not replace any current mechanisms for reporting allegations of misconduct, including mandatory reporting obligations</w:t>
      </w:r>
      <w:r w:rsidR="00276C34" w:rsidRPr="00772762">
        <w:rPr>
          <w:sz w:val="22"/>
          <w:szCs w:val="22"/>
        </w:rPr>
        <w:t>.</w:t>
      </w:r>
    </w:p>
    <w:p w14:paraId="3A34C7B4" w14:textId="77777777" w:rsidR="00D7528F" w:rsidRPr="00772762" w:rsidRDefault="00D7528F" w:rsidP="00D7528F">
      <w:pPr>
        <w:pStyle w:val="ListParagraph"/>
        <w:ind w:left="360"/>
        <w:rPr>
          <w:sz w:val="22"/>
          <w:szCs w:val="22"/>
        </w:rPr>
      </w:pPr>
    </w:p>
    <w:p w14:paraId="0CB0A88E" w14:textId="646E30AD" w:rsidR="00D7528F" w:rsidRPr="00772762" w:rsidRDefault="00D7528F" w:rsidP="000F034C">
      <w:pPr>
        <w:pStyle w:val="ListParagraph"/>
        <w:numPr>
          <w:ilvl w:val="0"/>
          <w:numId w:val="36"/>
        </w:numPr>
        <w:rPr>
          <w:sz w:val="22"/>
          <w:szCs w:val="22"/>
        </w:rPr>
      </w:pPr>
      <w:r w:rsidRPr="00772762">
        <w:rPr>
          <w:sz w:val="22"/>
          <w:szCs w:val="22"/>
        </w:rPr>
        <w:t xml:space="preserve">All ACT employees are expected to be aware of child safety </w:t>
      </w:r>
      <w:proofErr w:type="gramStart"/>
      <w:r w:rsidRPr="00772762">
        <w:rPr>
          <w:sz w:val="22"/>
          <w:szCs w:val="22"/>
        </w:rPr>
        <w:t>issues, and</w:t>
      </w:r>
      <w:proofErr w:type="gramEnd"/>
      <w:r w:rsidRPr="00772762">
        <w:rPr>
          <w:sz w:val="22"/>
          <w:szCs w:val="22"/>
        </w:rPr>
        <w:t xml:space="preserve"> are responsible for ensuring that any allegations of reportable conduct are referred to an appropriate Reportable Conduct Contact Officer.</w:t>
      </w:r>
    </w:p>
    <w:p w14:paraId="7188D240" w14:textId="7A53433F" w:rsidR="00276C34" w:rsidRPr="00276C34" w:rsidRDefault="00EB4EE9" w:rsidP="00276C34">
      <w:pPr>
        <w:keepNext/>
        <w:suppressAutoHyphens/>
        <w:spacing w:before="240" w:after="60" w:line="300" w:lineRule="exact"/>
        <w:outlineLvl w:val="1"/>
        <w:rPr>
          <w:b/>
          <w:color w:val="AB4399"/>
          <w:sz w:val="38"/>
          <w:szCs w:val="36"/>
        </w:rPr>
      </w:pPr>
      <w:bookmarkStart w:id="6" w:name="_Toc111798128"/>
      <w:r>
        <w:rPr>
          <w:b/>
          <w:color w:val="AB4399"/>
          <w:sz w:val="38"/>
          <w:szCs w:val="36"/>
        </w:rPr>
        <w:t xml:space="preserve">Who in my Directorate is </w:t>
      </w:r>
      <w:r w:rsidR="00276C34" w:rsidRPr="00276C34">
        <w:rPr>
          <w:b/>
          <w:color w:val="AB4399"/>
          <w:sz w:val="38"/>
          <w:szCs w:val="36"/>
        </w:rPr>
        <w:t>Responsib</w:t>
      </w:r>
      <w:r>
        <w:rPr>
          <w:b/>
          <w:color w:val="AB4399"/>
          <w:sz w:val="38"/>
          <w:szCs w:val="36"/>
        </w:rPr>
        <w:t>le for Reporting to the Ombudsman?</w:t>
      </w:r>
      <w:bookmarkEnd w:id="6"/>
      <w:r w:rsidR="00276C34" w:rsidRPr="00276C34">
        <w:rPr>
          <w:b/>
          <w:color w:val="AB4399"/>
          <w:sz w:val="38"/>
          <w:szCs w:val="36"/>
        </w:rPr>
        <w:t xml:space="preserve"> </w:t>
      </w:r>
    </w:p>
    <w:p w14:paraId="28F6D89D" w14:textId="27A7DD30" w:rsidR="00276C34" w:rsidRPr="00772762" w:rsidRDefault="00EB4EE9" w:rsidP="000F034C">
      <w:pPr>
        <w:pStyle w:val="ListParagraph"/>
        <w:numPr>
          <w:ilvl w:val="0"/>
          <w:numId w:val="36"/>
        </w:numPr>
        <w:rPr>
          <w:sz w:val="22"/>
          <w:szCs w:val="22"/>
        </w:rPr>
      </w:pPr>
      <w:bookmarkStart w:id="7" w:name="_Hlk50932495"/>
      <w:r w:rsidRPr="00772762">
        <w:rPr>
          <w:sz w:val="22"/>
          <w:szCs w:val="22"/>
        </w:rPr>
        <w:t xml:space="preserve">Reportable Conduct Contact Officers have been appointed in each Directorate for the purposes of managing the implementation of, and ongoing responsibilities under, the scheme. If you are made aware of an allegation of reportable </w:t>
      </w:r>
      <w:proofErr w:type="gramStart"/>
      <w:r w:rsidRPr="00772762">
        <w:rPr>
          <w:sz w:val="22"/>
          <w:szCs w:val="22"/>
        </w:rPr>
        <w:t>conduct</w:t>
      </w:r>
      <w:proofErr w:type="gramEnd"/>
      <w:r w:rsidRPr="00772762">
        <w:rPr>
          <w:sz w:val="22"/>
          <w:szCs w:val="22"/>
        </w:rPr>
        <w:t xml:space="preserve"> you should contact the relevant Reportable Conduct Contact Officer in your Directorate. The current list of Reportable Conduct Contact Officers is located on the </w:t>
      </w:r>
      <w:hyperlink r:id="rId14" w:history="1">
        <w:r w:rsidR="00624D02" w:rsidRPr="00772762">
          <w:rPr>
            <w:rStyle w:val="Hyperlink"/>
            <w:sz w:val="22"/>
            <w:szCs w:val="22"/>
          </w:rPr>
          <w:t>ACTPS Employment Portal</w:t>
        </w:r>
      </w:hyperlink>
      <w:r w:rsidR="00276C34" w:rsidRPr="00772762">
        <w:rPr>
          <w:sz w:val="22"/>
          <w:szCs w:val="22"/>
        </w:rPr>
        <w:t>.</w:t>
      </w:r>
      <w:r w:rsidRPr="00772762">
        <w:rPr>
          <w:sz w:val="22"/>
          <w:szCs w:val="22"/>
        </w:rPr>
        <w:t xml:space="preserve"> </w:t>
      </w:r>
    </w:p>
    <w:p w14:paraId="20E0C026" w14:textId="67F041F9" w:rsidR="00276C34" w:rsidRPr="00276C34" w:rsidRDefault="00EB4EE9" w:rsidP="00276C34">
      <w:pPr>
        <w:keepNext/>
        <w:suppressAutoHyphens/>
        <w:spacing w:before="240" w:after="60" w:line="300" w:lineRule="exact"/>
        <w:outlineLvl w:val="1"/>
        <w:rPr>
          <w:b/>
          <w:color w:val="AB4399"/>
          <w:sz w:val="38"/>
          <w:szCs w:val="36"/>
        </w:rPr>
      </w:pPr>
      <w:bookmarkStart w:id="8" w:name="_Toc111798129"/>
      <w:bookmarkEnd w:id="7"/>
      <w:r>
        <w:rPr>
          <w:b/>
          <w:color w:val="AB4399"/>
          <w:sz w:val="38"/>
          <w:szCs w:val="36"/>
        </w:rPr>
        <w:t>Where do I go for more Information?</w:t>
      </w:r>
      <w:bookmarkEnd w:id="8"/>
    </w:p>
    <w:p w14:paraId="693845B9" w14:textId="49289F45" w:rsidR="00276C34" w:rsidRPr="00772762" w:rsidRDefault="003D7166" w:rsidP="003D7166">
      <w:pPr>
        <w:pStyle w:val="ListParagraph"/>
        <w:numPr>
          <w:ilvl w:val="0"/>
          <w:numId w:val="36"/>
        </w:numPr>
        <w:spacing w:after="0" w:line="240" w:lineRule="auto"/>
        <w:rPr>
          <w:sz w:val="22"/>
          <w:szCs w:val="22"/>
        </w:rPr>
      </w:pPr>
      <w:bookmarkStart w:id="9" w:name="_Hlk50931513"/>
      <w:r w:rsidRPr="00772762">
        <w:rPr>
          <w:sz w:val="22"/>
          <w:szCs w:val="22"/>
        </w:rPr>
        <w:t xml:space="preserve">Further information about the scheme is available on the </w:t>
      </w:r>
      <w:hyperlink r:id="rId15" w:history="1">
        <w:r w:rsidR="00624D02" w:rsidRPr="00772762">
          <w:rPr>
            <w:rStyle w:val="Hyperlink"/>
            <w:sz w:val="22"/>
            <w:szCs w:val="22"/>
          </w:rPr>
          <w:t>ACT Ombudsman</w:t>
        </w:r>
      </w:hyperlink>
      <w:r w:rsidR="00276C34" w:rsidRPr="00772762">
        <w:rPr>
          <w:sz w:val="22"/>
          <w:szCs w:val="22"/>
        </w:rPr>
        <w:t>.</w:t>
      </w:r>
    </w:p>
    <w:p w14:paraId="481D57AA" w14:textId="77777777" w:rsidR="003D7166" w:rsidRPr="00772762" w:rsidRDefault="003D7166" w:rsidP="003D7166">
      <w:pPr>
        <w:pStyle w:val="ListParagraph"/>
        <w:spacing w:after="0" w:line="240" w:lineRule="auto"/>
        <w:ind w:left="360"/>
        <w:rPr>
          <w:sz w:val="22"/>
          <w:szCs w:val="22"/>
        </w:rPr>
      </w:pPr>
    </w:p>
    <w:p w14:paraId="0E406E36" w14:textId="5BE5165B" w:rsidR="003D7166" w:rsidRPr="00772762" w:rsidRDefault="003D7166" w:rsidP="003D7166">
      <w:pPr>
        <w:pStyle w:val="ListParagraph"/>
        <w:numPr>
          <w:ilvl w:val="0"/>
          <w:numId w:val="36"/>
        </w:numPr>
        <w:spacing w:after="0"/>
        <w:rPr>
          <w:sz w:val="22"/>
          <w:szCs w:val="22"/>
        </w:rPr>
      </w:pPr>
      <w:r w:rsidRPr="00772762">
        <w:rPr>
          <w:sz w:val="22"/>
          <w:szCs w:val="22"/>
        </w:rPr>
        <w:t xml:space="preserve">You can also contact the ACT Ombudsman at </w:t>
      </w:r>
      <w:hyperlink r:id="rId16" w:history="1">
        <w:r w:rsidR="00624D02" w:rsidRPr="00772762">
          <w:rPr>
            <w:rStyle w:val="Hyperlink"/>
            <w:sz w:val="22"/>
            <w:szCs w:val="22"/>
          </w:rPr>
          <w:t>act@ombudsman.gov.au</w:t>
        </w:r>
      </w:hyperlink>
      <w:r w:rsidR="00624D02" w:rsidRPr="00772762">
        <w:rPr>
          <w:sz w:val="22"/>
          <w:szCs w:val="22"/>
        </w:rPr>
        <w:t xml:space="preserve"> </w:t>
      </w:r>
      <w:r w:rsidRPr="00772762">
        <w:rPr>
          <w:sz w:val="22"/>
          <w:szCs w:val="22"/>
        </w:rPr>
        <w:t>or the relevant Reportable Conduct Contact Officer in your Directorate.</w:t>
      </w:r>
    </w:p>
    <w:p w14:paraId="24411510" w14:textId="1A735D7A" w:rsidR="00276C34" w:rsidRDefault="00276C34" w:rsidP="00BB2544">
      <w:pPr>
        <w:keepNext/>
        <w:suppressAutoHyphens/>
        <w:spacing w:before="240" w:after="0" w:line="240" w:lineRule="auto"/>
        <w:outlineLvl w:val="1"/>
        <w:rPr>
          <w:b/>
          <w:color w:val="AB4399"/>
          <w:sz w:val="38"/>
          <w:szCs w:val="36"/>
        </w:rPr>
      </w:pPr>
      <w:bookmarkStart w:id="10" w:name="_Toc111798130"/>
      <w:bookmarkEnd w:id="9"/>
      <w:r w:rsidRPr="00276C34">
        <w:rPr>
          <w:b/>
          <w:color w:val="AB4399"/>
          <w:sz w:val="38"/>
          <w:szCs w:val="36"/>
        </w:rPr>
        <w:t>Reference</w:t>
      </w:r>
      <w:bookmarkEnd w:id="10"/>
      <w:r w:rsidR="00772762">
        <w:rPr>
          <w:b/>
          <w:color w:val="AB4399"/>
          <w:sz w:val="38"/>
          <w:szCs w:val="36"/>
        </w:rPr>
        <w:t>s</w:t>
      </w:r>
    </w:p>
    <w:p w14:paraId="5564C157" w14:textId="77777777" w:rsidR="00772762" w:rsidRDefault="00772762" w:rsidP="00783747">
      <w:pPr>
        <w:pStyle w:val="ListParagraph"/>
        <w:numPr>
          <w:ilvl w:val="0"/>
          <w:numId w:val="36"/>
        </w:numPr>
        <w:spacing w:after="0"/>
        <w:rPr>
          <w:sz w:val="22"/>
          <w:szCs w:val="22"/>
        </w:rPr>
      </w:pPr>
      <w:r w:rsidRPr="00772762">
        <w:rPr>
          <w:sz w:val="22"/>
          <w:szCs w:val="22"/>
        </w:rPr>
        <w:t xml:space="preserve">The relevant legislation, policy and employment arrangements underlying this operational guidance are: </w:t>
      </w:r>
    </w:p>
    <w:p w14:paraId="4C4167D3" w14:textId="2C2DE515" w:rsidR="00720082" w:rsidRPr="00772762" w:rsidRDefault="00AD6936" w:rsidP="00772762">
      <w:pPr>
        <w:pStyle w:val="ListParagraph"/>
        <w:numPr>
          <w:ilvl w:val="1"/>
          <w:numId w:val="36"/>
        </w:numPr>
        <w:spacing w:after="0"/>
        <w:rPr>
          <w:i/>
          <w:iCs/>
          <w:sz w:val="22"/>
          <w:szCs w:val="22"/>
        </w:rPr>
      </w:pPr>
      <w:hyperlink r:id="rId17" w:history="1">
        <w:r w:rsidR="00720082" w:rsidRPr="007D74DB">
          <w:rPr>
            <w:rStyle w:val="Hyperlink"/>
            <w:i/>
            <w:iCs/>
            <w:sz w:val="22"/>
            <w:szCs w:val="22"/>
          </w:rPr>
          <w:t>Children and Young People Act 2008</w:t>
        </w:r>
      </w:hyperlink>
    </w:p>
    <w:p w14:paraId="4806FDC8" w14:textId="54D53308" w:rsidR="00720082" w:rsidRPr="00772762" w:rsidRDefault="007D74DB" w:rsidP="00772762">
      <w:pPr>
        <w:pStyle w:val="ListParagraph"/>
        <w:numPr>
          <w:ilvl w:val="1"/>
          <w:numId w:val="36"/>
        </w:numPr>
        <w:spacing w:after="0"/>
        <w:rPr>
          <w:i/>
          <w:iCs/>
          <w:sz w:val="22"/>
          <w:szCs w:val="22"/>
        </w:rPr>
      </w:pPr>
      <w:hyperlink r:id="rId18" w:history="1">
        <w:r w:rsidR="00720082" w:rsidRPr="007D74DB">
          <w:rPr>
            <w:rStyle w:val="Hyperlink"/>
            <w:i/>
            <w:iCs/>
            <w:sz w:val="22"/>
            <w:szCs w:val="22"/>
          </w:rPr>
          <w:t>Ombudsman Act 1989</w:t>
        </w:r>
      </w:hyperlink>
    </w:p>
    <w:p w14:paraId="4CDDD74B" w14:textId="5B68C2D2" w:rsidR="00720082" w:rsidRPr="00772762" w:rsidRDefault="00AD6936" w:rsidP="00772762">
      <w:pPr>
        <w:pStyle w:val="ListParagraph"/>
        <w:numPr>
          <w:ilvl w:val="1"/>
          <w:numId w:val="36"/>
        </w:numPr>
        <w:spacing w:after="0"/>
        <w:rPr>
          <w:i/>
          <w:iCs/>
          <w:sz w:val="22"/>
          <w:szCs w:val="22"/>
        </w:rPr>
      </w:pPr>
      <w:hyperlink r:id="rId19" w:history="1">
        <w:r w:rsidR="00720082" w:rsidRPr="007D74DB">
          <w:rPr>
            <w:rStyle w:val="Hyperlink"/>
            <w:i/>
            <w:iCs/>
            <w:sz w:val="22"/>
            <w:szCs w:val="22"/>
          </w:rPr>
          <w:t>Public Sector Management Act 1994</w:t>
        </w:r>
      </w:hyperlink>
      <w:r w:rsidR="00720082" w:rsidRPr="00772762">
        <w:rPr>
          <w:i/>
          <w:iCs/>
          <w:sz w:val="22"/>
          <w:szCs w:val="22"/>
        </w:rPr>
        <w:t xml:space="preserve"> </w:t>
      </w:r>
    </w:p>
    <w:p w14:paraId="4EDFC8AD" w14:textId="12C7D0E4" w:rsidR="00720082" w:rsidRPr="00772762" w:rsidRDefault="00AD6936" w:rsidP="00772762">
      <w:pPr>
        <w:pStyle w:val="ListParagraph"/>
        <w:numPr>
          <w:ilvl w:val="1"/>
          <w:numId w:val="36"/>
        </w:numPr>
        <w:spacing w:after="0"/>
        <w:rPr>
          <w:i/>
          <w:iCs/>
          <w:sz w:val="22"/>
          <w:szCs w:val="22"/>
        </w:rPr>
      </w:pPr>
      <w:hyperlink r:id="rId20" w:history="1">
        <w:r w:rsidR="00720082" w:rsidRPr="007D74DB">
          <w:rPr>
            <w:rStyle w:val="Hyperlink"/>
            <w:i/>
            <w:iCs/>
            <w:sz w:val="22"/>
            <w:szCs w:val="22"/>
          </w:rPr>
          <w:t>Working With Vulnerable People (Background Checking) Act 2011</w:t>
        </w:r>
      </w:hyperlink>
    </w:p>
    <w:p w14:paraId="7D1A2F27" w14:textId="77777777" w:rsidR="00276C34" w:rsidRPr="00276C34" w:rsidRDefault="00276C34" w:rsidP="00276C34">
      <w:pPr>
        <w:keepNext/>
        <w:suppressAutoHyphens/>
        <w:spacing w:before="240" w:after="60" w:line="300" w:lineRule="exact"/>
        <w:outlineLvl w:val="1"/>
        <w:rPr>
          <w:b/>
          <w:color w:val="AB4399"/>
          <w:sz w:val="38"/>
          <w:szCs w:val="36"/>
        </w:rPr>
      </w:pPr>
      <w:bookmarkStart w:id="11" w:name="_Toc111798131"/>
      <w:r w:rsidRPr="00276C34">
        <w:rPr>
          <w:b/>
          <w:color w:val="AB4399"/>
          <w:sz w:val="38"/>
          <w:szCs w:val="36"/>
        </w:rPr>
        <w:t>Review</w:t>
      </w:r>
      <w:bookmarkEnd w:id="11"/>
    </w:p>
    <w:p w14:paraId="708FF003" w14:textId="007150A8" w:rsidR="00276C34" w:rsidRPr="00A13992" w:rsidRDefault="00772762" w:rsidP="000F034C">
      <w:pPr>
        <w:pStyle w:val="ListParagraph"/>
        <w:numPr>
          <w:ilvl w:val="0"/>
          <w:numId w:val="36"/>
        </w:numPr>
        <w:rPr>
          <w:sz w:val="22"/>
          <w:szCs w:val="22"/>
        </w:rPr>
      </w:pPr>
      <w:r>
        <w:t xml:space="preserve">This policy is due for review where there are changes that affect the operation of the policy, </w:t>
      </w:r>
      <w:proofErr w:type="gramStart"/>
      <w:r>
        <w:t>i.e.</w:t>
      </w:r>
      <w:proofErr w:type="gramEnd"/>
      <w:r>
        <w:t xml:space="preserve"> changes to enterprise agreement provisions.</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843"/>
      </w:tblGrid>
      <w:tr w:rsidR="00276C34" w:rsidRPr="005A2756" w14:paraId="26F0C2CA" w14:textId="77777777" w:rsidTr="00B958A3">
        <w:tc>
          <w:tcPr>
            <w:tcW w:w="4342" w:type="dxa"/>
          </w:tcPr>
          <w:bookmarkEnd w:id="1"/>
          <w:p w14:paraId="5CF7A53D" w14:textId="2FE0A792" w:rsidR="00276C34" w:rsidRPr="005A2756" w:rsidRDefault="008D45CE" w:rsidP="00B958A3">
            <w:pPr>
              <w:tabs>
                <w:tab w:val="left" w:pos="1327"/>
              </w:tabs>
              <w:spacing w:after="0" w:line="240" w:lineRule="auto"/>
              <w:rPr>
                <w:rFonts w:ascii="Calibri" w:eastAsia="Times New Roman" w:hAnsi="Calibri"/>
                <w:sz w:val="20"/>
                <w:szCs w:val="20"/>
                <w:lang w:val="en-US" w:eastAsia="en-US"/>
              </w:rPr>
            </w:pPr>
            <w:r>
              <w:rPr>
                <w:rFonts w:ascii="Calibri" w:eastAsia="Times New Roman" w:hAnsi="Calibri"/>
                <w:sz w:val="20"/>
                <w:szCs w:val="20"/>
                <w:lang w:val="en-US" w:eastAsia="en-US"/>
              </w:rPr>
              <w:t xml:space="preserve">Document Name: </w:t>
            </w:r>
            <w:r w:rsidR="00491031">
              <w:rPr>
                <w:rFonts w:ascii="Calibri" w:eastAsia="Times New Roman" w:hAnsi="Calibri"/>
                <w:sz w:val="20"/>
                <w:szCs w:val="20"/>
                <w:lang w:val="en-US" w:eastAsia="en-US"/>
              </w:rPr>
              <w:t xml:space="preserve">ACTPS </w:t>
            </w:r>
            <w:r w:rsidR="0000121E">
              <w:rPr>
                <w:rFonts w:ascii="Calibri" w:eastAsia="Times New Roman" w:hAnsi="Calibri"/>
                <w:sz w:val="20"/>
                <w:szCs w:val="20"/>
                <w:lang w:val="en-US" w:eastAsia="en-US"/>
              </w:rPr>
              <w:t>Reportable Conduct Policy</w:t>
            </w:r>
          </w:p>
        </w:tc>
        <w:tc>
          <w:tcPr>
            <w:tcW w:w="4843" w:type="dxa"/>
          </w:tcPr>
          <w:p w14:paraId="238B02A2" w14:textId="4D102ECB" w:rsidR="00276C34" w:rsidRPr="005A2756" w:rsidRDefault="00276C34" w:rsidP="00B958A3">
            <w:pPr>
              <w:tabs>
                <w:tab w:val="left" w:pos="1327"/>
              </w:tabs>
              <w:spacing w:after="0" w:line="240" w:lineRule="auto"/>
              <w:rPr>
                <w:rFonts w:ascii="Calibri" w:eastAsia="Times New Roman" w:hAnsi="Calibri"/>
                <w:sz w:val="20"/>
                <w:szCs w:val="20"/>
                <w:lang w:val="en-US" w:eastAsia="en-US"/>
              </w:rPr>
            </w:pPr>
            <w:r w:rsidRPr="005A2756">
              <w:rPr>
                <w:rFonts w:ascii="Calibri" w:eastAsia="Times New Roman" w:hAnsi="Calibri"/>
                <w:sz w:val="20"/>
                <w:szCs w:val="20"/>
                <w:lang w:val="en-US" w:eastAsia="en-US"/>
              </w:rPr>
              <w:t xml:space="preserve">Prepared by: </w:t>
            </w:r>
            <w:r w:rsidR="00F334AD">
              <w:rPr>
                <w:rFonts w:ascii="Calibri" w:eastAsia="Times New Roman" w:hAnsi="Calibri"/>
                <w:sz w:val="20"/>
                <w:szCs w:val="20"/>
                <w:lang w:val="en-US" w:eastAsia="en-US"/>
              </w:rPr>
              <w:t>Industrial Relations and Public Sector Employment, Workforce Capability and Governance, CMTEDD</w:t>
            </w:r>
          </w:p>
        </w:tc>
      </w:tr>
      <w:tr w:rsidR="00276C34" w:rsidRPr="005A2756" w14:paraId="3386D887" w14:textId="77777777" w:rsidTr="00B958A3">
        <w:tc>
          <w:tcPr>
            <w:tcW w:w="4342" w:type="dxa"/>
            <w:tcBorders>
              <w:bottom w:val="single" w:sz="4" w:space="0" w:color="auto"/>
            </w:tcBorders>
          </w:tcPr>
          <w:p w14:paraId="7D6D9339" w14:textId="52164B27" w:rsidR="00276C34" w:rsidRPr="005A2756" w:rsidRDefault="00276C34" w:rsidP="00B958A3">
            <w:pPr>
              <w:tabs>
                <w:tab w:val="left" w:pos="1327"/>
              </w:tabs>
              <w:spacing w:after="0" w:line="240" w:lineRule="auto"/>
              <w:rPr>
                <w:rFonts w:ascii="Calibri" w:eastAsia="Times New Roman" w:hAnsi="Calibri"/>
                <w:sz w:val="20"/>
                <w:szCs w:val="20"/>
                <w:lang w:val="en-US" w:eastAsia="en-US"/>
              </w:rPr>
            </w:pPr>
            <w:r>
              <w:rPr>
                <w:rFonts w:ascii="Calibri" w:eastAsia="Times New Roman" w:hAnsi="Calibri"/>
                <w:sz w:val="20"/>
                <w:szCs w:val="20"/>
                <w:lang w:val="en-US" w:eastAsia="en-US"/>
              </w:rPr>
              <w:t>Policy Number</w:t>
            </w:r>
            <w:r w:rsidRPr="005A2756">
              <w:rPr>
                <w:rFonts w:ascii="Calibri" w:eastAsia="Times New Roman" w:hAnsi="Calibri"/>
                <w:sz w:val="20"/>
                <w:szCs w:val="20"/>
                <w:lang w:val="en-US" w:eastAsia="en-US"/>
              </w:rPr>
              <w:t xml:space="preserve">: </w:t>
            </w:r>
            <w:r w:rsidR="00491031" w:rsidRPr="00491031">
              <w:rPr>
                <w:rFonts w:ascii="Calibri" w:eastAsia="Times New Roman" w:hAnsi="Calibri"/>
                <w:sz w:val="20"/>
                <w:szCs w:val="20"/>
                <w:lang w:val="en-US" w:eastAsia="en-US"/>
              </w:rPr>
              <w:t>42/2022</w:t>
            </w:r>
          </w:p>
        </w:tc>
        <w:tc>
          <w:tcPr>
            <w:tcW w:w="4843" w:type="dxa"/>
            <w:tcBorders>
              <w:bottom w:val="single" w:sz="4" w:space="0" w:color="auto"/>
            </w:tcBorders>
          </w:tcPr>
          <w:p w14:paraId="6FB5FBB9" w14:textId="58ED438C" w:rsidR="00276C34" w:rsidRPr="005A2756" w:rsidRDefault="00276C34" w:rsidP="00B958A3">
            <w:pPr>
              <w:tabs>
                <w:tab w:val="left" w:pos="1327"/>
              </w:tabs>
              <w:spacing w:after="0" w:line="240" w:lineRule="auto"/>
              <w:rPr>
                <w:rFonts w:ascii="Calibri" w:eastAsia="Times New Roman" w:hAnsi="Calibri"/>
                <w:sz w:val="20"/>
                <w:szCs w:val="20"/>
                <w:lang w:val="en-US" w:eastAsia="en-US"/>
              </w:rPr>
            </w:pPr>
            <w:r w:rsidRPr="005A2756">
              <w:rPr>
                <w:rFonts w:ascii="Calibri" w:eastAsia="Times New Roman" w:hAnsi="Calibri"/>
                <w:sz w:val="20"/>
                <w:szCs w:val="20"/>
                <w:lang w:val="en-US" w:eastAsia="en-US"/>
              </w:rPr>
              <w:t xml:space="preserve">Feedback to: </w:t>
            </w:r>
            <w:hyperlink r:id="rId21" w:history="1">
              <w:r w:rsidR="00731016" w:rsidRPr="00731016">
                <w:rPr>
                  <w:rStyle w:val="Hyperlink"/>
                  <w:rFonts w:ascii="Calibri" w:eastAsia="Times New Roman" w:hAnsi="Calibri"/>
                  <w:iCs/>
                  <w:sz w:val="20"/>
                  <w:szCs w:val="20"/>
                  <w:lang w:val="en-US" w:eastAsia="en-US"/>
                </w:rPr>
                <w:t>eba@act.gov.au</w:t>
              </w:r>
            </w:hyperlink>
            <w:r w:rsidR="00731016">
              <w:rPr>
                <w:rFonts w:ascii="Calibri" w:eastAsia="Times New Roman" w:hAnsi="Calibri"/>
                <w:i/>
                <w:sz w:val="20"/>
                <w:szCs w:val="20"/>
                <w:lang w:val="en-US" w:eastAsia="en-US"/>
              </w:rPr>
              <w:t xml:space="preserve"> </w:t>
            </w:r>
          </w:p>
        </w:tc>
      </w:tr>
      <w:tr w:rsidR="00276C34" w:rsidRPr="005A2756" w14:paraId="6B00CC8E" w14:textId="77777777" w:rsidTr="00772762">
        <w:trPr>
          <w:trHeight w:val="189"/>
        </w:trPr>
        <w:tc>
          <w:tcPr>
            <w:tcW w:w="4342" w:type="dxa"/>
            <w:tcBorders>
              <w:bottom w:val="single" w:sz="4" w:space="0" w:color="auto"/>
              <w:right w:val="single" w:sz="4" w:space="0" w:color="auto"/>
            </w:tcBorders>
          </w:tcPr>
          <w:p w14:paraId="572D714F" w14:textId="17289E74" w:rsidR="00276C34" w:rsidRPr="005A2756" w:rsidRDefault="00276C34" w:rsidP="00B958A3">
            <w:pPr>
              <w:tabs>
                <w:tab w:val="left" w:pos="1327"/>
              </w:tabs>
              <w:spacing w:after="0" w:line="240" w:lineRule="auto"/>
              <w:rPr>
                <w:rFonts w:ascii="Calibri" w:eastAsia="Times New Roman" w:hAnsi="Calibri"/>
                <w:sz w:val="20"/>
                <w:szCs w:val="20"/>
                <w:lang w:val="en-US" w:eastAsia="en-US"/>
              </w:rPr>
            </w:pPr>
            <w:r w:rsidRPr="005A2756">
              <w:rPr>
                <w:rFonts w:ascii="Calibri" w:eastAsia="Times New Roman" w:hAnsi="Calibri"/>
                <w:sz w:val="20"/>
                <w:szCs w:val="20"/>
                <w:lang w:val="en-US" w:eastAsia="en-US"/>
              </w:rPr>
              <w:t>Issue Date:</w:t>
            </w:r>
            <w:r>
              <w:rPr>
                <w:rFonts w:ascii="Calibri" w:eastAsia="Times New Roman" w:hAnsi="Calibri"/>
                <w:sz w:val="20"/>
                <w:szCs w:val="20"/>
                <w:lang w:val="en-US" w:eastAsia="en-US"/>
              </w:rPr>
              <w:t xml:space="preserve"> </w:t>
            </w:r>
            <w:r w:rsidR="00731016">
              <w:rPr>
                <w:rFonts w:ascii="Calibri" w:eastAsia="Times New Roman" w:hAnsi="Calibri"/>
                <w:sz w:val="20"/>
                <w:szCs w:val="20"/>
                <w:lang w:val="en-US" w:eastAsia="en-US"/>
              </w:rPr>
              <w:t xml:space="preserve">20 June </w:t>
            </w:r>
            <w:r w:rsidR="0000121E">
              <w:rPr>
                <w:rFonts w:ascii="Calibri" w:eastAsia="Times New Roman" w:hAnsi="Calibri"/>
                <w:sz w:val="20"/>
                <w:szCs w:val="20"/>
                <w:lang w:val="en-US" w:eastAsia="en-US"/>
              </w:rPr>
              <w:t>2017</w:t>
            </w:r>
          </w:p>
        </w:tc>
        <w:tc>
          <w:tcPr>
            <w:tcW w:w="4843" w:type="dxa"/>
            <w:tcBorders>
              <w:left w:val="single" w:sz="4" w:space="0" w:color="auto"/>
              <w:bottom w:val="single" w:sz="4" w:space="0" w:color="auto"/>
            </w:tcBorders>
          </w:tcPr>
          <w:p w14:paraId="0560BB5F" w14:textId="1478F554" w:rsidR="00276C34" w:rsidRPr="005A2756" w:rsidRDefault="00276C34" w:rsidP="00B958A3">
            <w:pPr>
              <w:tabs>
                <w:tab w:val="left" w:pos="1327"/>
              </w:tabs>
              <w:spacing w:after="0" w:line="240" w:lineRule="auto"/>
              <w:rPr>
                <w:rFonts w:ascii="Calibri" w:eastAsia="Times New Roman" w:hAnsi="Calibri"/>
                <w:sz w:val="20"/>
                <w:szCs w:val="20"/>
                <w:lang w:val="en-US" w:eastAsia="en-US"/>
              </w:rPr>
            </w:pPr>
            <w:r w:rsidRPr="005A2756">
              <w:rPr>
                <w:rFonts w:ascii="Calibri" w:eastAsia="Times New Roman" w:hAnsi="Calibri"/>
                <w:sz w:val="20"/>
                <w:szCs w:val="20"/>
                <w:lang w:val="en-US" w:eastAsia="en-US"/>
              </w:rPr>
              <w:t>Review Date:</w:t>
            </w:r>
            <w:r>
              <w:rPr>
                <w:rFonts w:ascii="Calibri" w:eastAsia="Times New Roman" w:hAnsi="Calibri"/>
                <w:sz w:val="20"/>
                <w:szCs w:val="20"/>
                <w:lang w:val="en-US" w:eastAsia="en-US"/>
              </w:rPr>
              <w:t xml:space="preserve"> </w:t>
            </w:r>
            <w:r w:rsidR="00772762">
              <w:t>In line with changes to enterprise agreements</w:t>
            </w:r>
          </w:p>
        </w:tc>
      </w:tr>
    </w:tbl>
    <w:p w14:paraId="18B44166" w14:textId="77777777" w:rsidR="00276C34" w:rsidRPr="004D5A4D" w:rsidRDefault="00276C34" w:rsidP="00276C34">
      <w:pPr>
        <w:rPr>
          <w:rFonts w:ascii="Calibri" w:hAnsi="Calibri" w:cs="Arial"/>
        </w:rPr>
      </w:pPr>
    </w:p>
    <w:p w14:paraId="563DA96A" w14:textId="6AAFAD7C" w:rsidR="00276C34" w:rsidRDefault="00276C34" w:rsidP="00276C34">
      <w:pPr>
        <w:keepNext/>
        <w:suppressAutoHyphens/>
        <w:spacing w:before="240" w:after="60" w:line="300" w:lineRule="exact"/>
        <w:outlineLvl w:val="1"/>
        <w:rPr>
          <w:b/>
          <w:color w:val="AB4399"/>
          <w:sz w:val="38"/>
          <w:szCs w:val="36"/>
        </w:rPr>
      </w:pPr>
      <w:bookmarkStart w:id="12" w:name="_Toc111798132"/>
      <w:r w:rsidRPr="00276C34">
        <w:rPr>
          <w:b/>
          <w:color w:val="AB4399"/>
          <w:sz w:val="38"/>
          <w:szCs w:val="36"/>
        </w:rPr>
        <w:t>Approval Authority</w:t>
      </w:r>
      <w:bookmarkEnd w:id="12"/>
    </w:p>
    <w:p w14:paraId="7BE6A3D1" w14:textId="77777777" w:rsidR="00BB2544" w:rsidRDefault="00BB2544" w:rsidP="00C41301">
      <w:pPr>
        <w:spacing w:after="0"/>
      </w:pPr>
      <w:r>
        <w:t xml:space="preserve">Bronwen Overton-Clarke </w:t>
      </w:r>
    </w:p>
    <w:p w14:paraId="033DB3A6" w14:textId="77777777" w:rsidR="00BB2544" w:rsidRDefault="00BB2544" w:rsidP="00C41301">
      <w:pPr>
        <w:spacing w:after="0"/>
      </w:pPr>
      <w:r>
        <w:t>Deputy Director General</w:t>
      </w:r>
    </w:p>
    <w:p w14:paraId="63A5E689" w14:textId="4FCBA113" w:rsidR="00BB2544" w:rsidRDefault="00BB2544" w:rsidP="00C41301">
      <w:pPr>
        <w:spacing w:after="0"/>
      </w:pPr>
      <w:r>
        <w:t>Workforce Capability and Governance Division</w:t>
      </w:r>
    </w:p>
    <w:p w14:paraId="4FB36D2D" w14:textId="51EF4300" w:rsidR="00A14904" w:rsidRDefault="00BB2544" w:rsidP="00C41301">
      <w:pPr>
        <w:spacing w:after="0"/>
      </w:pPr>
      <w:r>
        <w:t>Chief Minister Treasury and Economic development Division</w:t>
      </w:r>
    </w:p>
    <w:p w14:paraId="1B2635C7" w14:textId="52155E92" w:rsidR="00A14904" w:rsidRDefault="00772762" w:rsidP="00C41301">
      <w:pPr>
        <w:spacing w:after="0"/>
      </w:pPr>
      <w:r>
        <w:t>O</w:t>
      </w:r>
      <w:r w:rsidR="00BB2544">
        <w:t>n behalf of Kathy Leigh Head of Service</w:t>
      </w:r>
    </w:p>
    <w:p w14:paraId="709F5CA3" w14:textId="18D9DABD" w:rsidR="00BB2544" w:rsidRPr="00276C34" w:rsidRDefault="00BB2544" w:rsidP="00C41301">
      <w:pPr>
        <w:spacing w:after="0"/>
        <w:rPr>
          <w:b/>
          <w:color w:val="AB4399"/>
          <w:sz w:val="38"/>
          <w:szCs w:val="36"/>
        </w:rPr>
      </w:pPr>
      <w:r>
        <w:t>20 June 2017</w:t>
      </w:r>
    </w:p>
    <w:p w14:paraId="6A13FC88" w14:textId="1BCBDBEE" w:rsidR="00F334AD" w:rsidRDefault="00F334AD" w:rsidP="00C41301">
      <w:pPr>
        <w:pStyle w:val="ListParagraph"/>
        <w:spacing w:after="0"/>
        <w:ind w:left="360"/>
        <w:rPr>
          <w:sz w:val="22"/>
          <w:szCs w:val="22"/>
        </w:rPr>
      </w:pPr>
    </w:p>
    <w:p w14:paraId="7F0F0759" w14:textId="0FA83F60" w:rsidR="00A56436" w:rsidRDefault="00783747" w:rsidP="00860B3E">
      <w:pPr>
        <w:spacing w:line="276" w:lineRule="auto"/>
      </w:pPr>
      <w:r>
        <w:rPr>
          <w:noProof/>
        </w:rPr>
        <w:lastRenderedPageBreak/>
        <w:drawing>
          <wp:anchor distT="0" distB="0" distL="114300" distR="114300" simplePos="0" relativeHeight="251681792" behindDoc="1" locked="0" layoutInCell="1" allowOverlap="1" wp14:anchorId="70577478" wp14:editId="7EF7C962">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7628255" cy="10789920"/>
                    </a:xfrm>
                    <a:prstGeom prst="rect">
                      <a:avLst/>
                    </a:prstGeom>
                    <a:noFill/>
                  </pic:spPr>
                </pic:pic>
              </a:graphicData>
            </a:graphic>
            <wp14:sizeRelH relativeFrom="margin">
              <wp14:pctWidth>0</wp14:pctWidth>
            </wp14:sizeRelH>
            <wp14:sizeRelV relativeFrom="margin">
              <wp14:pctHeight>0</wp14:pctHeight>
            </wp14:sizeRelV>
          </wp:anchor>
        </w:drawing>
      </w:r>
      <w:bookmarkStart w:id="13" w:name="_Toc457377884"/>
      <w:bookmarkEnd w:id="13"/>
    </w:p>
    <w:p w14:paraId="7E99D05F" w14:textId="77777777" w:rsidR="00B70B52" w:rsidRDefault="00B70B52">
      <w:pPr>
        <w:spacing w:line="276" w:lineRule="auto"/>
        <w:rPr>
          <w:rFonts w:eastAsia="TimesNewRomanPS-ItalicMT"/>
        </w:rPr>
      </w:pPr>
    </w:p>
    <w:p w14:paraId="6DDBD434" w14:textId="77777777" w:rsidR="007903B1" w:rsidRDefault="007903B1">
      <w:pPr>
        <w:spacing w:line="276" w:lineRule="auto"/>
        <w:rPr>
          <w:rFonts w:eastAsia="TimesNewRomanPS-ItalicMT"/>
        </w:rPr>
      </w:pPr>
    </w:p>
    <w:p w14:paraId="2568CD4C" w14:textId="77777777" w:rsidR="007D5985" w:rsidRPr="003B2710" w:rsidRDefault="007D5985" w:rsidP="007D5985">
      <w:pPr>
        <w:rPr>
          <w:rFonts w:eastAsia="TimesNewRomanPS-ItalicMT"/>
        </w:rPr>
      </w:pPr>
    </w:p>
    <w:bookmarkStart w:id="14" w:name="_Toc111798133"/>
    <w:p w14:paraId="4098A092" w14:textId="29DA7AC2" w:rsidR="00632F54" w:rsidRPr="00632F54" w:rsidRDefault="006B6D45" w:rsidP="00632F54">
      <w:pPr>
        <w:pStyle w:val="Heading2"/>
      </w:pPr>
      <w:r>
        <w:rPr>
          <w:noProof/>
        </w:rPr>
        <mc:AlternateContent>
          <mc:Choice Requires="wps">
            <w:drawing>
              <wp:anchor distT="0" distB="0" distL="114300" distR="114300" simplePos="0" relativeHeight="251661312" behindDoc="0" locked="0" layoutInCell="1" allowOverlap="1" wp14:anchorId="21F6C681" wp14:editId="1BD73B35">
                <wp:simplePos x="0" y="0"/>
                <wp:positionH relativeFrom="margin">
                  <wp:align>left</wp:align>
                </wp:positionH>
                <wp:positionV relativeFrom="page">
                  <wp:posOffset>8998226</wp:posOffset>
                </wp:positionV>
                <wp:extent cx="3458817" cy="91694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17"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58AD" w14:textId="55D4CA05" w:rsidR="00246AAC" w:rsidRPr="003D4DBC" w:rsidRDefault="006B6D45" w:rsidP="000016B9">
                            <w:pPr>
                              <w:pStyle w:val="Intro"/>
                              <w:rPr>
                                <w:color w:val="FFFFFF" w:themeColor="background1"/>
                              </w:rPr>
                            </w:pPr>
                            <w:r>
                              <w:rPr>
                                <w:color w:val="FFFFFF" w:themeColor="background1"/>
                              </w:rPr>
                              <w:t>WORKFORCE CAPABILITY AND GOVERNANCE,</w:t>
                            </w:r>
                            <w:r w:rsidRPr="003D4DBC">
                              <w:rPr>
                                <w:color w:val="FFFFFF" w:themeColor="background1"/>
                              </w:rPr>
                              <w:t xml:space="preserve"> </w:t>
                            </w:r>
                            <w:r w:rsidR="00246AAC" w:rsidRPr="003D4DBC">
                              <w:rPr>
                                <w:color w:val="FFFFFF" w:themeColor="background1"/>
                              </w:rPr>
                              <w:br/>
                            </w:r>
                            <w:r>
                              <w:rPr>
                                <w:color w:val="FFFFFF" w:themeColor="background1"/>
                              </w:rPr>
                              <w:t>CMTEDD</w:t>
                            </w:r>
                          </w:p>
                          <w:p w14:paraId="18CCF10B" w14:textId="576A3D7F" w:rsidR="00246AAC" w:rsidRPr="003D4DBC" w:rsidRDefault="00491031" w:rsidP="000016B9">
                            <w:pPr>
                              <w:pStyle w:val="Intro"/>
                              <w:rPr>
                                <w:color w:val="FFFFFF" w:themeColor="background1"/>
                              </w:rPr>
                            </w:pPr>
                            <w:r>
                              <w:rPr>
                                <w:color w:val="FFFFFF" w:themeColor="background1"/>
                              </w:rPr>
                              <w:t>June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F6C681" id="Text Box 7" o:spid="_x0000_s1028" type="#_x0000_t202" style="position:absolute;margin-left:0;margin-top:708.5pt;width:272.35pt;height:72.2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" filled="f" stroked="f">
                <v:textbox style="mso-fit-shape-to-text:t">
                  <w:txbxContent>
                    <w:p w14:paraId="7EEE58AD" w14:textId="55D4CA05" w:rsidR="00246AAC" w:rsidRPr="003D4DBC" w:rsidRDefault="006B6D45" w:rsidP="000016B9">
                      <w:pPr>
                        <w:pStyle w:val="Intro"/>
                        <w:rPr>
                          <w:color w:val="FFFFFF" w:themeColor="background1"/>
                        </w:rPr>
                      </w:pPr>
                      <w:r>
                        <w:rPr>
                          <w:color w:val="FFFFFF" w:themeColor="background1"/>
                        </w:rPr>
                        <w:t>WORKFORCE CAPABILITY AND GOVERNANCE,</w:t>
                      </w:r>
                      <w:r w:rsidRPr="003D4DBC">
                        <w:rPr>
                          <w:color w:val="FFFFFF" w:themeColor="background1"/>
                        </w:rPr>
                        <w:t xml:space="preserve"> </w:t>
                      </w:r>
                      <w:r w:rsidR="00246AAC" w:rsidRPr="003D4DBC">
                        <w:rPr>
                          <w:color w:val="FFFFFF" w:themeColor="background1"/>
                        </w:rPr>
                        <w:br/>
                      </w:r>
                      <w:r>
                        <w:rPr>
                          <w:color w:val="FFFFFF" w:themeColor="background1"/>
                        </w:rPr>
                        <w:t>CMTEDD</w:t>
                      </w:r>
                    </w:p>
                    <w:p w14:paraId="18CCF10B" w14:textId="576A3D7F" w:rsidR="00246AAC" w:rsidRPr="003D4DBC" w:rsidRDefault="00491031" w:rsidP="000016B9">
                      <w:pPr>
                        <w:pStyle w:val="Intro"/>
                        <w:rPr>
                          <w:color w:val="FFFFFF" w:themeColor="background1"/>
                        </w:rPr>
                      </w:pPr>
                      <w:r>
                        <w:rPr>
                          <w:color w:val="FFFFFF" w:themeColor="background1"/>
                        </w:rPr>
                        <w:t>June 2017</w:t>
                      </w:r>
                    </w:p>
                  </w:txbxContent>
                </v:textbox>
                <w10:wrap anchorx="margin" anchory="page"/>
              </v:shape>
            </w:pict>
          </mc:Fallback>
        </mc:AlternateContent>
      </w:r>
      <w:r w:rsidR="00496C0F">
        <w:rPr>
          <w:noProof/>
        </w:rPr>
        <w:drawing>
          <wp:anchor distT="0" distB="0" distL="114300" distR="114300" simplePos="0" relativeHeight="251658240" behindDoc="0" locked="0" layoutInCell="1" allowOverlap="1" wp14:anchorId="60196590" wp14:editId="3E8D4080">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bookmarkEnd w:id="14"/>
      <w:r w:rsidR="00496C0F">
        <w:t xml:space="preserve"> </w:t>
      </w:r>
    </w:p>
    <w:sectPr w:rsidR="00632F54" w:rsidRPr="00632F54" w:rsidSect="005115E8">
      <w:headerReference w:type="default" r:id="rId23"/>
      <w:footerReference w:type="default" r:id="rId24"/>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DDD6" w14:textId="77777777" w:rsidR="00FA7377" w:rsidRDefault="00FA7377" w:rsidP="00665B9F">
      <w:pPr>
        <w:spacing w:after="0" w:line="240" w:lineRule="auto"/>
      </w:pPr>
      <w:r>
        <w:separator/>
      </w:r>
    </w:p>
  </w:endnote>
  <w:endnote w:type="continuationSeparator" w:id="0">
    <w:p w14:paraId="419DD604" w14:textId="77777777" w:rsidR="00FA7377" w:rsidRDefault="00FA7377"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0BA2" w14:textId="7B6280D8" w:rsidR="00246AAC" w:rsidRPr="006B6D45" w:rsidRDefault="00491031" w:rsidP="0076799B">
    <w:pPr>
      <w:pStyle w:val="Intro"/>
      <w:tabs>
        <w:tab w:val="right" w:pos="8789"/>
        <w:tab w:val="right" w:pos="9070"/>
      </w:tabs>
      <w:rPr>
        <w:color w:val="auto"/>
      </w:rPr>
    </w:pPr>
    <w:r>
      <w:rPr>
        <w:sz w:val="18"/>
        <w:szCs w:val="18"/>
      </w:rPr>
      <w:t xml:space="preserve">ACTPS </w:t>
    </w:r>
    <w:r w:rsidR="0042593B">
      <w:rPr>
        <w:sz w:val="18"/>
        <w:szCs w:val="18"/>
      </w:rPr>
      <w:t xml:space="preserve">Reportable Conduct Policy </w:t>
    </w:r>
    <w:r w:rsidR="00246AAC" w:rsidRPr="006B6D45">
      <w:rPr>
        <w:noProof/>
        <w:color w:val="auto"/>
        <w:sz w:val="18"/>
        <w:szCs w:val="18"/>
      </w:rPr>
      <mc:AlternateContent>
        <mc:Choice Requires="wps">
          <w:drawing>
            <wp:anchor distT="0" distB="0" distL="114300" distR="114300" simplePos="0" relativeHeight="251658240" behindDoc="0" locked="0" layoutInCell="1" allowOverlap="1" wp14:anchorId="1CE27CE4" wp14:editId="37DE056E">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0FAE8"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"/>
          </w:pict>
        </mc:Fallback>
      </mc:AlternateContent>
    </w:r>
    <w:r w:rsidR="00246AAC" w:rsidRPr="006B6D45">
      <w:rPr>
        <w:color w:val="auto"/>
      </w:rPr>
      <w:tab/>
    </w:r>
    <w:r w:rsidR="00246AAC" w:rsidRPr="006B6D45">
      <w:rPr>
        <w:color w:val="auto"/>
        <w:sz w:val="20"/>
        <w:szCs w:val="20"/>
      </w:rPr>
      <w:fldChar w:fldCharType="begin"/>
    </w:r>
    <w:r w:rsidR="00246AAC" w:rsidRPr="006B6D45">
      <w:rPr>
        <w:color w:val="auto"/>
        <w:sz w:val="20"/>
        <w:szCs w:val="20"/>
      </w:rPr>
      <w:instrText xml:space="preserve"> PAGE   \* MERGEFORMAT </w:instrText>
    </w:r>
    <w:r w:rsidR="00246AAC" w:rsidRPr="006B6D45">
      <w:rPr>
        <w:color w:val="auto"/>
        <w:sz w:val="20"/>
        <w:szCs w:val="20"/>
      </w:rPr>
      <w:fldChar w:fldCharType="separate"/>
    </w:r>
    <w:r w:rsidR="00EF63A6" w:rsidRPr="006B6D45">
      <w:rPr>
        <w:noProof/>
        <w:color w:val="auto"/>
        <w:sz w:val="20"/>
        <w:szCs w:val="20"/>
      </w:rPr>
      <w:t>1</w:t>
    </w:r>
    <w:r w:rsidR="00246AAC" w:rsidRPr="006B6D45">
      <w:rPr>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A94C" w14:textId="77777777" w:rsidR="00FA7377" w:rsidRDefault="00FA7377" w:rsidP="00665B9F">
      <w:pPr>
        <w:spacing w:after="0" w:line="240" w:lineRule="auto"/>
      </w:pPr>
      <w:r>
        <w:separator/>
      </w:r>
    </w:p>
  </w:footnote>
  <w:footnote w:type="continuationSeparator" w:id="0">
    <w:p w14:paraId="63C03E86" w14:textId="77777777" w:rsidR="00FA7377" w:rsidRDefault="00FA7377"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9989" w14:textId="77777777" w:rsidR="00246AAC" w:rsidRPr="006046FF" w:rsidRDefault="00246AAC"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6533E532" wp14:editId="12ECAE2C">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B262E35"/>
    <w:multiLevelType w:val="hybridMultilevel"/>
    <w:tmpl w:val="74789F32"/>
    <w:lvl w:ilvl="0" w:tplc="E056D1D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464C2797"/>
    <w:multiLevelType w:val="multilevel"/>
    <w:tmpl w:val="274E4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4"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8"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E7E4065"/>
    <w:multiLevelType w:val="hybridMultilevel"/>
    <w:tmpl w:val="2BC81E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1061DF"/>
    <w:multiLevelType w:val="hybridMultilevel"/>
    <w:tmpl w:val="95E029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E53A3A"/>
    <w:multiLevelType w:val="multilevel"/>
    <w:tmpl w:val="028C3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6EC132FA"/>
    <w:multiLevelType w:val="hybridMultilevel"/>
    <w:tmpl w:val="4AC626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FE289C"/>
    <w:multiLevelType w:val="hybridMultilevel"/>
    <w:tmpl w:val="7F6008F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2"/>
  </w:num>
  <w:num w:numId="4">
    <w:abstractNumId w:val="27"/>
  </w:num>
  <w:num w:numId="5">
    <w:abstractNumId w:val="22"/>
  </w:num>
  <w:num w:numId="6">
    <w:abstractNumId w:val="16"/>
  </w:num>
  <w:num w:numId="7">
    <w:abstractNumId w:val="35"/>
  </w:num>
  <w:num w:numId="8">
    <w:abstractNumId w:val="19"/>
  </w:num>
  <w:num w:numId="9">
    <w:abstractNumId w:val="11"/>
  </w:num>
  <w:num w:numId="10">
    <w:abstractNumId w:val="23"/>
  </w:num>
  <w:num w:numId="11">
    <w:abstractNumId w:val="17"/>
  </w:num>
  <w:num w:numId="12">
    <w:abstractNumId w:val="28"/>
  </w:num>
  <w:num w:numId="13">
    <w:abstractNumId w:val="13"/>
  </w:num>
  <w:num w:numId="14">
    <w:abstractNumId w:val="18"/>
  </w:num>
  <w:num w:numId="15">
    <w:abstractNumId w:val="20"/>
  </w:num>
  <w:num w:numId="16">
    <w:abstractNumId w:val="12"/>
  </w:num>
  <w:num w:numId="17">
    <w:abstractNumId w:val="15"/>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4"/>
  </w:num>
  <w:num w:numId="31">
    <w:abstractNumId w:val="30"/>
  </w:num>
  <w:num w:numId="32">
    <w:abstractNumId w:val="29"/>
  </w:num>
  <w:num w:numId="33">
    <w:abstractNumId w:val="14"/>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77"/>
    <w:rsid w:val="0000121E"/>
    <w:rsid w:val="000016B9"/>
    <w:rsid w:val="000068D5"/>
    <w:rsid w:val="0002216A"/>
    <w:rsid w:val="00030790"/>
    <w:rsid w:val="00030CC1"/>
    <w:rsid w:val="00034546"/>
    <w:rsid w:val="00036B92"/>
    <w:rsid w:val="000419C1"/>
    <w:rsid w:val="00043B50"/>
    <w:rsid w:val="000446A5"/>
    <w:rsid w:val="0005196D"/>
    <w:rsid w:val="000650AF"/>
    <w:rsid w:val="00065CEA"/>
    <w:rsid w:val="00070067"/>
    <w:rsid w:val="0007453E"/>
    <w:rsid w:val="00076803"/>
    <w:rsid w:val="00090A83"/>
    <w:rsid w:val="000A2FFC"/>
    <w:rsid w:val="000A5488"/>
    <w:rsid w:val="000A6B63"/>
    <w:rsid w:val="000B13CB"/>
    <w:rsid w:val="000C3F1E"/>
    <w:rsid w:val="000C6C34"/>
    <w:rsid w:val="000F034C"/>
    <w:rsid w:val="000F5CCD"/>
    <w:rsid w:val="000F5D86"/>
    <w:rsid w:val="0011798B"/>
    <w:rsid w:val="001478B7"/>
    <w:rsid w:val="0015010B"/>
    <w:rsid w:val="00152EB7"/>
    <w:rsid w:val="0016080C"/>
    <w:rsid w:val="001623DE"/>
    <w:rsid w:val="001647F4"/>
    <w:rsid w:val="001912A2"/>
    <w:rsid w:val="001966FA"/>
    <w:rsid w:val="00197666"/>
    <w:rsid w:val="001A0139"/>
    <w:rsid w:val="001A0956"/>
    <w:rsid w:val="001C1FF2"/>
    <w:rsid w:val="001E7690"/>
    <w:rsid w:val="001E76BA"/>
    <w:rsid w:val="002009BA"/>
    <w:rsid w:val="00203525"/>
    <w:rsid w:val="00214A8E"/>
    <w:rsid w:val="00215465"/>
    <w:rsid w:val="002433DF"/>
    <w:rsid w:val="00246AAC"/>
    <w:rsid w:val="002479CE"/>
    <w:rsid w:val="002723C7"/>
    <w:rsid w:val="00276C34"/>
    <w:rsid w:val="00281CAD"/>
    <w:rsid w:val="002846D8"/>
    <w:rsid w:val="0029668D"/>
    <w:rsid w:val="002A0832"/>
    <w:rsid w:val="002A093C"/>
    <w:rsid w:val="002A5458"/>
    <w:rsid w:val="002A585F"/>
    <w:rsid w:val="002C6B74"/>
    <w:rsid w:val="002D33BC"/>
    <w:rsid w:val="002D6623"/>
    <w:rsid w:val="002E7655"/>
    <w:rsid w:val="002F3300"/>
    <w:rsid w:val="003010B0"/>
    <w:rsid w:val="003238CE"/>
    <w:rsid w:val="003439ED"/>
    <w:rsid w:val="00351A76"/>
    <w:rsid w:val="00354F6D"/>
    <w:rsid w:val="003633F5"/>
    <w:rsid w:val="00376A58"/>
    <w:rsid w:val="003A641C"/>
    <w:rsid w:val="003B13F4"/>
    <w:rsid w:val="003D4DBC"/>
    <w:rsid w:val="003D7166"/>
    <w:rsid w:val="00411A3D"/>
    <w:rsid w:val="0042593B"/>
    <w:rsid w:val="004439BD"/>
    <w:rsid w:val="004502A1"/>
    <w:rsid w:val="00452B15"/>
    <w:rsid w:val="004563B4"/>
    <w:rsid w:val="00462EA4"/>
    <w:rsid w:val="00481CE3"/>
    <w:rsid w:val="00482E0B"/>
    <w:rsid w:val="00491031"/>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3763A"/>
    <w:rsid w:val="005638F1"/>
    <w:rsid w:val="005654E8"/>
    <w:rsid w:val="00576D35"/>
    <w:rsid w:val="00577AA3"/>
    <w:rsid w:val="0058377A"/>
    <w:rsid w:val="00586AC8"/>
    <w:rsid w:val="005A60DB"/>
    <w:rsid w:val="005B369E"/>
    <w:rsid w:val="005C54B5"/>
    <w:rsid w:val="005C72CC"/>
    <w:rsid w:val="005E5305"/>
    <w:rsid w:val="006046FF"/>
    <w:rsid w:val="00622565"/>
    <w:rsid w:val="00624D02"/>
    <w:rsid w:val="0063036E"/>
    <w:rsid w:val="00632F54"/>
    <w:rsid w:val="00633AF4"/>
    <w:rsid w:val="00635C80"/>
    <w:rsid w:val="006515F5"/>
    <w:rsid w:val="006610FF"/>
    <w:rsid w:val="00665B9F"/>
    <w:rsid w:val="00680C6F"/>
    <w:rsid w:val="00685229"/>
    <w:rsid w:val="006875BB"/>
    <w:rsid w:val="0069624A"/>
    <w:rsid w:val="006A2843"/>
    <w:rsid w:val="006A6360"/>
    <w:rsid w:val="006B6D45"/>
    <w:rsid w:val="006C1037"/>
    <w:rsid w:val="006D2273"/>
    <w:rsid w:val="006D5CDC"/>
    <w:rsid w:val="006F7929"/>
    <w:rsid w:val="00720082"/>
    <w:rsid w:val="0073089A"/>
    <w:rsid w:val="00731016"/>
    <w:rsid w:val="00731AE2"/>
    <w:rsid w:val="00752EAD"/>
    <w:rsid w:val="0076392F"/>
    <w:rsid w:val="0076799B"/>
    <w:rsid w:val="00772762"/>
    <w:rsid w:val="00783747"/>
    <w:rsid w:val="007903B1"/>
    <w:rsid w:val="0079069F"/>
    <w:rsid w:val="00795404"/>
    <w:rsid w:val="007A6A50"/>
    <w:rsid w:val="007D1FEC"/>
    <w:rsid w:val="007D26DC"/>
    <w:rsid w:val="007D5985"/>
    <w:rsid w:val="007D5CFA"/>
    <w:rsid w:val="007D74DB"/>
    <w:rsid w:val="007E76A2"/>
    <w:rsid w:val="00810221"/>
    <w:rsid w:val="00810457"/>
    <w:rsid w:val="0081476F"/>
    <w:rsid w:val="00815AAF"/>
    <w:rsid w:val="0082056B"/>
    <w:rsid w:val="008266EE"/>
    <w:rsid w:val="00826FDC"/>
    <w:rsid w:val="00832B4A"/>
    <w:rsid w:val="008459DC"/>
    <w:rsid w:val="008545F3"/>
    <w:rsid w:val="0086024E"/>
    <w:rsid w:val="00860B3E"/>
    <w:rsid w:val="00875C35"/>
    <w:rsid w:val="00886A94"/>
    <w:rsid w:val="0089332C"/>
    <w:rsid w:val="008A2D11"/>
    <w:rsid w:val="008A593B"/>
    <w:rsid w:val="008D2D94"/>
    <w:rsid w:val="008D37D2"/>
    <w:rsid w:val="008D45CE"/>
    <w:rsid w:val="008E6747"/>
    <w:rsid w:val="0092592D"/>
    <w:rsid w:val="00936F16"/>
    <w:rsid w:val="00937B2B"/>
    <w:rsid w:val="00941A30"/>
    <w:rsid w:val="00947539"/>
    <w:rsid w:val="0096313F"/>
    <w:rsid w:val="00966ABA"/>
    <w:rsid w:val="00975520"/>
    <w:rsid w:val="009972DF"/>
    <w:rsid w:val="009A6074"/>
    <w:rsid w:val="009B7419"/>
    <w:rsid w:val="009C0369"/>
    <w:rsid w:val="009E0CCF"/>
    <w:rsid w:val="009E391E"/>
    <w:rsid w:val="009E4EC4"/>
    <w:rsid w:val="00A14904"/>
    <w:rsid w:val="00A17130"/>
    <w:rsid w:val="00A53F9C"/>
    <w:rsid w:val="00A541B9"/>
    <w:rsid w:val="00A56436"/>
    <w:rsid w:val="00A71462"/>
    <w:rsid w:val="00A7771C"/>
    <w:rsid w:val="00A80C2F"/>
    <w:rsid w:val="00AA618D"/>
    <w:rsid w:val="00AA6E5F"/>
    <w:rsid w:val="00AB3779"/>
    <w:rsid w:val="00AB6DED"/>
    <w:rsid w:val="00AB7D32"/>
    <w:rsid w:val="00AC5820"/>
    <w:rsid w:val="00AD606C"/>
    <w:rsid w:val="00AD6936"/>
    <w:rsid w:val="00AE2693"/>
    <w:rsid w:val="00AE3905"/>
    <w:rsid w:val="00AE3E57"/>
    <w:rsid w:val="00AE507F"/>
    <w:rsid w:val="00AE6BD7"/>
    <w:rsid w:val="00AF112C"/>
    <w:rsid w:val="00AF4E7F"/>
    <w:rsid w:val="00B02277"/>
    <w:rsid w:val="00B23196"/>
    <w:rsid w:val="00B40CCC"/>
    <w:rsid w:val="00B51C5D"/>
    <w:rsid w:val="00B525C2"/>
    <w:rsid w:val="00B52648"/>
    <w:rsid w:val="00B5660B"/>
    <w:rsid w:val="00B6508B"/>
    <w:rsid w:val="00B70B52"/>
    <w:rsid w:val="00B71D00"/>
    <w:rsid w:val="00BB2544"/>
    <w:rsid w:val="00BB3989"/>
    <w:rsid w:val="00BC21E9"/>
    <w:rsid w:val="00BC6211"/>
    <w:rsid w:val="00BD5813"/>
    <w:rsid w:val="00C140C2"/>
    <w:rsid w:val="00C17AE1"/>
    <w:rsid w:val="00C30FA2"/>
    <w:rsid w:val="00C348AF"/>
    <w:rsid w:val="00C34A60"/>
    <w:rsid w:val="00C34F4D"/>
    <w:rsid w:val="00C41301"/>
    <w:rsid w:val="00C777B3"/>
    <w:rsid w:val="00C82173"/>
    <w:rsid w:val="00C837F2"/>
    <w:rsid w:val="00C85938"/>
    <w:rsid w:val="00C86CCC"/>
    <w:rsid w:val="00C973B7"/>
    <w:rsid w:val="00CB5B48"/>
    <w:rsid w:val="00CB7CEE"/>
    <w:rsid w:val="00CE2D87"/>
    <w:rsid w:val="00CE5298"/>
    <w:rsid w:val="00CF5A26"/>
    <w:rsid w:val="00D05382"/>
    <w:rsid w:val="00D05E52"/>
    <w:rsid w:val="00D2026C"/>
    <w:rsid w:val="00D249CA"/>
    <w:rsid w:val="00D24F1A"/>
    <w:rsid w:val="00D47759"/>
    <w:rsid w:val="00D51B7A"/>
    <w:rsid w:val="00D5471F"/>
    <w:rsid w:val="00D57337"/>
    <w:rsid w:val="00D63564"/>
    <w:rsid w:val="00D72E45"/>
    <w:rsid w:val="00D7528F"/>
    <w:rsid w:val="00D760F0"/>
    <w:rsid w:val="00DB04F9"/>
    <w:rsid w:val="00DB064A"/>
    <w:rsid w:val="00DB76EC"/>
    <w:rsid w:val="00DD1627"/>
    <w:rsid w:val="00DD35A4"/>
    <w:rsid w:val="00DD6496"/>
    <w:rsid w:val="00DD7FA7"/>
    <w:rsid w:val="00DF329E"/>
    <w:rsid w:val="00E020B6"/>
    <w:rsid w:val="00E20794"/>
    <w:rsid w:val="00E25F01"/>
    <w:rsid w:val="00E27E63"/>
    <w:rsid w:val="00E30105"/>
    <w:rsid w:val="00E43F8B"/>
    <w:rsid w:val="00E561E7"/>
    <w:rsid w:val="00E61273"/>
    <w:rsid w:val="00E63FF5"/>
    <w:rsid w:val="00E666BB"/>
    <w:rsid w:val="00E670FD"/>
    <w:rsid w:val="00E73B61"/>
    <w:rsid w:val="00E753AA"/>
    <w:rsid w:val="00E817B2"/>
    <w:rsid w:val="00E850F8"/>
    <w:rsid w:val="00E93F07"/>
    <w:rsid w:val="00EB4EE9"/>
    <w:rsid w:val="00EC7585"/>
    <w:rsid w:val="00EF1561"/>
    <w:rsid w:val="00EF63A6"/>
    <w:rsid w:val="00F04053"/>
    <w:rsid w:val="00F05E53"/>
    <w:rsid w:val="00F11E01"/>
    <w:rsid w:val="00F141C9"/>
    <w:rsid w:val="00F15362"/>
    <w:rsid w:val="00F334AD"/>
    <w:rsid w:val="00F43E6B"/>
    <w:rsid w:val="00F47ECA"/>
    <w:rsid w:val="00F5066C"/>
    <w:rsid w:val="00F53D3C"/>
    <w:rsid w:val="00F65D04"/>
    <w:rsid w:val="00F826ED"/>
    <w:rsid w:val="00F875BD"/>
    <w:rsid w:val="00FA7377"/>
    <w:rsid w:val="00FB1226"/>
    <w:rsid w:val="00FB3938"/>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B6748D"/>
  <w15:docId w15:val="{04EB675B-FBA8-4553-B242-FB32035A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styleId="UnresolvedMention">
    <w:name w:val="Unresolved Mention"/>
    <w:basedOn w:val="DefaultParagraphFont"/>
    <w:uiPriority w:val="99"/>
    <w:semiHidden/>
    <w:unhideWhenUsed/>
    <w:rsid w:val="00E6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0867">
      <w:bodyDiv w:val="1"/>
      <w:marLeft w:val="0"/>
      <w:marRight w:val="0"/>
      <w:marTop w:val="0"/>
      <w:marBottom w:val="0"/>
      <w:divBdr>
        <w:top w:val="none" w:sz="0" w:space="0" w:color="auto"/>
        <w:left w:val="none" w:sz="0" w:space="0" w:color="auto"/>
        <w:bottom w:val="none" w:sz="0" w:space="0" w:color="auto"/>
        <w:right w:val="none" w:sz="0" w:space="0" w:color="auto"/>
      </w:divBdr>
    </w:div>
    <w:div w:id="430785138">
      <w:bodyDiv w:val="1"/>
      <w:marLeft w:val="0"/>
      <w:marRight w:val="0"/>
      <w:marTop w:val="0"/>
      <w:marBottom w:val="0"/>
      <w:divBdr>
        <w:top w:val="none" w:sz="0" w:space="0" w:color="auto"/>
        <w:left w:val="none" w:sz="0" w:space="0" w:color="auto"/>
        <w:bottom w:val="none" w:sz="0" w:space="0" w:color="auto"/>
        <w:right w:val="none" w:sz="0" w:space="0" w:color="auto"/>
      </w:divBdr>
    </w:div>
    <w:div w:id="515770143">
      <w:bodyDiv w:val="1"/>
      <w:marLeft w:val="0"/>
      <w:marRight w:val="0"/>
      <w:marTop w:val="0"/>
      <w:marBottom w:val="0"/>
      <w:divBdr>
        <w:top w:val="none" w:sz="0" w:space="0" w:color="auto"/>
        <w:left w:val="none" w:sz="0" w:space="0" w:color="auto"/>
        <w:bottom w:val="none" w:sz="0" w:space="0" w:color="auto"/>
        <w:right w:val="none" w:sz="0" w:space="0" w:color="auto"/>
      </w:divBdr>
    </w:div>
    <w:div w:id="752288020">
      <w:bodyDiv w:val="1"/>
      <w:marLeft w:val="0"/>
      <w:marRight w:val="0"/>
      <w:marTop w:val="0"/>
      <w:marBottom w:val="0"/>
      <w:divBdr>
        <w:top w:val="none" w:sz="0" w:space="0" w:color="auto"/>
        <w:left w:val="none" w:sz="0" w:space="0" w:color="auto"/>
        <w:bottom w:val="none" w:sz="0" w:space="0" w:color="auto"/>
        <w:right w:val="none" w:sz="0" w:space="0" w:color="auto"/>
      </w:divBdr>
    </w:div>
    <w:div w:id="963464538">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20980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budsman.act.gov.au/" TargetMode="External"/><Relationship Id="rId18" Type="http://schemas.openxmlformats.org/officeDocument/2006/relationships/hyperlink" Target="https://www.legislation.act.gov.au/a/alt_a1989-45c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ba@act.gov.au"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legislation.act.gov.au/a/2008-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t@ombudsman.gov.au" TargetMode="External"/><Relationship Id="rId20" Type="http://schemas.openxmlformats.org/officeDocument/2006/relationships/hyperlink" Target="https://www.legislation.act.gov.au/a/2011-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mbudsman.act.gov.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egislation.act.gov.au/a/1994-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tedd.act.gov.au/employment-framework/workplace-behaviours"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20Taylor\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3.xml><?xml version="1.0" encoding="utf-8"?>
<ds:datastoreItem xmlns:ds="http://schemas.openxmlformats.org/officeDocument/2006/customXml" ds:itemID="{336EC184-E85B-447B-946A-2A8855BC65CD}">
  <ds:schemaRefs>
    <ds:schemaRef ds:uri="http://schemas.openxmlformats.org/officeDocument/2006/bibliography"/>
  </ds:schemaRefs>
</ds:datastoreItem>
</file>

<file path=customXml/itemProps4.xml><?xml version="1.0" encoding="utf-8"?>
<ds:datastoreItem xmlns:ds="http://schemas.openxmlformats.org/officeDocument/2006/customXml" ds:itemID="{0768B9F4-ACED-42E7-9C6F-59C95F7D1CC4}">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Publication-template-purple (1)</Template>
  <TotalTime>4</TotalTime>
  <Pages>5</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Reportable Conduct Policy</dc:title>
  <dc:subject>Publication template purple</dc:subject>
  <dc:creator>Taylor, Nina</dc:creator>
  <cp:lastModifiedBy>Ren, Ray</cp:lastModifiedBy>
  <cp:revision>7</cp:revision>
  <cp:lastPrinted>2022-08-19T02:32:00Z</cp:lastPrinted>
  <dcterms:created xsi:type="dcterms:W3CDTF">2022-08-19T02:23:00Z</dcterms:created>
  <dcterms:modified xsi:type="dcterms:W3CDTF">2022-08-19T02:33:00Z</dcterms:modified>
</cp:coreProperties>
</file>