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67F" w:rsidRPr="00040AA2" w:rsidRDefault="00E2067F" w:rsidP="00E2067F">
      <w:pPr>
        <w:spacing w:after="0" w:line="240" w:lineRule="auto"/>
        <w:rPr>
          <w:rFonts w:ascii="Calibri" w:hAnsi="Calibri"/>
          <w:b/>
          <w:bCs/>
          <w:sz w:val="20"/>
          <w:szCs w:val="20"/>
        </w:rPr>
      </w:pPr>
      <w:bookmarkStart w:id="0" w:name="_GoBack"/>
      <w:r w:rsidRPr="00040AA2">
        <w:rPr>
          <w:rFonts w:ascii="Calibri" w:hAnsi="Calibri"/>
          <w:b/>
          <w:bCs/>
          <w:sz w:val="20"/>
          <w:szCs w:val="20"/>
        </w:rPr>
        <w:t>18/396 Reduction to 4,000 Gaming Machine Authorisations – Diversification Support, Incentives and Policy Approval</w:t>
      </w:r>
    </w:p>
    <w:bookmarkEnd w:id="0"/>
    <w:p w:rsidR="00E2067F" w:rsidRPr="00040AA2" w:rsidRDefault="00E2067F" w:rsidP="00E2067F">
      <w:pPr>
        <w:spacing w:after="0" w:line="240" w:lineRule="auto"/>
        <w:rPr>
          <w:rFonts w:ascii="Calibri" w:hAnsi="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2067F" w:rsidRPr="00040AA2" w:rsidTr="00944488">
        <w:trPr>
          <w:jc w:val="center"/>
        </w:trPr>
        <w:tc>
          <w:tcPr>
            <w:tcW w:w="9105" w:type="dxa"/>
          </w:tcPr>
          <w:p w:rsidR="00E2067F" w:rsidRPr="00040AA2" w:rsidRDefault="00E2067F" w:rsidP="00944488">
            <w:pPr>
              <w:spacing w:before="60" w:after="0"/>
              <w:jc w:val="both"/>
              <w:rPr>
                <w:rFonts w:ascii="Calibri" w:hAnsi="Calibri"/>
                <w:b/>
                <w:bCs/>
                <w:sz w:val="20"/>
                <w:szCs w:val="20"/>
              </w:rPr>
            </w:pPr>
            <w:r w:rsidRPr="00040AA2">
              <w:rPr>
                <w:rFonts w:ascii="Calibri" w:hAnsi="Calibri"/>
                <w:b/>
                <w:bCs/>
                <w:sz w:val="20"/>
                <w:szCs w:val="20"/>
              </w:rPr>
              <w:t>Summary of Impacts</w:t>
            </w:r>
          </w:p>
        </w:tc>
      </w:tr>
      <w:tr w:rsidR="00E2067F" w:rsidRPr="00040AA2" w:rsidTr="00944488">
        <w:trPr>
          <w:jc w:val="center"/>
        </w:trPr>
        <w:tc>
          <w:tcPr>
            <w:tcW w:w="9105" w:type="dxa"/>
          </w:tcPr>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There are no direct negative impacts on the ACT community as a result of reducing the number of gaming machine authorisations in the Territory to 4,000.</w:t>
            </w:r>
          </w:p>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The Submission seeks Cabinet’s agreement to the pathway to achieve 4,000 gaming machine authorisations by 1 May 2020, including financial and non-financial incentives for clubs that voluntarily surrender gaming machine authorisations by early 2019 and diversification support for the club industry. The pathway takes into account the findings and recommendations of the ACT Club Industry Diversification Support Analysis.</w:t>
            </w:r>
          </w:p>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The Submission seeks policy approval to amendments to remove the ratio of 15 gaming machine authorisations per 1,000 adults and provide for the new Territory maximum of 4,000 gaming machine authorisations, as well as provisions to support the voluntary and compulsory surrender of authorisations. Policy approval of separate amendments to improve the regulatory framework applying the operation of gaming machines and reduce gambling harm is also sought.</w:t>
            </w:r>
          </w:p>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There are positive impacts for the community through a potential reduction in gambling related harm, and access to wider range of services and alternative uses of club land.</w:t>
            </w:r>
          </w:p>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 xml:space="preserve">There may be a negative impact on the financial position of clubs through a reduction in gaming machine revenue. </w:t>
            </w:r>
          </w:p>
        </w:tc>
      </w:tr>
    </w:tbl>
    <w:p w:rsidR="00E2067F" w:rsidRPr="00040AA2" w:rsidRDefault="00E2067F" w:rsidP="00E2067F">
      <w:pPr>
        <w:spacing w:after="120"/>
        <w:rPr>
          <w:rFonts w:ascii="Calibri" w:hAnsi="Calibri"/>
          <w:i/>
          <w:sz w:val="20"/>
          <w:szCs w:val="20"/>
        </w:rPr>
      </w:pPr>
      <w:r w:rsidRPr="00040AA2">
        <w:rPr>
          <w:rFonts w:ascii="Calibri" w:hAnsi="Calibri"/>
          <w:i/>
          <w:sz w:val="20"/>
          <w:szCs w:val="20"/>
        </w:rPr>
        <w:t xml:space="preserve">Key to impacts: Red – negative, </w:t>
      </w:r>
      <w:proofErr w:type="gramStart"/>
      <w:r w:rsidRPr="00040AA2">
        <w:rPr>
          <w:rFonts w:ascii="Calibri" w:hAnsi="Calibri"/>
          <w:i/>
          <w:sz w:val="20"/>
          <w:szCs w:val="20"/>
        </w:rPr>
        <w:t>Blue</w:t>
      </w:r>
      <w:proofErr w:type="gramEnd"/>
      <w:r w:rsidRPr="00040AA2">
        <w:rPr>
          <w:rFonts w:ascii="Calibri" w:hAnsi="Calibri"/>
          <w:i/>
          <w:sz w:val="20"/>
          <w:szCs w:val="20"/>
        </w:rPr>
        <w:t xml:space="preserve"> - neutral and Green -Positive.</w:t>
      </w:r>
    </w:p>
    <w:p w:rsidR="00E2067F" w:rsidRPr="00040AA2" w:rsidRDefault="00E2067F" w:rsidP="00E2067F">
      <w:pPr>
        <w:spacing w:after="0"/>
        <w:jc w:val="both"/>
        <w:rPr>
          <w:rFonts w:ascii="Calibri" w:hAnsi="Calibri"/>
          <w:b/>
          <w:bCs/>
          <w:sz w:val="20"/>
          <w:szCs w:val="20"/>
        </w:rPr>
      </w:pPr>
      <w:r w:rsidRPr="00040AA2">
        <w:rPr>
          <w:rFonts w:ascii="Calibri" w:hAnsi="Calibri"/>
          <w:b/>
          <w:bCs/>
          <w:sz w:val="20"/>
          <w:szCs w:val="20"/>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502"/>
      </w:tblGrid>
      <w:tr w:rsidR="00E2067F" w:rsidRPr="00040AA2" w:rsidTr="00944488">
        <w:trPr>
          <w:jc w:val="center"/>
        </w:trPr>
        <w:tc>
          <w:tcPr>
            <w:tcW w:w="1526" w:type="dxa"/>
            <w:shd w:val="clear" w:color="auto" w:fill="92D050"/>
          </w:tcPr>
          <w:p w:rsidR="00E2067F" w:rsidRPr="00040AA2" w:rsidRDefault="00E2067F" w:rsidP="00944488">
            <w:pPr>
              <w:rPr>
                <w:rFonts w:ascii="Calibri" w:hAnsi="Calibri"/>
                <w:sz w:val="20"/>
                <w:szCs w:val="20"/>
              </w:rPr>
            </w:pPr>
            <w:r w:rsidRPr="00040AA2">
              <w:rPr>
                <w:rFonts w:ascii="Calibri" w:hAnsi="Calibri"/>
                <w:b/>
                <w:bCs/>
                <w:sz w:val="20"/>
                <w:szCs w:val="20"/>
              </w:rPr>
              <w:t>Human Rights</w:t>
            </w:r>
          </w:p>
        </w:tc>
        <w:tc>
          <w:tcPr>
            <w:tcW w:w="7716" w:type="dxa"/>
          </w:tcPr>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Measures that support clubs to diversify their revenue streams away from gaming have the potential to positively impact on the protection of the family and children through reducing the harm caused by gambling.</w:t>
            </w:r>
          </w:p>
        </w:tc>
      </w:tr>
      <w:tr w:rsidR="00E2067F" w:rsidRPr="00040AA2" w:rsidTr="00944488">
        <w:trPr>
          <w:trHeight w:val="1449"/>
          <w:jc w:val="center"/>
        </w:trPr>
        <w:tc>
          <w:tcPr>
            <w:tcW w:w="1526" w:type="dxa"/>
            <w:shd w:val="clear" w:color="auto" w:fill="92D050"/>
          </w:tcPr>
          <w:p w:rsidR="00E2067F" w:rsidRPr="00040AA2" w:rsidRDefault="00E2067F" w:rsidP="00944488">
            <w:pPr>
              <w:spacing w:after="0" w:line="240" w:lineRule="auto"/>
              <w:rPr>
                <w:rFonts w:ascii="Calibri" w:hAnsi="Calibri"/>
                <w:b/>
                <w:bCs/>
                <w:sz w:val="20"/>
                <w:szCs w:val="20"/>
              </w:rPr>
            </w:pPr>
            <w:r w:rsidRPr="00040AA2">
              <w:rPr>
                <w:rFonts w:ascii="Calibri" w:hAnsi="Calibri"/>
                <w:b/>
                <w:bCs/>
                <w:sz w:val="20"/>
                <w:szCs w:val="20"/>
              </w:rPr>
              <w:t>Access to Social Networks and Community Activities</w:t>
            </w:r>
          </w:p>
        </w:tc>
        <w:tc>
          <w:tcPr>
            <w:tcW w:w="7716" w:type="dxa"/>
          </w:tcPr>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 xml:space="preserve">Reducing the number of gaming machines operating in the Territory may lead to clubs providing a range of additional community activities in establishing alternative revenue streams. </w:t>
            </w:r>
          </w:p>
        </w:tc>
      </w:tr>
    </w:tbl>
    <w:p w:rsidR="00E2067F" w:rsidRPr="00040AA2" w:rsidRDefault="00E2067F" w:rsidP="00E2067F">
      <w:pPr>
        <w:spacing w:before="120" w:after="0"/>
        <w:jc w:val="both"/>
        <w:rPr>
          <w:rFonts w:ascii="Calibri" w:hAnsi="Calibri"/>
          <w:b/>
          <w:bCs/>
          <w:sz w:val="20"/>
          <w:szCs w:val="20"/>
        </w:rPr>
      </w:pPr>
      <w:r w:rsidRPr="00040AA2">
        <w:rPr>
          <w:rFonts w:ascii="Calibri" w:hAnsi="Calibri"/>
          <w:b/>
          <w:bCs/>
          <w:sz w:val="20"/>
          <w:szCs w:val="20"/>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499"/>
      </w:tblGrid>
      <w:tr w:rsidR="00E2067F" w:rsidRPr="00040AA2" w:rsidTr="00944488">
        <w:trPr>
          <w:jc w:val="center"/>
        </w:trPr>
        <w:tc>
          <w:tcPr>
            <w:tcW w:w="1526" w:type="dxa"/>
            <w:shd w:val="clear" w:color="auto" w:fill="FF0000"/>
          </w:tcPr>
          <w:p w:rsidR="00E2067F" w:rsidRPr="00CC31E3" w:rsidRDefault="00E2067F" w:rsidP="00944488">
            <w:pPr>
              <w:spacing w:after="0"/>
              <w:jc w:val="both"/>
              <w:rPr>
                <w:rFonts w:ascii="Calibri" w:hAnsi="Calibri"/>
                <w:color w:val="000000"/>
                <w:sz w:val="20"/>
                <w:szCs w:val="20"/>
              </w:rPr>
            </w:pPr>
            <w:r w:rsidRPr="00CC31E3">
              <w:rPr>
                <w:rFonts w:ascii="Calibri" w:hAnsi="Calibri"/>
                <w:b/>
                <w:bCs/>
                <w:color w:val="000000"/>
                <w:sz w:val="20"/>
                <w:szCs w:val="20"/>
              </w:rPr>
              <w:t>ACT Government Budget</w:t>
            </w:r>
          </w:p>
        </w:tc>
        <w:tc>
          <w:tcPr>
            <w:tcW w:w="7716" w:type="dxa"/>
          </w:tcPr>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Club industry diversification support measures and financial incentives for voluntary surrender of authorisations will have a Budget impact.</w:t>
            </w:r>
          </w:p>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 xml:space="preserve">It is anticipated that the surrender of gaming machine authorisations will result in some level of revenue reduction for the Territory. The exact impact on the Budget is unknown, given a number of machines are underutilised in ACT clubs. </w:t>
            </w:r>
          </w:p>
        </w:tc>
      </w:tr>
      <w:tr w:rsidR="00E2067F" w:rsidRPr="00040AA2" w:rsidTr="00944488">
        <w:trPr>
          <w:jc w:val="center"/>
        </w:trPr>
        <w:tc>
          <w:tcPr>
            <w:tcW w:w="1526" w:type="dxa"/>
            <w:shd w:val="clear" w:color="auto" w:fill="0070C0"/>
          </w:tcPr>
          <w:p w:rsidR="00E2067F" w:rsidRPr="00040AA2" w:rsidRDefault="00E2067F" w:rsidP="00944488">
            <w:pPr>
              <w:jc w:val="both"/>
              <w:rPr>
                <w:rFonts w:ascii="Calibri" w:hAnsi="Calibri"/>
                <w:b/>
                <w:bCs/>
                <w:sz w:val="20"/>
                <w:szCs w:val="20"/>
              </w:rPr>
            </w:pPr>
            <w:r w:rsidRPr="00040AA2">
              <w:rPr>
                <w:rFonts w:ascii="Calibri" w:hAnsi="Calibri"/>
                <w:b/>
                <w:bCs/>
                <w:sz w:val="20"/>
                <w:szCs w:val="20"/>
              </w:rPr>
              <w:t>Broader Economy</w:t>
            </w:r>
          </w:p>
        </w:tc>
        <w:tc>
          <w:tcPr>
            <w:tcW w:w="7716" w:type="dxa"/>
          </w:tcPr>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Depending on their level of dependence on gaming revenue, surrender of authorisations may financially impact some licensees. The financial incentives for voluntary surrender and diversification support measures are intended to address this potential impact.</w:t>
            </w:r>
          </w:p>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Measures that support clubs to diversify their revenue streams away from gaming have the potential to positively impact on the broader economy through the provision by clubs of a wider range of services and alternative uses of club land.</w:t>
            </w:r>
          </w:p>
        </w:tc>
      </w:tr>
      <w:tr w:rsidR="00E2067F" w:rsidRPr="00040AA2" w:rsidTr="00944488">
        <w:trPr>
          <w:jc w:val="center"/>
        </w:trPr>
        <w:tc>
          <w:tcPr>
            <w:tcW w:w="1526" w:type="dxa"/>
            <w:shd w:val="clear" w:color="auto" w:fill="0070C0"/>
          </w:tcPr>
          <w:p w:rsidR="00E2067F" w:rsidRPr="00040AA2" w:rsidRDefault="00E2067F" w:rsidP="00944488">
            <w:pPr>
              <w:jc w:val="both"/>
              <w:rPr>
                <w:rFonts w:ascii="Calibri" w:hAnsi="Calibri"/>
                <w:b/>
                <w:bCs/>
                <w:sz w:val="20"/>
                <w:szCs w:val="20"/>
              </w:rPr>
            </w:pPr>
            <w:r w:rsidRPr="00040AA2">
              <w:rPr>
                <w:rFonts w:ascii="Calibri" w:hAnsi="Calibri"/>
                <w:b/>
                <w:bCs/>
                <w:sz w:val="20"/>
                <w:szCs w:val="20"/>
              </w:rPr>
              <w:t>Employment</w:t>
            </w:r>
          </w:p>
        </w:tc>
        <w:tc>
          <w:tcPr>
            <w:tcW w:w="7716" w:type="dxa"/>
          </w:tcPr>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There is a risk that employment levels may reduce in some clubs. Incentives for voluntary surrender and a staged compulsory surrender of authorisations will mitigate this risk, as will diversification support measures that assist with the establishment of alternative revenue sources and employment opportunities for clubs.</w:t>
            </w:r>
          </w:p>
        </w:tc>
      </w:tr>
      <w:tr w:rsidR="00E2067F" w:rsidRPr="00040AA2" w:rsidTr="00944488">
        <w:trPr>
          <w:jc w:val="center"/>
        </w:trPr>
        <w:tc>
          <w:tcPr>
            <w:tcW w:w="1526" w:type="dxa"/>
            <w:shd w:val="clear" w:color="auto" w:fill="0070C0"/>
          </w:tcPr>
          <w:p w:rsidR="00E2067F" w:rsidRPr="00040AA2" w:rsidRDefault="00E2067F" w:rsidP="00944488">
            <w:pPr>
              <w:jc w:val="both"/>
              <w:rPr>
                <w:rFonts w:ascii="Calibri" w:hAnsi="Calibri"/>
                <w:b/>
                <w:bCs/>
                <w:sz w:val="20"/>
                <w:szCs w:val="20"/>
              </w:rPr>
            </w:pPr>
            <w:r w:rsidRPr="00040AA2">
              <w:rPr>
                <w:rFonts w:ascii="Calibri" w:hAnsi="Calibri"/>
                <w:b/>
                <w:bCs/>
                <w:sz w:val="20"/>
                <w:szCs w:val="20"/>
              </w:rPr>
              <w:t>Small Business Impact</w:t>
            </w:r>
          </w:p>
        </w:tc>
        <w:tc>
          <w:tcPr>
            <w:tcW w:w="7716" w:type="dxa"/>
          </w:tcPr>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Small clubs (those whose authorisation certificate authorises not more than 19 gaming machines at the premises) and hotels are proposed to be exempt from compulsory surrender of authorisations. These venues will also be eligible to access financial incentives for voluntary surrender of authorisations.</w:t>
            </w:r>
          </w:p>
        </w:tc>
      </w:tr>
    </w:tbl>
    <w:p w:rsidR="00E2067F" w:rsidRPr="00040AA2" w:rsidRDefault="00E2067F" w:rsidP="00E2067F">
      <w:pPr>
        <w:keepNext/>
        <w:spacing w:before="120" w:after="0"/>
        <w:jc w:val="both"/>
        <w:rPr>
          <w:rFonts w:ascii="Calibri" w:hAnsi="Calibri"/>
          <w:b/>
          <w:bCs/>
          <w:sz w:val="20"/>
          <w:szCs w:val="20"/>
        </w:rPr>
      </w:pPr>
      <w:r w:rsidRPr="00040AA2">
        <w:rPr>
          <w:rFonts w:ascii="Calibri" w:hAnsi="Calibri"/>
          <w:b/>
          <w:bCs/>
          <w:sz w:val="20"/>
          <w:szCs w:val="20"/>
        </w:rPr>
        <w:lastRenderedPageBreak/>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7512"/>
      </w:tblGrid>
      <w:tr w:rsidR="00E2067F" w:rsidRPr="00040AA2" w:rsidTr="00944488">
        <w:trPr>
          <w:jc w:val="center"/>
        </w:trPr>
        <w:tc>
          <w:tcPr>
            <w:tcW w:w="1526" w:type="dxa"/>
            <w:shd w:val="clear" w:color="auto" w:fill="92D050"/>
          </w:tcPr>
          <w:p w:rsidR="00E2067F" w:rsidRPr="00040AA2" w:rsidRDefault="00E2067F" w:rsidP="00944488">
            <w:pPr>
              <w:spacing w:after="0"/>
              <w:jc w:val="both"/>
              <w:rPr>
                <w:rFonts w:ascii="Calibri" w:hAnsi="Calibri"/>
                <w:sz w:val="20"/>
                <w:szCs w:val="20"/>
              </w:rPr>
            </w:pPr>
            <w:r w:rsidRPr="00040AA2">
              <w:rPr>
                <w:rFonts w:ascii="Calibri" w:hAnsi="Calibri"/>
                <w:b/>
                <w:bCs/>
                <w:sz w:val="20"/>
                <w:szCs w:val="20"/>
              </w:rPr>
              <w:t>Climate Change</w:t>
            </w:r>
          </w:p>
        </w:tc>
        <w:tc>
          <w:tcPr>
            <w:tcW w:w="7716" w:type="dxa"/>
          </w:tcPr>
          <w:p w:rsidR="00E2067F" w:rsidRPr="00040AA2" w:rsidRDefault="00E2067F"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No direct climate change impacts have been identified arising from this Submission.</w:t>
            </w:r>
          </w:p>
        </w:tc>
      </w:tr>
    </w:tbl>
    <w:p w:rsidR="00EF244B" w:rsidRDefault="00EF244B"/>
    <w:sectPr w:rsidR="00EF2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4FF2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DB"/>
    <w:rsid w:val="002F6DDB"/>
    <w:rsid w:val="003219AF"/>
    <w:rsid w:val="00E2067F"/>
    <w:rsid w:val="00EF2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671E8-FBCA-4728-831A-B0044F37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7F"/>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AB954-4C72-42F6-A3C6-7CDA80C23993}">
  <ds:schemaRef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5BBE3AF-3EDD-4C56-AAB1-60DE83B73D2F}">
  <ds:schemaRefs>
    <ds:schemaRef ds:uri="http://schemas.microsoft.com/sharepoint/v3/contenttype/forms"/>
  </ds:schemaRefs>
</ds:datastoreItem>
</file>

<file path=customXml/itemProps3.xml><?xml version="1.0" encoding="utf-8"?>
<ds:datastoreItem xmlns:ds="http://schemas.openxmlformats.org/officeDocument/2006/customXml" ds:itemID="{0DA16CF5-9ED4-4833-B675-D552AAC1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18/396 Reduction to 4,000 Gaming Machine Authorisations – Diversification Support, Incentives and Policy Approval</dc:title>
  <dc:subject>18/396 Reduction to 4,000 Gaming Machine Authorisations – Diversification Support, Incentives and Policy Approval</dc:subject>
  <dc:creator>ACT Government</dc:creator>
  <cp:keywords/>
  <dc:description/>
  <cp:lastModifiedBy>Maniacherry, Ponnu</cp:lastModifiedBy>
  <cp:revision>3</cp:revision>
  <dcterms:created xsi:type="dcterms:W3CDTF">2018-09-24T04:33:00Z</dcterms:created>
  <dcterms:modified xsi:type="dcterms:W3CDTF">2018-09-28T01:39:00Z</dcterms:modified>
</cp:coreProperties>
</file>