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42B" w:rsidRPr="008A05CF" w:rsidRDefault="005C342B" w:rsidP="005C342B">
      <w:pPr>
        <w:spacing w:after="120"/>
        <w:rPr>
          <w:rFonts w:ascii="Calibri" w:hAnsi="Calibri"/>
          <w:b/>
          <w:bCs/>
        </w:rPr>
      </w:pPr>
      <w:r w:rsidRPr="008A05CF">
        <w:rPr>
          <w:rFonts w:ascii="Calibri" w:hAnsi="Calibri"/>
          <w:b/>
          <w:bCs/>
        </w:rPr>
        <w:t>18/451:  Government Response to the Auditor-General’s Report No. 7/2018: Five ACT public schools' engagement with Aboriginal and Torres Strait Islander students, families and community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16"/>
      </w:tblGrid>
      <w:tr w:rsidR="005C342B" w:rsidRPr="00C82609" w:rsidTr="005442CD">
        <w:trPr>
          <w:jc w:val="center"/>
        </w:trPr>
        <w:tc>
          <w:tcPr>
            <w:tcW w:w="9105" w:type="dxa"/>
          </w:tcPr>
          <w:p w:rsidR="005C342B" w:rsidRPr="00C82609" w:rsidRDefault="005C342B" w:rsidP="005442CD">
            <w:pPr>
              <w:spacing w:before="60" w:after="0"/>
              <w:jc w:val="both"/>
              <w:rPr>
                <w:rFonts w:ascii="Calibri" w:hAnsi="Calibri"/>
                <w:b/>
                <w:bCs/>
              </w:rPr>
            </w:pPr>
            <w:r w:rsidRPr="00C82609">
              <w:rPr>
                <w:rFonts w:ascii="Calibri" w:hAnsi="Calibri"/>
                <w:b/>
                <w:bCs/>
              </w:rPr>
              <w:t>Summary of Impacts</w:t>
            </w:r>
          </w:p>
        </w:tc>
      </w:tr>
      <w:tr w:rsidR="005C342B" w:rsidRPr="00C82609" w:rsidTr="005442CD">
        <w:trPr>
          <w:jc w:val="center"/>
        </w:trPr>
        <w:tc>
          <w:tcPr>
            <w:tcW w:w="9105" w:type="dxa"/>
          </w:tcPr>
          <w:p w:rsidR="005C342B" w:rsidRPr="008A05CF" w:rsidRDefault="005C342B" w:rsidP="005442CD">
            <w:pPr>
              <w:numPr>
                <w:ilvl w:val="0"/>
                <w:numId w:val="1"/>
              </w:numPr>
              <w:spacing w:after="0" w:line="240" w:lineRule="auto"/>
              <w:ind w:left="360"/>
              <w:rPr>
                <w:rFonts w:ascii="Calibri" w:hAnsi="Calibri"/>
              </w:rPr>
            </w:pPr>
            <w:r w:rsidRPr="008A05CF">
              <w:rPr>
                <w:rFonts w:ascii="Calibri" w:hAnsi="Calibri"/>
              </w:rPr>
              <w:t xml:space="preserve">During 2017 and 2018 the ACT Audit Office conducted a performance audit on </w:t>
            </w:r>
            <w:r>
              <w:rPr>
                <w:rFonts w:ascii="Calibri" w:hAnsi="Calibri"/>
              </w:rPr>
              <w:t>f</w:t>
            </w:r>
            <w:r w:rsidRPr="008A05CF">
              <w:rPr>
                <w:rFonts w:ascii="Calibri" w:hAnsi="Calibri"/>
              </w:rPr>
              <w:t>ive public schools’ engagement with Aboriginal and Torres Strait Islander students, families and community.</w:t>
            </w:r>
          </w:p>
          <w:p w:rsidR="005C342B" w:rsidRPr="008A05CF" w:rsidRDefault="005C342B" w:rsidP="005442CD">
            <w:pPr>
              <w:numPr>
                <w:ilvl w:val="0"/>
                <w:numId w:val="1"/>
              </w:numPr>
              <w:spacing w:after="0" w:line="240" w:lineRule="auto"/>
              <w:ind w:left="360"/>
              <w:rPr>
                <w:rFonts w:ascii="Calibri" w:hAnsi="Calibri"/>
              </w:rPr>
            </w:pPr>
            <w:r w:rsidRPr="008A05CF">
              <w:rPr>
                <w:rFonts w:ascii="Calibri" w:hAnsi="Calibri"/>
              </w:rPr>
              <w:t>The objective of the audit was to provide an independent opinion on the effectiveness of ACT public schools’ engagement with Aboriginal and Torres Strait Islander students, families and community</w:t>
            </w:r>
          </w:p>
          <w:p w:rsidR="005C342B" w:rsidRPr="008A05CF" w:rsidRDefault="005C342B" w:rsidP="005442CD">
            <w:pPr>
              <w:numPr>
                <w:ilvl w:val="0"/>
                <w:numId w:val="1"/>
              </w:numPr>
              <w:spacing w:after="0" w:line="240" w:lineRule="auto"/>
              <w:ind w:left="360"/>
              <w:rPr>
                <w:rFonts w:ascii="Calibri" w:hAnsi="Calibri"/>
              </w:rPr>
            </w:pPr>
            <w:r w:rsidRPr="008A05CF">
              <w:rPr>
                <w:rFonts w:ascii="Calibri" w:hAnsi="Calibri"/>
              </w:rPr>
              <w:t xml:space="preserve">The submission seeks to provide a Government Response to the recommendations outlined in the Auditor-General’s Report No7/2018 Engagement with Aboriginal and Torres Strait Islander Students, Families and Community. </w:t>
            </w:r>
          </w:p>
          <w:p w:rsidR="005C342B" w:rsidRPr="008A05CF" w:rsidRDefault="005C342B" w:rsidP="005442CD">
            <w:pPr>
              <w:numPr>
                <w:ilvl w:val="0"/>
                <w:numId w:val="1"/>
              </w:numPr>
              <w:spacing w:after="0" w:line="240" w:lineRule="auto"/>
              <w:ind w:left="360"/>
              <w:rPr>
                <w:rFonts w:ascii="Calibri" w:hAnsi="Calibri"/>
              </w:rPr>
            </w:pPr>
            <w:r w:rsidRPr="008A05CF">
              <w:rPr>
                <w:rFonts w:ascii="Calibri" w:hAnsi="Calibri"/>
              </w:rPr>
              <w:t xml:space="preserve">The Report includes twelve recommendations and found that the Education Directorate is focusing on Aboriginal and Torres Strait Islander education in terms of progress, strengths and improvements to build cultural integrity and that it is working to increase the engagement of Aboriginal and Torres Strait Islander students, families and community within the education system </w:t>
            </w:r>
          </w:p>
        </w:tc>
      </w:tr>
    </w:tbl>
    <w:p w:rsidR="005C342B" w:rsidRPr="008A05CF" w:rsidRDefault="005C342B" w:rsidP="005C342B">
      <w:pPr>
        <w:spacing w:after="120"/>
        <w:rPr>
          <w:rFonts w:ascii="Calibri" w:hAnsi="Calibri"/>
          <w:i/>
          <w:color w:val="000000"/>
        </w:rPr>
      </w:pPr>
      <w:r w:rsidRPr="008A05CF">
        <w:rPr>
          <w:rFonts w:ascii="Calibri" w:hAnsi="Calibri"/>
          <w:i/>
          <w:color w:val="000000"/>
        </w:rPr>
        <w:t xml:space="preserve">Key to impacts: Red – negative, </w:t>
      </w:r>
      <w:proofErr w:type="gramStart"/>
      <w:r w:rsidRPr="008A05CF">
        <w:rPr>
          <w:rFonts w:ascii="Calibri" w:hAnsi="Calibri"/>
          <w:i/>
          <w:color w:val="000000"/>
        </w:rPr>
        <w:t>Blue</w:t>
      </w:r>
      <w:proofErr w:type="gramEnd"/>
      <w:r w:rsidRPr="008A05CF">
        <w:rPr>
          <w:rFonts w:ascii="Calibri" w:hAnsi="Calibri"/>
          <w:i/>
          <w:color w:val="000000"/>
        </w:rPr>
        <w:t xml:space="preserve"> - neutral and Green - positive.</w:t>
      </w:r>
    </w:p>
    <w:p w:rsidR="005C342B" w:rsidRPr="008A05CF" w:rsidRDefault="005C342B" w:rsidP="005C342B">
      <w:pPr>
        <w:spacing w:after="0"/>
        <w:jc w:val="both"/>
        <w:rPr>
          <w:rFonts w:ascii="Calibri" w:hAnsi="Calibri"/>
          <w:b/>
          <w:bCs/>
        </w:rPr>
      </w:pPr>
      <w:r w:rsidRPr="008A05CF">
        <w:rPr>
          <w:rFonts w:ascii="Calibri" w:hAnsi="Calibri"/>
          <w:b/>
          <w:bCs/>
        </w:rPr>
        <w:t>Social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9"/>
        <w:gridCol w:w="7497"/>
      </w:tblGrid>
      <w:tr w:rsidR="005C342B" w:rsidRPr="00C82609" w:rsidTr="005442CD">
        <w:trPr>
          <w:jc w:val="center"/>
        </w:trPr>
        <w:tc>
          <w:tcPr>
            <w:tcW w:w="1526" w:type="dxa"/>
            <w:shd w:val="clear" w:color="auto" w:fill="92D050"/>
          </w:tcPr>
          <w:p w:rsidR="005C342B" w:rsidRPr="008A05CF" w:rsidRDefault="005C342B" w:rsidP="005442CD">
            <w:pPr>
              <w:jc w:val="both"/>
              <w:rPr>
                <w:rFonts w:ascii="Calibri" w:hAnsi="Calibri"/>
                <w:b/>
              </w:rPr>
            </w:pPr>
            <w:r w:rsidRPr="008A05CF">
              <w:rPr>
                <w:rFonts w:ascii="Calibri" w:hAnsi="Calibri"/>
                <w:b/>
              </w:rPr>
              <w:t>Indigenous and multicultural</w:t>
            </w:r>
          </w:p>
        </w:tc>
        <w:tc>
          <w:tcPr>
            <w:tcW w:w="7716" w:type="dxa"/>
          </w:tcPr>
          <w:p w:rsidR="005C342B" w:rsidRPr="008A05CF" w:rsidRDefault="005C342B" w:rsidP="005442CD">
            <w:pPr>
              <w:numPr>
                <w:ilvl w:val="0"/>
                <w:numId w:val="1"/>
              </w:numPr>
              <w:spacing w:after="40" w:line="240" w:lineRule="auto"/>
              <w:ind w:left="360"/>
              <w:rPr>
                <w:rFonts w:ascii="Calibri" w:hAnsi="Calibri"/>
              </w:rPr>
            </w:pPr>
            <w:r w:rsidRPr="008A05CF">
              <w:rPr>
                <w:rFonts w:ascii="Calibri" w:hAnsi="Calibri"/>
              </w:rPr>
              <w:t>Research is clear that Aboriginal and Torres Strait Islander students enjoy greater success when they can see their perspectives in cultures and languages reflected in the curriculum and school environment.</w:t>
            </w:r>
          </w:p>
          <w:p w:rsidR="005C342B" w:rsidRPr="008A05CF" w:rsidRDefault="005C342B" w:rsidP="005442CD">
            <w:pPr>
              <w:numPr>
                <w:ilvl w:val="0"/>
                <w:numId w:val="1"/>
              </w:numPr>
              <w:spacing w:after="40" w:line="240" w:lineRule="auto"/>
              <w:ind w:left="360"/>
              <w:rPr>
                <w:rFonts w:ascii="Calibri" w:hAnsi="Calibri"/>
              </w:rPr>
            </w:pPr>
            <w:r w:rsidRPr="008A05CF">
              <w:rPr>
                <w:rFonts w:ascii="Calibri" w:hAnsi="Calibri"/>
              </w:rPr>
              <w:t>The whole school community benefits from higher cultural integrity, with Aboriginal and Torres Strait Islander perspective embedded throughout teaching and learning and the physical environment.</w:t>
            </w:r>
          </w:p>
          <w:p w:rsidR="005C342B" w:rsidRPr="008A05CF" w:rsidRDefault="005C342B" w:rsidP="005442CD">
            <w:pPr>
              <w:numPr>
                <w:ilvl w:val="0"/>
                <w:numId w:val="1"/>
              </w:numPr>
              <w:spacing w:after="40" w:line="240" w:lineRule="auto"/>
              <w:ind w:left="360"/>
              <w:rPr>
                <w:rFonts w:ascii="Calibri" w:hAnsi="Calibri"/>
              </w:rPr>
            </w:pPr>
            <w:r w:rsidRPr="008A05CF">
              <w:rPr>
                <w:rFonts w:ascii="Calibri" w:hAnsi="Calibri"/>
              </w:rPr>
              <w:t>The development of the Cultural Integrity Policy and the Cultural Integrity Continuum demonstrates the commitment to strengths based, non-deficit approach to Aboriginal and Torres Strait Islander education.</w:t>
            </w:r>
          </w:p>
        </w:tc>
      </w:tr>
    </w:tbl>
    <w:p w:rsidR="005C342B" w:rsidRPr="008A05CF" w:rsidRDefault="005C342B" w:rsidP="005C342B">
      <w:pPr>
        <w:spacing w:before="120" w:after="0"/>
        <w:jc w:val="both"/>
        <w:rPr>
          <w:rFonts w:ascii="Calibri" w:hAnsi="Calibri"/>
          <w:b/>
          <w:bCs/>
        </w:rPr>
      </w:pPr>
      <w:r w:rsidRPr="008A05CF">
        <w:rPr>
          <w:rFonts w:ascii="Calibri" w:hAnsi="Calibri"/>
          <w:b/>
          <w:bCs/>
        </w:rPr>
        <w:t>Economic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8"/>
        <w:gridCol w:w="7498"/>
      </w:tblGrid>
      <w:tr w:rsidR="005C342B" w:rsidRPr="00C82609" w:rsidTr="005442CD">
        <w:trPr>
          <w:jc w:val="center"/>
        </w:trPr>
        <w:tc>
          <w:tcPr>
            <w:tcW w:w="1526" w:type="dxa"/>
            <w:shd w:val="clear" w:color="auto" w:fill="00B0F0"/>
          </w:tcPr>
          <w:p w:rsidR="005C342B" w:rsidRPr="008A05CF" w:rsidRDefault="005C342B" w:rsidP="005442CD">
            <w:pPr>
              <w:jc w:val="both"/>
              <w:rPr>
                <w:rFonts w:ascii="Calibri" w:hAnsi="Calibri"/>
              </w:rPr>
            </w:pPr>
            <w:r w:rsidRPr="008A05CF">
              <w:rPr>
                <w:rFonts w:ascii="Calibri" w:hAnsi="Calibri"/>
                <w:b/>
                <w:bCs/>
              </w:rPr>
              <w:t>ACT Government Budget</w:t>
            </w:r>
          </w:p>
        </w:tc>
        <w:tc>
          <w:tcPr>
            <w:tcW w:w="7716" w:type="dxa"/>
          </w:tcPr>
          <w:p w:rsidR="005C342B" w:rsidRPr="008A05CF" w:rsidRDefault="005C342B" w:rsidP="005442CD">
            <w:pPr>
              <w:numPr>
                <w:ilvl w:val="0"/>
                <w:numId w:val="1"/>
              </w:numPr>
              <w:spacing w:after="0" w:line="240" w:lineRule="auto"/>
              <w:ind w:left="360"/>
              <w:rPr>
                <w:rFonts w:ascii="Calibri" w:hAnsi="Calibri"/>
              </w:rPr>
            </w:pPr>
            <w:r w:rsidRPr="008A05CF">
              <w:rPr>
                <w:rFonts w:ascii="Calibri" w:hAnsi="Calibri"/>
              </w:rPr>
              <w:t>Implementation of the Government Response will use existing funding. No additional funding is being sought.</w:t>
            </w:r>
          </w:p>
        </w:tc>
      </w:tr>
    </w:tbl>
    <w:p w:rsidR="005C342B" w:rsidRPr="00C82609" w:rsidRDefault="005C342B" w:rsidP="005C342B">
      <w:pPr>
        <w:spacing w:before="120" w:after="0"/>
        <w:jc w:val="both"/>
        <w:rPr>
          <w:rFonts w:ascii="Calibri" w:hAnsi="Calibri"/>
          <w:b/>
          <w:bCs/>
        </w:rPr>
      </w:pPr>
      <w:r w:rsidRPr="00C82609">
        <w:rPr>
          <w:rFonts w:ascii="Calibri" w:hAnsi="Calibri"/>
          <w:b/>
          <w:bCs/>
        </w:rPr>
        <w:t>Environmental</w:t>
      </w:r>
    </w:p>
    <w:p w:rsidR="005C342B" w:rsidRPr="008A05CF" w:rsidRDefault="005C342B" w:rsidP="005C342B">
      <w:pPr>
        <w:rPr>
          <w:rFonts w:ascii="Calibri" w:hAnsi="Calibri"/>
        </w:rPr>
      </w:pPr>
      <w:r w:rsidRPr="008A05CF">
        <w:rPr>
          <w:rFonts w:ascii="Calibri" w:hAnsi="Calibri"/>
        </w:rPr>
        <w:t>Nil impact</w:t>
      </w:r>
    </w:p>
    <w:p w:rsidR="00AC016A" w:rsidRDefault="00AC016A">
      <w:bookmarkStart w:id="0" w:name="_GoBack"/>
      <w:bookmarkEnd w:id="0"/>
    </w:p>
    <w:sectPr w:rsidR="00AC01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DD604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42B"/>
    <w:rsid w:val="005C342B"/>
    <w:rsid w:val="00AC01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6A694-30B1-4154-AE9F-1022E876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42B"/>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1E13CD-5A6F-4416-AA0E-320351543DC8}"/>
</file>

<file path=customXml/itemProps2.xml><?xml version="1.0" encoding="utf-8"?>
<ds:datastoreItem xmlns:ds="http://schemas.openxmlformats.org/officeDocument/2006/customXml" ds:itemID="{11E4CCFB-D091-44D6-8AB1-5D982B9F9985}"/>
</file>

<file path=customXml/itemProps3.xml><?xml version="1.0" encoding="utf-8"?>
<ds:datastoreItem xmlns:ds="http://schemas.openxmlformats.org/officeDocument/2006/customXml" ds:itemID="{67EC1985-2798-4DB7-B1B9-90B0CB67532D}"/>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Dorena</dc:creator>
  <cp:keywords/>
  <dc:description/>
  <cp:lastModifiedBy>Morris, Dorena</cp:lastModifiedBy>
  <cp:revision>1</cp:revision>
  <dcterms:created xsi:type="dcterms:W3CDTF">2018-11-21T23:17:00Z</dcterms:created>
  <dcterms:modified xsi:type="dcterms:W3CDTF">2018-11-21T23:17:00Z</dcterms:modified>
</cp:coreProperties>
</file>