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A97" w:rsidRPr="002E73CA" w:rsidRDefault="00394DDF" w:rsidP="002E73CA">
      <w:pPr>
        <w:pStyle w:val="Title"/>
        <w:rPr>
          <w:szCs w:val="40"/>
        </w:rPr>
      </w:pPr>
      <w:r>
        <w:rPr>
          <w:szCs w:val="40"/>
        </w:rPr>
        <w:t xml:space="preserve">ACT </w:t>
      </w:r>
      <w:r w:rsidR="002E73CA" w:rsidRPr="002E73CA">
        <w:rPr>
          <w:szCs w:val="40"/>
        </w:rPr>
        <w:t>GOVERNMENT SECONDMENT POLICY</w:t>
      </w:r>
      <w:r w:rsidR="009E6116" w:rsidRPr="002E73CA">
        <w:rPr>
          <w:szCs w:val="40"/>
        </w:rPr>
        <w:t xml:space="preserve"> </w:t>
      </w:r>
    </w:p>
    <w:p w:rsidR="005875A6" w:rsidRDefault="005875A6" w:rsidP="002E73CA">
      <w:pPr>
        <w:pStyle w:val="Heading1"/>
        <w:spacing w:line="360" w:lineRule="auto"/>
      </w:pPr>
      <w:bookmarkStart w:id="0" w:name="_Toc415042775"/>
      <w:r w:rsidRPr="00721A97">
        <w:t>Purpose</w:t>
      </w:r>
    </w:p>
    <w:p w:rsidR="005875A6" w:rsidRDefault="00394DDF" w:rsidP="00394DDF">
      <w:pPr>
        <w:numPr>
          <w:ilvl w:val="0"/>
          <w:numId w:val="24"/>
        </w:numPr>
        <w:ind w:left="357" w:hanging="357"/>
      </w:pPr>
      <w:r>
        <w:t xml:space="preserve">The </w:t>
      </w:r>
      <w:bookmarkStart w:id="1" w:name="_GoBack"/>
      <w:r w:rsidR="005875A6">
        <w:t xml:space="preserve">ACT </w:t>
      </w:r>
      <w:r w:rsidR="002E73CA">
        <w:t>Government</w:t>
      </w:r>
      <w:r w:rsidR="005875A6">
        <w:t xml:space="preserve"> secondment</w:t>
      </w:r>
      <w:r w:rsidR="002E73CA">
        <w:t xml:space="preserve"> policy </w:t>
      </w:r>
      <w:bookmarkEnd w:id="1"/>
      <w:r w:rsidR="005875A6">
        <w:t>articulate</w:t>
      </w:r>
      <w:r w:rsidR="002E73CA">
        <w:t>s</w:t>
      </w:r>
      <w:r w:rsidR="005875A6">
        <w:t xml:space="preserve"> the overarching </w:t>
      </w:r>
      <w:r>
        <w:t>principles</w:t>
      </w:r>
      <w:r w:rsidR="002E73CA">
        <w:t xml:space="preserve"> and </w:t>
      </w:r>
      <w:r w:rsidR="005875A6">
        <w:t>consideration to be given by delegates when arranging</w:t>
      </w:r>
      <w:r w:rsidR="002E73CA">
        <w:t xml:space="preserve"> secondment and job swap</w:t>
      </w:r>
      <w:r w:rsidR="005875A6">
        <w:t xml:space="preserve"> placement</w:t>
      </w:r>
      <w:r w:rsidR="002E73CA">
        <w:t>s</w:t>
      </w:r>
      <w:r w:rsidR="005875A6">
        <w:t xml:space="preserve"> of staff </w:t>
      </w:r>
      <w:r w:rsidR="0044440B">
        <w:t xml:space="preserve">into and out of ACT Government </w:t>
      </w:r>
      <w:r w:rsidR="005875A6">
        <w:t>workplaces.</w:t>
      </w:r>
    </w:p>
    <w:p w:rsidR="00394DDF" w:rsidRDefault="00394DDF" w:rsidP="00394DDF"/>
    <w:p w:rsidR="005875A6" w:rsidRDefault="005875A6" w:rsidP="00394DDF">
      <w:pPr>
        <w:pStyle w:val="Heading1"/>
      </w:pPr>
      <w:bookmarkStart w:id="2" w:name="_Toc415042776"/>
      <w:r w:rsidRPr="00721A97">
        <w:t>Application</w:t>
      </w:r>
      <w:bookmarkEnd w:id="2"/>
    </w:p>
    <w:p w:rsidR="005875A6" w:rsidRPr="00394DDF" w:rsidRDefault="005875A6" w:rsidP="00394DDF">
      <w:pPr>
        <w:pStyle w:val="ListParagraph"/>
        <w:numPr>
          <w:ilvl w:val="0"/>
          <w:numId w:val="24"/>
        </w:numPr>
        <w:rPr>
          <w:color w:val="000000"/>
        </w:rPr>
      </w:pPr>
      <w:r w:rsidRPr="00394DDF">
        <w:rPr>
          <w:color w:val="000000"/>
        </w:rPr>
        <w:t xml:space="preserve">This policy contains a set of </w:t>
      </w:r>
      <w:r w:rsidRPr="00394DDF">
        <w:rPr>
          <w:bCs/>
          <w:color w:val="000000"/>
        </w:rPr>
        <w:t>whole-of-government</w:t>
      </w:r>
      <w:r w:rsidRPr="00394DDF">
        <w:rPr>
          <w:color w:val="000000"/>
        </w:rPr>
        <w:t xml:space="preserve"> instructions issued by the Head of Service under the </w:t>
      </w:r>
      <w:r w:rsidRPr="00394DDF">
        <w:rPr>
          <w:i/>
          <w:iCs/>
          <w:color w:val="000000"/>
        </w:rPr>
        <w:t>Public Sector Management Act 1994</w:t>
      </w:r>
      <w:r w:rsidRPr="00394DDF">
        <w:rPr>
          <w:color w:val="000000"/>
        </w:rPr>
        <w:t xml:space="preserve"> which binds all employees and officers engaged under that Act.</w:t>
      </w:r>
    </w:p>
    <w:p w:rsidR="005875A6" w:rsidRPr="00EB3EB6" w:rsidRDefault="002E73CA" w:rsidP="00394DDF">
      <w:pPr>
        <w:pStyle w:val="Heading1"/>
      </w:pPr>
      <w:r>
        <w:t>Background</w:t>
      </w:r>
    </w:p>
    <w:p w:rsidR="005875A6" w:rsidRPr="00394DDF" w:rsidRDefault="00435E10" w:rsidP="00394DDF">
      <w:pPr>
        <w:numPr>
          <w:ilvl w:val="0"/>
          <w:numId w:val="24"/>
        </w:numPr>
      </w:pPr>
      <w:r>
        <w:t>Secondments</w:t>
      </w:r>
      <w:r w:rsidR="005875A6">
        <w:t xml:space="preserve"> </w:t>
      </w:r>
      <w:r w:rsidR="005875A6" w:rsidRPr="004A0A03">
        <w:t>can be</w:t>
      </w:r>
      <w:r w:rsidR="005875A6">
        <w:t xml:space="preserve"> as a result of a s</w:t>
      </w:r>
      <w:r w:rsidR="005875A6" w:rsidRPr="005607FA">
        <w:rPr>
          <w:bCs/>
        </w:rPr>
        <w:t>olitary placement (secondment)</w:t>
      </w:r>
      <w:r w:rsidR="005875A6">
        <w:rPr>
          <w:bCs/>
        </w:rPr>
        <w:t xml:space="preserve"> </w:t>
      </w:r>
      <w:r w:rsidR="005875A6" w:rsidRPr="005607FA">
        <w:rPr>
          <w:bCs/>
        </w:rPr>
        <w:t>or a job swap bet</w:t>
      </w:r>
      <w:r w:rsidR="005875A6">
        <w:rPr>
          <w:bCs/>
        </w:rPr>
        <w:t>ween consenting employees and</w:t>
      </w:r>
      <w:r w:rsidR="0044440B">
        <w:rPr>
          <w:bCs/>
        </w:rPr>
        <w:t xml:space="preserve"> employers, where an</w:t>
      </w:r>
      <w:r w:rsidR="005875A6" w:rsidRPr="005607FA">
        <w:rPr>
          <w:bCs/>
        </w:rPr>
        <w:t xml:space="preserve"> employee switches jobs with a worker in a</w:t>
      </w:r>
      <w:r w:rsidR="00801266">
        <w:rPr>
          <w:bCs/>
        </w:rPr>
        <w:t xml:space="preserve"> similar employment stream in a</w:t>
      </w:r>
      <w:r w:rsidR="00394DDF">
        <w:rPr>
          <w:bCs/>
        </w:rPr>
        <w:t>nother Government, n</w:t>
      </w:r>
      <w:r w:rsidR="005875A6" w:rsidRPr="005607FA">
        <w:rPr>
          <w:bCs/>
        </w:rPr>
        <w:t>on</w:t>
      </w:r>
      <w:r>
        <w:rPr>
          <w:bCs/>
        </w:rPr>
        <w:t>-</w:t>
      </w:r>
      <w:r w:rsidR="005875A6" w:rsidRPr="005607FA">
        <w:rPr>
          <w:bCs/>
        </w:rPr>
        <w:t>Government or private sector organisation.</w:t>
      </w:r>
    </w:p>
    <w:p w:rsidR="00394DDF" w:rsidRPr="005607FA" w:rsidRDefault="00394DDF" w:rsidP="00394DDF"/>
    <w:p w:rsidR="00394DDF" w:rsidRDefault="00435E10" w:rsidP="00394DDF">
      <w:pPr>
        <w:numPr>
          <w:ilvl w:val="0"/>
          <w:numId w:val="24"/>
        </w:numPr>
      </w:pPr>
      <w:r>
        <w:t>S</w:t>
      </w:r>
      <w:r w:rsidR="005875A6" w:rsidRPr="00820C9B">
        <w:t>econdments</w:t>
      </w:r>
      <w:r w:rsidR="005875A6">
        <w:t xml:space="preserve"> and job swaps</w:t>
      </w:r>
      <w:r w:rsidR="005875A6" w:rsidRPr="00820C9B">
        <w:t xml:space="preserve"> are</w:t>
      </w:r>
      <w:r w:rsidR="005875A6">
        <w:t xml:space="preserve"> intended as ‘one off’ arrangements for the purposes of</w:t>
      </w:r>
      <w:r w:rsidR="005875A6" w:rsidRPr="00F42868">
        <w:t xml:space="preserve"> </w:t>
      </w:r>
      <w:r w:rsidR="005875A6" w:rsidRPr="00820C9B">
        <w:t>providing relevant learning and development opportunities while also enhancing the depth and quality of inter-workplace relations</w:t>
      </w:r>
      <w:r w:rsidR="00394DDF">
        <w:t>.</w:t>
      </w:r>
    </w:p>
    <w:p w:rsidR="00394DDF" w:rsidRDefault="00394DDF" w:rsidP="00394DDF"/>
    <w:p w:rsidR="005875A6" w:rsidRDefault="005875A6" w:rsidP="00394DDF">
      <w:pPr>
        <w:numPr>
          <w:ilvl w:val="0"/>
          <w:numId w:val="24"/>
        </w:numPr>
      </w:pPr>
      <w:r>
        <w:t>Providing they align with the principles below, secondment</w:t>
      </w:r>
      <w:r w:rsidR="00394DDF">
        <w:t xml:space="preserve"> or</w:t>
      </w:r>
      <w:r>
        <w:t xml:space="preserve"> job swap opportunities are most appropriate</w:t>
      </w:r>
      <w:r w:rsidRPr="00820C9B">
        <w:t xml:space="preserve"> at the Senior Officer</w:t>
      </w:r>
      <w:r>
        <w:t xml:space="preserve"> </w:t>
      </w:r>
      <w:r w:rsidR="00435E10">
        <w:t>and executive levels.</w:t>
      </w:r>
      <w:r>
        <w:t xml:space="preserve"> </w:t>
      </w:r>
      <w:r w:rsidR="0021790E">
        <w:t xml:space="preserve">Where the </w:t>
      </w:r>
      <w:proofErr w:type="spellStart"/>
      <w:r w:rsidR="0021790E">
        <w:t>secondee</w:t>
      </w:r>
      <w:proofErr w:type="spellEnd"/>
      <w:r w:rsidR="0021790E">
        <w:t xml:space="preserve"> is a senior executive the term of the arrangement is not to exceed the term of the executive’s contract.</w:t>
      </w:r>
    </w:p>
    <w:p w:rsidR="00394DDF" w:rsidRPr="000772AE" w:rsidRDefault="00394DDF" w:rsidP="00394DDF"/>
    <w:p w:rsidR="005875A6" w:rsidRPr="00BB6944" w:rsidRDefault="005875A6" w:rsidP="00394DDF">
      <w:pPr>
        <w:pStyle w:val="Heading1"/>
      </w:pPr>
      <w:r>
        <w:t>Principles</w:t>
      </w:r>
    </w:p>
    <w:p w:rsidR="005875A6" w:rsidRPr="005607FA" w:rsidRDefault="00394DDF" w:rsidP="00394DDF">
      <w:pPr>
        <w:pStyle w:val="ListParagraph"/>
        <w:numPr>
          <w:ilvl w:val="0"/>
          <w:numId w:val="24"/>
        </w:numPr>
        <w:spacing w:line="240" w:lineRule="auto"/>
      </w:pPr>
      <w:r>
        <w:t>Directors-General</w:t>
      </w:r>
      <w:r w:rsidR="005875A6">
        <w:t xml:space="preserve"> organising secondment or job swaps should give consideration to the following principles:</w:t>
      </w:r>
    </w:p>
    <w:p w:rsidR="005875A6" w:rsidRDefault="005875A6" w:rsidP="00394DDF">
      <w:pPr>
        <w:pStyle w:val="ListParagraph"/>
        <w:numPr>
          <w:ilvl w:val="1"/>
          <w:numId w:val="24"/>
        </w:numPr>
        <w:spacing w:after="0" w:line="240" w:lineRule="auto"/>
        <w:ind w:left="1077" w:hanging="720"/>
        <w:contextualSpacing w:val="0"/>
        <w:rPr>
          <w:bCs/>
        </w:rPr>
      </w:pPr>
      <w:r>
        <w:rPr>
          <w:bCs/>
        </w:rPr>
        <w:t xml:space="preserve">That the employee will be able to undertake work required of them by the receiving </w:t>
      </w:r>
      <w:r w:rsidRPr="003E02D8">
        <w:rPr>
          <w:bCs/>
        </w:rPr>
        <w:t xml:space="preserve">entity and conduct themselves in a manner consistent with that expected of an ACT Public Servant with minimal </w:t>
      </w:r>
      <w:r>
        <w:rPr>
          <w:bCs/>
        </w:rPr>
        <w:t>supervision while on secondment.</w:t>
      </w:r>
    </w:p>
    <w:p w:rsidR="005875A6" w:rsidRPr="003E02D8" w:rsidRDefault="005875A6" w:rsidP="00394DDF">
      <w:pPr>
        <w:pStyle w:val="ListParagraph"/>
        <w:numPr>
          <w:ilvl w:val="1"/>
          <w:numId w:val="24"/>
        </w:numPr>
        <w:spacing w:after="0" w:line="240" w:lineRule="auto"/>
        <w:ind w:left="1077" w:hanging="720"/>
        <w:contextualSpacing w:val="0"/>
        <w:rPr>
          <w:bCs/>
        </w:rPr>
      </w:pPr>
      <w:r>
        <w:rPr>
          <w:bCs/>
        </w:rPr>
        <w:t>That the employee has capacity to</w:t>
      </w:r>
      <w:r w:rsidRPr="003E02D8">
        <w:rPr>
          <w:bCs/>
        </w:rPr>
        <w:t xml:space="preserve"> manage sensitivities, issues of confidentiality, perceived or actual conflicts</w:t>
      </w:r>
      <w:r>
        <w:rPr>
          <w:bCs/>
        </w:rPr>
        <w:t xml:space="preserve"> of interest and their manager (in their substantive organisation) has</w:t>
      </w:r>
      <w:r w:rsidRPr="003E02D8">
        <w:rPr>
          <w:bCs/>
        </w:rPr>
        <w:t xml:space="preserve"> availabilit</w:t>
      </w:r>
      <w:r w:rsidR="00394DDF">
        <w:rPr>
          <w:bCs/>
        </w:rPr>
        <w:t>y to support them</w:t>
      </w:r>
      <w:r w:rsidRPr="003E02D8">
        <w:rPr>
          <w:bCs/>
        </w:rPr>
        <w:t xml:space="preserve"> during the pe</w:t>
      </w:r>
      <w:r>
        <w:rPr>
          <w:bCs/>
        </w:rPr>
        <w:t>riod of secondment if required.</w:t>
      </w:r>
    </w:p>
    <w:p w:rsidR="005875A6" w:rsidRPr="00820C9B" w:rsidRDefault="005875A6" w:rsidP="00394DDF">
      <w:pPr>
        <w:pStyle w:val="ListParagraph"/>
        <w:numPr>
          <w:ilvl w:val="1"/>
          <w:numId w:val="24"/>
        </w:numPr>
        <w:spacing w:after="0" w:line="240" w:lineRule="auto"/>
        <w:ind w:left="1077" w:hanging="720"/>
        <w:contextualSpacing w:val="0"/>
        <w:rPr>
          <w:bCs/>
        </w:rPr>
      </w:pPr>
      <w:r>
        <w:t>That the employee has a current performance agreement in place and the</w:t>
      </w:r>
      <w:r w:rsidRPr="00820C9B">
        <w:t xml:space="preserve"> secondment placement is relevant to the employee’s documented development </w:t>
      </w:r>
      <w:r w:rsidRPr="00820C9B">
        <w:lastRenderedPageBreak/>
        <w:t>priorities</w:t>
      </w:r>
      <w:r>
        <w:t xml:space="preserve"> in their performance agreement</w:t>
      </w:r>
      <w:r w:rsidR="00FE3F4E">
        <w:t>, or, the secondment is clearly in the interests of the ACTPS to go ahead</w:t>
      </w:r>
      <w:r w:rsidR="00394DDF">
        <w:t>.</w:t>
      </w:r>
    </w:p>
    <w:p w:rsidR="005875A6" w:rsidRPr="00820C9B" w:rsidRDefault="0044440B" w:rsidP="00394DDF">
      <w:pPr>
        <w:pStyle w:val="ListParagraph"/>
        <w:numPr>
          <w:ilvl w:val="1"/>
          <w:numId w:val="24"/>
        </w:numPr>
        <w:spacing w:after="0" w:line="240" w:lineRule="auto"/>
        <w:ind w:left="1077" w:hanging="720"/>
        <w:contextualSpacing w:val="0"/>
        <w:rPr>
          <w:bCs/>
        </w:rPr>
      </w:pPr>
      <w:r>
        <w:t>Whether the</w:t>
      </w:r>
      <w:r w:rsidR="005875A6">
        <w:t xml:space="preserve"> organisation has the</w:t>
      </w:r>
      <w:r w:rsidR="005875A6" w:rsidRPr="00820C9B">
        <w:t xml:space="preserve"> capacity to effect</w:t>
      </w:r>
      <w:r w:rsidR="005875A6">
        <w:t xml:space="preserve">ively manage the </w:t>
      </w:r>
      <w:proofErr w:type="spellStart"/>
      <w:r w:rsidR="005875A6">
        <w:t>secondee’s</w:t>
      </w:r>
      <w:proofErr w:type="spellEnd"/>
      <w:r w:rsidR="005875A6">
        <w:t xml:space="preserve"> substantive work during their absence for the secondment</w:t>
      </w:r>
      <w:r w:rsidR="005875A6" w:rsidRPr="00820C9B">
        <w:t xml:space="preserve"> period. </w:t>
      </w:r>
    </w:p>
    <w:p w:rsidR="005875A6" w:rsidRPr="00820C9B" w:rsidRDefault="005875A6" w:rsidP="00394DDF">
      <w:pPr>
        <w:pStyle w:val="ListParagraph"/>
        <w:numPr>
          <w:ilvl w:val="1"/>
          <w:numId w:val="24"/>
        </w:numPr>
        <w:spacing w:after="0" w:line="240" w:lineRule="auto"/>
        <w:ind w:left="1077" w:hanging="720"/>
        <w:contextualSpacing w:val="0"/>
        <w:rPr>
          <w:bCs/>
        </w:rPr>
      </w:pPr>
      <w:r>
        <w:t xml:space="preserve">Whether there are any </w:t>
      </w:r>
      <w:r w:rsidR="00FE3F4E">
        <w:t>pre-existing</w:t>
      </w:r>
      <w:r>
        <w:t xml:space="preserve"> </w:t>
      </w:r>
      <w:r w:rsidRPr="00820C9B">
        <w:t xml:space="preserve">commitments affecting the employee’s availability during the secondment period, noting flexibility as to start and end date. </w:t>
      </w:r>
    </w:p>
    <w:p w:rsidR="005875A6" w:rsidRPr="00394DDF" w:rsidRDefault="005875A6" w:rsidP="00394DDF">
      <w:pPr>
        <w:pStyle w:val="ListParagraph"/>
        <w:numPr>
          <w:ilvl w:val="1"/>
          <w:numId w:val="24"/>
        </w:numPr>
        <w:spacing w:after="0" w:line="240" w:lineRule="auto"/>
        <w:ind w:left="1077" w:hanging="720"/>
        <w:contextualSpacing w:val="0"/>
        <w:rPr>
          <w:bCs/>
        </w:rPr>
      </w:pPr>
      <w:r w:rsidRPr="00820C9B">
        <w:t>The employee’s capacity to assist evaluation of the efficacy of the secondment and considerations to</w:t>
      </w:r>
      <w:r w:rsidR="00394DDF">
        <w:t xml:space="preserve"> inform any future initiatives.</w:t>
      </w:r>
    </w:p>
    <w:p w:rsidR="00394DDF" w:rsidRPr="00394DDF" w:rsidRDefault="00394DDF" w:rsidP="00394DDF">
      <w:pPr>
        <w:ind w:left="357"/>
        <w:rPr>
          <w:bCs/>
        </w:rPr>
      </w:pPr>
    </w:p>
    <w:p w:rsidR="005875A6" w:rsidRPr="00B95DD7" w:rsidRDefault="00394DDF" w:rsidP="00394DDF">
      <w:pPr>
        <w:pStyle w:val="Heading1"/>
      </w:pPr>
      <w:r>
        <w:t>Responsibilities</w:t>
      </w:r>
    </w:p>
    <w:p w:rsidR="005875A6" w:rsidRDefault="005875A6" w:rsidP="00394DDF">
      <w:pPr>
        <w:numPr>
          <w:ilvl w:val="0"/>
          <w:numId w:val="24"/>
        </w:numPr>
      </w:pPr>
      <w:r>
        <w:t xml:space="preserve">The </w:t>
      </w:r>
      <w:r w:rsidR="00394DDF">
        <w:t>Director-General</w:t>
      </w:r>
      <w:r>
        <w:t xml:space="preserve"> is responsible for consideration of the above principles when determining the suitability of a secondment or job swap arrangement and ensuring completion of ‘Secondment Reciprocal Agreement’ and ‘Application for Approval of a Second Job’ </w:t>
      </w:r>
      <w:r w:rsidR="0044440B">
        <w:t>d</w:t>
      </w:r>
      <w:r>
        <w:t xml:space="preserve">ocumentation by the receiving organisation and </w:t>
      </w:r>
      <w:proofErr w:type="spellStart"/>
      <w:r>
        <w:t>secondee</w:t>
      </w:r>
      <w:proofErr w:type="spellEnd"/>
      <w:r>
        <w:t xml:space="preserve"> respectively.</w:t>
      </w:r>
    </w:p>
    <w:p w:rsidR="00394DDF" w:rsidRDefault="00394DDF" w:rsidP="00394DDF"/>
    <w:p w:rsidR="005875A6" w:rsidRDefault="005875A6" w:rsidP="00394DDF">
      <w:pPr>
        <w:numPr>
          <w:ilvl w:val="0"/>
          <w:numId w:val="24"/>
        </w:numPr>
      </w:pPr>
      <w:r>
        <w:t xml:space="preserve">The </w:t>
      </w:r>
      <w:proofErr w:type="spellStart"/>
      <w:r>
        <w:t>secondee</w:t>
      </w:r>
      <w:proofErr w:type="spellEnd"/>
      <w:r>
        <w:t xml:space="preserve"> is responsible for providing formal feedback on completion of their secondment and adhering to the te</w:t>
      </w:r>
      <w:r w:rsidR="00394DDF">
        <w:t>rms of their agreed secondment.</w:t>
      </w:r>
    </w:p>
    <w:p w:rsidR="00394DDF" w:rsidRPr="00B95DD7" w:rsidRDefault="00394DDF" w:rsidP="00394DDF"/>
    <w:p w:rsidR="005875A6" w:rsidRDefault="005875A6" w:rsidP="00394DDF">
      <w:pPr>
        <w:pStyle w:val="Heading1"/>
      </w:pPr>
      <w:r>
        <w:t>Legislative reference</w:t>
      </w:r>
    </w:p>
    <w:p w:rsidR="00394DDF" w:rsidRDefault="005875A6" w:rsidP="00394DDF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ind w:left="357" w:hanging="357"/>
      </w:pPr>
      <w:r w:rsidRPr="005607FA">
        <w:t xml:space="preserve">Sections 120 and 121 of the </w:t>
      </w:r>
      <w:r w:rsidRPr="002E73CA">
        <w:rPr>
          <w:i/>
          <w:iCs/>
        </w:rPr>
        <w:t xml:space="preserve">Public Management Act 1994 </w:t>
      </w:r>
      <w:r w:rsidRPr="005607FA">
        <w:t>pe</w:t>
      </w:r>
      <w:r w:rsidR="00394DDF">
        <w:t>rmit secondments for employees.</w:t>
      </w:r>
    </w:p>
    <w:p w:rsidR="00394DDF" w:rsidRDefault="00394DDF" w:rsidP="00394DDF">
      <w:pPr>
        <w:shd w:val="clear" w:color="auto" w:fill="FFFFFF"/>
      </w:pPr>
    </w:p>
    <w:p w:rsidR="000F20D6" w:rsidRDefault="005875A6" w:rsidP="00394DDF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ind w:left="357" w:hanging="357"/>
      </w:pPr>
      <w:r w:rsidRPr="005607FA">
        <w:t xml:space="preserve">Employees are required </w:t>
      </w:r>
      <w:r w:rsidR="00394DDF">
        <w:t>to submit an application under s</w:t>
      </w:r>
      <w:r w:rsidRPr="005607FA">
        <w:t>ection 244 of the Act to undertake secondary employment covering the term of secondmen</w:t>
      </w:r>
      <w:r>
        <w:t xml:space="preserve">t. </w:t>
      </w:r>
      <w:bookmarkEnd w:id="0"/>
    </w:p>
    <w:p w:rsidR="00394DDF" w:rsidRDefault="00394DDF" w:rsidP="00394DDF">
      <w:pPr>
        <w:shd w:val="clear" w:color="auto" w:fill="FFFFFF"/>
      </w:pPr>
    </w:p>
    <w:p w:rsidR="00394DDF" w:rsidRPr="002E73CA" w:rsidRDefault="00394DDF" w:rsidP="00394DDF">
      <w:pPr>
        <w:shd w:val="clear" w:color="auto" w:fill="FFFFFF"/>
      </w:pPr>
    </w:p>
    <w:p w:rsidR="000F20D6" w:rsidRDefault="000F20D6" w:rsidP="000F20D6">
      <w:pPr>
        <w:tabs>
          <w:tab w:val="left" w:pos="6946"/>
        </w:tabs>
        <w:ind w:rightChars="-18" w:right="-43"/>
      </w:pPr>
      <w:r>
        <w:t>___________________________________</w:t>
      </w:r>
    </w:p>
    <w:p w:rsidR="00394DDF" w:rsidRDefault="00394DDF" w:rsidP="000F20D6">
      <w:pPr>
        <w:tabs>
          <w:tab w:val="left" w:pos="6946"/>
        </w:tabs>
        <w:ind w:rightChars="-18" w:right="-43"/>
      </w:pPr>
    </w:p>
    <w:p w:rsidR="00394DDF" w:rsidRDefault="00394DDF" w:rsidP="000F20D6">
      <w:pPr>
        <w:tabs>
          <w:tab w:val="left" w:pos="6946"/>
        </w:tabs>
        <w:ind w:rightChars="-18" w:right="-43"/>
      </w:pPr>
    </w:p>
    <w:p w:rsidR="000F20D6" w:rsidRDefault="000F20D6" w:rsidP="000F20D6">
      <w:pPr>
        <w:shd w:val="clear" w:color="auto" w:fill="FFFFFF"/>
        <w:rPr>
          <w:rFonts w:cs="Arial"/>
        </w:rPr>
      </w:pPr>
    </w:p>
    <w:p w:rsidR="000C0B12" w:rsidRDefault="000C0B12" w:rsidP="000F20D6">
      <w:pPr>
        <w:tabs>
          <w:tab w:val="left" w:pos="6946"/>
        </w:tabs>
        <w:ind w:rightChars="-18" w:right="-43"/>
      </w:pPr>
      <w:r>
        <w:t>Kathy Leigh</w:t>
      </w:r>
    </w:p>
    <w:p w:rsidR="0001685F" w:rsidRDefault="000C0B12" w:rsidP="0001685F">
      <w:pPr>
        <w:tabs>
          <w:tab w:val="left" w:pos="6946"/>
        </w:tabs>
        <w:ind w:rightChars="-18" w:right="-43"/>
      </w:pPr>
      <w:r>
        <w:t>Head of Service</w:t>
      </w:r>
    </w:p>
    <w:p w:rsidR="000F20D6" w:rsidRDefault="000F20D6" w:rsidP="0001685F">
      <w:pPr>
        <w:tabs>
          <w:tab w:val="left" w:pos="6946"/>
        </w:tabs>
        <w:ind w:rightChars="-18" w:right="-43"/>
      </w:pPr>
    </w:p>
    <w:p w:rsidR="000F20D6" w:rsidRDefault="00653C05" w:rsidP="0001685F">
      <w:pPr>
        <w:tabs>
          <w:tab w:val="left" w:pos="6946"/>
        </w:tabs>
        <w:ind w:rightChars="-18" w:right="-43"/>
      </w:pPr>
      <w:r>
        <w:t xml:space="preserve">21 </w:t>
      </w:r>
      <w:r w:rsidR="003043D6">
        <w:t>August 2018</w:t>
      </w:r>
    </w:p>
    <w:sectPr w:rsidR="000F20D6" w:rsidSect="00721A97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855" w:right="1440" w:bottom="1440" w:left="1440" w:header="568" w:footer="851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5D6" w:rsidRDefault="00E125D6" w:rsidP="0023737F">
      <w:r>
        <w:separator/>
      </w:r>
    </w:p>
  </w:endnote>
  <w:endnote w:type="continuationSeparator" w:id="0">
    <w:p w:rsidR="00E125D6" w:rsidRDefault="00E125D6" w:rsidP="00237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EE3" w:rsidRDefault="00AF5EE3" w:rsidP="00D06693">
    <w:pPr>
      <w:pStyle w:val="Footer"/>
      <w:tabs>
        <w:tab w:val="clear" w:pos="4320"/>
        <w:tab w:val="clear" w:pos="8640"/>
        <w:tab w:val="left" w:pos="1327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EE3" w:rsidRPr="000D6817" w:rsidRDefault="00AF5EE3">
    <w:pPr>
      <w:pStyle w:val="Footer"/>
      <w:jc w:val="right"/>
    </w:pPr>
    <w:r w:rsidRPr="000D6817">
      <w:t xml:space="preserve">Page </w:t>
    </w:r>
    <w:r w:rsidRPr="000D6817">
      <w:rPr>
        <w:sz w:val="24"/>
        <w:szCs w:val="24"/>
      </w:rPr>
      <w:fldChar w:fldCharType="begin"/>
    </w:r>
    <w:r w:rsidRPr="000D6817">
      <w:instrText xml:space="preserve"> PAGE </w:instrText>
    </w:r>
    <w:r w:rsidRPr="000D6817">
      <w:rPr>
        <w:sz w:val="24"/>
        <w:szCs w:val="24"/>
      </w:rPr>
      <w:fldChar w:fldCharType="separate"/>
    </w:r>
    <w:r w:rsidR="00A820BF">
      <w:rPr>
        <w:noProof/>
      </w:rPr>
      <w:t>1</w:t>
    </w:r>
    <w:r w:rsidRPr="000D6817">
      <w:rPr>
        <w:sz w:val="24"/>
        <w:szCs w:val="24"/>
      </w:rPr>
      <w:fldChar w:fldCharType="end"/>
    </w:r>
    <w:r w:rsidRPr="000D6817">
      <w:t xml:space="preserve"> of </w:t>
    </w:r>
    <w:r w:rsidRPr="000D6817">
      <w:rPr>
        <w:sz w:val="24"/>
        <w:szCs w:val="24"/>
      </w:rPr>
      <w:fldChar w:fldCharType="begin"/>
    </w:r>
    <w:r w:rsidRPr="000D6817">
      <w:instrText xml:space="preserve"> NUMPAGES  </w:instrText>
    </w:r>
    <w:r w:rsidRPr="000D6817">
      <w:rPr>
        <w:sz w:val="24"/>
        <w:szCs w:val="24"/>
      </w:rPr>
      <w:fldChar w:fldCharType="separate"/>
    </w:r>
    <w:r w:rsidR="00A820BF">
      <w:rPr>
        <w:noProof/>
      </w:rPr>
      <w:t>2</w:t>
    </w:r>
    <w:r w:rsidRPr="000D6817">
      <w:rPr>
        <w:sz w:val="24"/>
        <w:szCs w:val="24"/>
      </w:rPr>
      <w:fldChar w:fldCharType="end"/>
    </w:r>
  </w:p>
  <w:p w:rsidR="00AF5EE3" w:rsidRDefault="00AF5EE3" w:rsidP="00F3000D">
    <w:pPr>
      <w:pStyle w:val="Footer"/>
      <w:jc w:val="right"/>
      <w:rPr>
        <w:spacing w:val="10"/>
        <w:sz w:val="24"/>
        <w:lang w:val="en-A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5D6" w:rsidRDefault="00E125D6" w:rsidP="0023737F">
      <w:r>
        <w:separator/>
      </w:r>
    </w:p>
  </w:footnote>
  <w:footnote w:type="continuationSeparator" w:id="0">
    <w:p w:rsidR="00E125D6" w:rsidRDefault="00E125D6" w:rsidP="002373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EE3" w:rsidRDefault="00AF5EE3" w:rsidP="00F3000D">
    <w:pPr>
      <w:framePr w:hSpace="180" w:wrap="auto" w:vAnchor="page" w:hAnchor="page" w:x="6913" w:y="721"/>
    </w:pPr>
    <w:r>
      <w:fldChar w:fldCharType="begin"/>
    </w:r>
    <w:r>
      <w:instrText xml:space="preserve"> INCLUDEPICTURE "C:\\Users\\apps\\07\\Templates\\CMD\\Common\\!CMD.TIF" \* MERGEFORMAT \d </w:instrText>
    </w:r>
    <w:r>
      <w:fldChar w:fldCharType="end"/>
    </w:r>
  </w:p>
  <w:p w:rsidR="00AF5EE3" w:rsidRDefault="00AF5EE3" w:rsidP="00F3000D">
    <w:pPr>
      <w:pStyle w:val="Header"/>
    </w:pPr>
  </w:p>
  <w:p w:rsidR="0044440B" w:rsidRPr="00F3000D" w:rsidRDefault="0044440B" w:rsidP="00F3000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EE3" w:rsidRDefault="00AF5EE3">
    <w:pPr>
      <w:framePr w:hSpace="180" w:wrap="auto" w:vAnchor="page" w:hAnchor="page" w:x="6913" w:y="721"/>
    </w:pPr>
    <w:r>
      <w:fldChar w:fldCharType="begin"/>
    </w:r>
    <w:r>
      <w:instrText xml:space="preserve"> INCLUDEPICTURE "C:\\Users\\apps\\07\\Templates\\CMD\\Common\\!CMD.TIF" \* MERGEFORMAT \d </w:instrText>
    </w:r>
    <w:r>
      <w:fldChar w:fldCharType="end"/>
    </w:r>
  </w:p>
  <w:tbl>
    <w:tblPr>
      <w:tblW w:w="0" w:type="auto"/>
      <w:tblLook w:val="04A0" w:firstRow="1" w:lastRow="0" w:firstColumn="1" w:lastColumn="0" w:noHBand="0" w:noVBand="1"/>
    </w:tblPr>
    <w:tblGrid>
      <w:gridCol w:w="4549"/>
      <w:gridCol w:w="4478"/>
    </w:tblGrid>
    <w:tr w:rsidR="00AF5EE3" w:rsidRPr="00173399" w:rsidTr="00F64E27">
      <w:tc>
        <w:tcPr>
          <w:tcW w:w="4621" w:type="dxa"/>
        </w:tcPr>
        <w:p w:rsidR="00AF5EE3" w:rsidRPr="00173399" w:rsidRDefault="00DB5E3A" w:rsidP="00173399">
          <w:pPr>
            <w:pStyle w:val="Header"/>
            <w:tabs>
              <w:tab w:val="clear" w:pos="4320"/>
              <w:tab w:val="clear" w:pos="8640"/>
              <w:tab w:val="left" w:pos="7325"/>
            </w:tabs>
            <w:rPr>
              <w:rFonts w:ascii="Bookman Old Style" w:hAnsi="Bookman Old Style"/>
              <w:sz w:val="24"/>
              <w:lang w:val="en-AU"/>
            </w:rPr>
          </w:pPr>
          <w:r>
            <w:rPr>
              <w:rFonts w:ascii="Bookman Old Style" w:hAnsi="Bookman Old Style"/>
              <w:noProof/>
              <w:sz w:val="24"/>
              <w:lang w:val="en-AU" w:eastAsia="en-AU"/>
            </w:rPr>
            <w:drawing>
              <wp:inline distT="0" distB="0" distL="0" distR="0">
                <wp:extent cx="1399540" cy="715645"/>
                <wp:effectExtent l="0" t="0" r="0" b="8255"/>
                <wp:docPr id="1" name="Picture 1" descr="ACT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CT Govern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9540" cy="715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22" w:type="dxa"/>
        </w:tcPr>
        <w:p w:rsidR="00AF5EE3" w:rsidRPr="00173399" w:rsidRDefault="00AF5EE3" w:rsidP="00F64E27">
          <w:pPr>
            <w:pStyle w:val="Header"/>
            <w:tabs>
              <w:tab w:val="clear" w:pos="4320"/>
              <w:tab w:val="clear" w:pos="8640"/>
              <w:tab w:val="left" w:pos="7325"/>
            </w:tabs>
            <w:jc w:val="right"/>
            <w:rPr>
              <w:b/>
              <w:color w:val="0150A7"/>
              <w:sz w:val="24"/>
              <w:lang w:val="en-AU"/>
            </w:rPr>
          </w:pPr>
        </w:p>
      </w:tc>
    </w:tr>
  </w:tbl>
  <w:p w:rsidR="00AF5EE3" w:rsidRDefault="00AF5EE3" w:rsidP="00173399">
    <w:pPr>
      <w:pStyle w:val="Header"/>
      <w:tabs>
        <w:tab w:val="clear" w:pos="4320"/>
        <w:tab w:val="clear" w:pos="8640"/>
        <w:tab w:val="left" w:pos="7325"/>
      </w:tabs>
      <w:rPr>
        <w:rFonts w:ascii="Bookman Old Style" w:hAnsi="Bookman Old Style"/>
        <w:sz w:val="24"/>
        <w:lang w:val="en-A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511B9"/>
    <w:multiLevelType w:val="hybridMultilevel"/>
    <w:tmpl w:val="49709F1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02149C"/>
    <w:multiLevelType w:val="hybridMultilevel"/>
    <w:tmpl w:val="9940BC94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F139B"/>
    <w:multiLevelType w:val="hybridMultilevel"/>
    <w:tmpl w:val="9EDA77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907F9"/>
    <w:multiLevelType w:val="multilevel"/>
    <w:tmpl w:val="A6B01F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263D9E"/>
    <w:multiLevelType w:val="hybridMultilevel"/>
    <w:tmpl w:val="1C705574"/>
    <w:lvl w:ilvl="0" w:tplc="96DC2122">
      <w:start w:val="1"/>
      <w:numFmt w:val="bullet"/>
      <w:pStyle w:val="Asubpara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  <w:lvl w:ilvl="1" w:tplc="0409000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946D24"/>
    <w:multiLevelType w:val="hybridMultilevel"/>
    <w:tmpl w:val="A3D48D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0709F9"/>
    <w:multiLevelType w:val="hybridMultilevel"/>
    <w:tmpl w:val="9CAE6712"/>
    <w:lvl w:ilvl="0" w:tplc="0C0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7" w15:restartNumberingAfterBreak="0">
    <w:nsid w:val="1EF1356D"/>
    <w:multiLevelType w:val="hybridMultilevel"/>
    <w:tmpl w:val="B8261C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5E2332"/>
    <w:multiLevelType w:val="hybridMultilevel"/>
    <w:tmpl w:val="F942E8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A37C05"/>
    <w:multiLevelType w:val="hybridMultilevel"/>
    <w:tmpl w:val="260ADB2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4934914"/>
    <w:multiLevelType w:val="hybridMultilevel"/>
    <w:tmpl w:val="9F4E0A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8C3D37"/>
    <w:multiLevelType w:val="hybridMultilevel"/>
    <w:tmpl w:val="923A3B30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0F364D"/>
    <w:multiLevelType w:val="hybridMultilevel"/>
    <w:tmpl w:val="C82019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FF5FD6"/>
    <w:multiLevelType w:val="hybridMultilevel"/>
    <w:tmpl w:val="9AAEB110"/>
    <w:lvl w:ilvl="0" w:tplc="0C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7311FF6"/>
    <w:multiLevelType w:val="hybridMultilevel"/>
    <w:tmpl w:val="918AD9A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0F44D0"/>
    <w:multiLevelType w:val="hybridMultilevel"/>
    <w:tmpl w:val="742E82E8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47108E"/>
    <w:multiLevelType w:val="hybridMultilevel"/>
    <w:tmpl w:val="87924C0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6217B3"/>
    <w:multiLevelType w:val="hybridMultilevel"/>
    <w:tmpl w:val="B060C64C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F4047C"/>
    <w:multiLevelType w:val="hybridMultilevel"/>
    <w:tmpl w:val="79F4E2E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6F72CEF"/>
    <w:multiLevelType w:val="hybridMultilevel"/>
    <w:tmpl w:val="779C144C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45515B"/>
    <w:multiLevelType w:val="hybridMultilevel"/>
    <w:tmpl w:val="CA34BF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5D51F5"/>
    <w:multiLevelType w:val="multilevel"/>
    <w:tmpl w:val="A33843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B544B8"/>
    <w:multiLevelType w:val="hybridMultilevel"/>
    <w:tmpl w:val="34D0698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24C78F8"/>
    <w:multiLevelType w:val="hybridMultilevel"/>
    <w:tmpl w:val="0DC24C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450FEC"/>
    <w:multiLevelType w:val="hybridMultilevel"/>
    <w:tmpl w:val="22AC8F6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0C1C3F"/>
    <w:multiLevelType w:val="hybridMultilevel"/>
    <w:tmpl w:val="132A88C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33D78E6"/>
    <w:multiLevelType w:val="hybridMultilevel"/>
    <w:tmpl w:val="EDE27A68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9E2880"/>
    <w:multiLevelType w:val="hybridMultilevel"/>
    <w:tmpl w:val="320E9E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4E122E"/>
    <w:multiLevelType w:val="hybridMultilevel"/>
    <w:tmpl w:val="E6C4AE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6B4BC6"/>
    <w:multiLevelType w:val="hybridMultilevel"/>
    <w:tmpl w:val="A2865620"/>
    <w:lvl w:ilvl="0" w:tplc="0C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E7616A"/>
    <w:multiLevelType w:val="hybridMultilevel"/>
    <w:tmpl w:val="ED34ACF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15429C"/>
    <w:multiLevelType w:val="hybridMultilevel"/>
    <w:tmpl w:val="80F84292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BC1EB6"/>
    <w:multiLevelType w:val="hybridMultilevel"/>
    <w:tmpl w:val="CB8C4D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885F8D"/>
    <w:multiLevelType w:val="hybridMultilevel"/>
    <w:tmpl w:val="A6B01F6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9C66CCD"/>
    <w:multiLevelType w:val="hybridMultilevel"/>
    <w:tmpl w:val="6F50CE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AD61F8"/>
    <w:multiLevelType w:val="hybridMultilevel"/>
    <w:tmpl w:val="135029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4E0E9E"/>
    <w:multiLevelType w:val="hybridMultilevel"/>
    <w:tmpl w:val="F31622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277CA7"/>
    <w:multiLevelType w:val="hybridMultilevel"/>
    <w:tmpl w:val="E97238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29"/>
  </w:num>
  <w:num w:numId="4">
    <w:abstractNumId w:val="13"/>
  </w:num>
  <w:num w:numId="5">
    <w:abstractNumId w:val="30"/>
  </w:num>
  <w:num w:numId="6">
    <w:abstractNumId w:val="17"/>
  </w:num>
  <w:num w:numId="7">
    <w:abstractNumId w:val="26"/>
  </w:num>
  <w:num w:numId="8">
    <w:abstractNumId w:val="15"/>
  </w:num>
  <w:num w:numId="9">
    <w:abstractNumId w:val="31"/>
  </w:num>
  <w:num w:numId="10">
    <w:abstractNumId w:val="11"/>
  </w:num>
  <w:num w:numId="11">
    <w:abstractNumId w:val="1"/>
  </w:num>
  <w:num w:numId="12">
    <w:abstractNumId w:val="19"/>
  </w:num>
  <w:num w:numId="13">
    <w:abstractNumId w:val="36"/>
  </w:num>
  <w:num w:numId="14">
    <w:abstractNumId w:val="24"/>
  </w:num>
  <w:num w:numId="15">
    <w:abstractNumId w:val="0"/>
  </w:num>
  <w:num w:numId="16">
    <w:abstractNumId w:val="14"/>
  </w:num>
  <w:num w:numId="17">
    <w:abstractNumId w:val="9"/>
  </w:num>
  <w:num w:numId="18">
    <w:abstractNumId w:val="12"/>
  </w:num>
  <w:num w:numId="19">
    <w:abstractNumId w:val="18"/>
  </w:num>
  <w:num w:numId="20">
    <w:abstractNumId w:val="2"/>
  </w:num>
  <w:num w:numId="21">
    <w:abstractNumId w:val="16"/>
  </w:num>
  <w:num w:numId="22">
    <w:abstractNumId w:val="22"/>
  </w:num>
  <w:num w:numId="23">
    <w:abstractNumId w:val="37"/>
  </w:num>
  <w:num w:numId="24">
    <w:abstractNumId w:val="25"/>
  </w:num>
  <w:num w:numId="25">
    <w:abstractNumId w:val="6"/>
  </w:num>
  <w:num w:numId="26">
    <w:abstractNumId w:val="35"/>
  </w:num>
  <w:num w:numId="27">
    <w:abstractNumId w:val="32"/>
  </w:num>
  <w:num w:numId="28">
    <w:abstractNumId w:val="10"/>
  </w:num>
  <w:num w:numId="29">
    <w:abstractNumId w:val="28"/>
  </w:num>
  <w:num w:numId="30">
    <w:abstractNumId w:val="5"/>
  </w:num>
  <w:num w:numId="31">
    <w:abstractNumId w:val="23"/>
  </w:num>
  <w:num w:numId="32">
    <w:abstractNumId w:val="34"/>
  </w:num>
  <w:num w:numId="33">
    <w:abstractNumId w:val="27"/>
  </w:num>
  <w:num w:numId="34">
    <w:abstractNumId w:val="20"/>
  </w:num>
  <w:num w:numId="35">
    <w:abstractNumId w:val="8"/>
  </w:num>
  <w:num w:numId="36">
    <w:abstractNumId w:val="7"/>
  </w:num>
  <w:num w:numId="37">
    <w:abstractNumId w:val="33"/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A0NjI2NzU1NjG3MLFU0lEKTi0uzszPAykwrAUAQYlCGSwAAAA="/>
  </w:docVars>
  <w:rsids>
    <w:rsidRoot w:val="00295B49"/>
    <w:rsid w:val="0001685F"/>
    <w:rsid w:val="0001745F"/>
    <w:rsid w:val="000331D7"/>
    <w:rsid w:val="00054971"/>
    <w:rsid w:val="000623C6"/>
    <w:rsid w:val="000C0B12"/>
    <w:rsid w:val="000D6817"/>
    <w:rsid w:val="000F20D6"/>
    <w:rsid w:val="00110EC2"/>
    <w:rsid w:val="00173399"/>
    <w:rsid w:val="001824EC"/>
    <w:rsid w:val="001E213C"/>
    <w:rsid w:val="002031C5"/>
    <w:rsid w:val="0021790E"/>
    <w:rsid w:val="0022591D"/>
    <w:rsid w:val="0023737F"/>
    <w:rsid w:val="002553F1"/>
    <w:rsid w:val="00266BCB"/>
    <w:rsid w:val="00282114"/>
    <w:rsid w:val="00295B49"/>
    <w:rsid w:val="002B7571"/>
    <w:rsid w:val="002C5FE2"/>
    <w:rsid w:val="002D5BCE"/>
    <w:rsid w:val="002E2AF1"/>
    <w:rsid w:val="002E73CA"/>
    <w:rsid w:val="002F178F"/>
    <w:rsid w:val="003043D6"/>
    <w:rsid w:val="00394DDF"/>
    <w:rsid w:val="00395E5C"/>
    <w:rsid w:val="004151DE"/>
    <w:rsid w:val="00432E85"/>
    <w:rsid w:val="00435E10"/>
    <w:rsid w:val="0044440B"/>
    <w:rsid w:val="004A083B"/>
    <w:rsid w:val="004B162E"/>
    <w:rsid w:val="004C59E4"/>
    <w:rsid w:val="004F45D5"/>
    <w:rsid w:val="004F627F"/>
    <w:rsid w:val="005031BA"/>
    <w:rsid w:val="0051155A"/>
    <w:rsid w:val="005217B3"/>
    <w:rsid w:val="00522B89"/>
    <w:rsid w:val="00556AF5"/>
    <w:rsid w:val="00577C38"/>
    <w:rsid w:val="00586397"/>
    <w:rsid w:val="005875A6"/>
    <w:rsid w:val="005F7FCF"/>
    <w:rsid w:val="00632A89"/>
    <w:rsid w:val="006513AA"/>
    <w:rsid w:val="00653C05"/>
    <w:rsid w:val="00684725"/>
    <w:rsid w:val="006B553F"/>
    <w:rsid w:val="00710508"/>
    <w:rsid w:val="00710FAB"/>
    <w:rsid w:val="00721A97"/>
    <w:rsid w:val="0074659C"/>
    <w:rsid w:val="00782086"/>
    <w:rsid w:val="007A769E"/>
    <w:rsid w:val="007B08AE"/>
    <w:rsid w:val="007C3BBF"/>
    <w:rsid w:val="007C717D"/>
    <w:rsid w:val="007C7689"/>
    <w:rsid w:val="007F6794"/>
    <w:rsid w:val="00801266"/>
    <w:rsid w:val="00802FC6"/>
    <w:rsid w:val="00845AF6"/>
    <w:rsid w:val="008C3E9D"/>
    <w:rsid w:val="008D7F54"/>
    <w:rsid w:val="008E192B"/>
    <w:rsid w:val="00971957"/>
    <w:rsid w:val="009B1C6F"/>
    <w:rsid w:val="009B359F"/>
    <w:rsid w:val="009B5BF5"/>
    <w:rsid w:val="009C7B4C"/>
    <w:rsid w:val="009E6116"/>
    <w:rsid w:val="00A07165"/>
    <w:rsid w:val="00A2786A"/>
    <w:rsid w:val="00A62922"/>
    <w:rsid w:val="00A74F3B"/>
    <w:rsid w:val="00A811B9"/>
    <w:rsid w:val="00A820BF"/>
    <w:rsid w:val="00A87AAD"/>
    <w:rsid w:val="00A87D9F"/>
    <w:rsid w:val="00A95D08"/>
    <w:rsid w:val="00AC073E"/>
    <w:rsid w:val="00AC7A21"/>
    <w:rsid w:val="00AD3696"/>
    <w:rsid w:val="00AF100E"/>
    <w:rsid w:val="00AF5EE3"/>
    <w:rsid w:val="00B11EB7"/>
    <w:rsid w:val="00B2222B"/>
    <w:rsid w:val="00B51FAD"/>
    <w:rsid w:val="00BB6F33"/>
    <w:rsid w:val="00BC6BC3"/>
    <w:rsid w:val="00BD33A4"/>
    <w:rsid w:val="00BF6BAC"/>
    <w:rsid w:val="00C273CD"/>
    <w:rsid w:val="00C4118B"/>
    <w:rsid w:val="00C75A71"/>
    <w:rsid w:val="00C808DA"/>
    <w:rsid w:val="00CB0F2D"/>
    <w:rsid w:val="00CF47EF"/>
    <w:rsid w:val="00CF4994"/>
    <w:rsid w:val="00D06693"/>
    <w:rsid w:val="00D178BE"/>
    <w:rsid w:val="00D24620"/>
    <w:rsid w:val="00D448FF"/>
    <w:rsid w:val="00D85EF8"/>
    <w:rsid w:val="00DB5E3A"/>
    <w:rsid w:val="00DC25F7"/>
    <w:rsid w:val="00DF781B"/>
    <w:rsid w:val="00E125D6"/>
    <w:rsid w:val="00E40CFF"/>
    <w:rsid w:val="00E6461D"/>
    <w:rsid w:val="00E97C50"/>
    <w:rsid w:val="00EA212C"/>
    <w:rsid w:val="00EA62AB"/>
    <w:rsid w:val="00EB3576"/>
    <w:rsid w:val="00EB4AA3"/>
    <w:rsid w:val="00F05EDA"/>
    <w:rsid w:val="00F1317D"/>
    <w:rsid w:val="00F1501D"/>
    <w:rsid w:val="00F159CA"/>
    <w:rsid w:val="00F3000D"/>
    <w:rsid w:val="00F33126"/>
    <w:rsid w:val="00F64E27"/>
    <w:rsid w:val="00F703A5"/>
    <w:rsid w:val="00F74B8D"/>
    <w:rsid w:val="00F86791"/>
    <w:rsid w:val="00FC4C41"/>
    <w:rsid w:val="00FD4606"/>
    <w:rsid w:val="00FE3F4E"/>
    <w:rsid w:val="00FE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022522EA-5A97-4452-B8E2-3A2780EF4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6BCB"/>
    <w:rPr>
      <w:rFonts w:eastAsia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66BCB"/>
    <w:pPr>
      <w:keepNext/>
      <w:outlineLvl w:val="0"/>
    </w:pPr>
    <w:rPr>
      <w:b/>
      <w:sz w:val="28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9B359F"/>
    <w:pPr>
      <w:keepNext/>
      <w:outlineLvl w:val="1"/>
    </w:pPr>
    <w:rPr>
      <w:sz w:val="32"/>
      <w:szCs w:val="20"/>
      <w:lang w:val="en-US"/>
    </w:rPr>
  </w:style>
  <w:style w:type="paragraph" w:styleId="Heading4">
    <w:name w:val="heading 4"/>
    <w:basedOn w:val="Normal"/>
    <w:next w:val="Normal"/>
    <w:link w:val="Heading4Char"/>
    <w:qFormat/>
    <w:rsid w:val="009B359F"/>
    <w:pPr>
      <w:keepNext/>
      <w:outlineLvl w:val="3"/>
    </w:pPr>
    <w:rPr>
      <w:rFonts w:ascii="Arial" w:hAnsi="Arial"/>
      <w:color w:val="000080"/>
      <w:szCs w:val="20"/>
    </w:rPr>
  </w:style>
  <w:style w:type="paragraph" w:styleId="Heading6">
    <w:name w:val="heading 6"/>
    <w:basedOn w:val="Normal"/>
    <w:next w:val="Normal"/>
    <w:link w:val="Heading6Char"/>
    <w:qFormat/>
    <w:rsid w:val="009B359F"/>
    <w:pPr>
      <w:keepNext/>
      <w:ind w:right="-57"/>
      <w:outlineLvl w:val="5"/>
    </w:pPr>
    <w:rPr>
      <w:rFonts w:ascii="Arial" w:hAnsi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66BCB"/>
    <w:rPr>
      <w:rFonts w:ascii="Calibri" w:eastAsia="Times New Roman" w:hAnsi="Calibri"/>
      <w:b/>
      <w:sz w:val="28"/>
      <w:lang w:val="en-US" w:eastAsia="en-US"/>
    </w:rPr>
  </w:style>
  <w:style w:type="character" w:customStyle="1" w:styleId="Heading2Char">
    <w:name w:val="Heading 2 Char"/>
    <w:link w:val="Heading2"/>
    <w:rsid w:val="009B359F"/>
    <w:rPr>
      <w:rFonts w:ascii="Times New Roman" w:eastAsia="Times New Roman" w:hAnsi="Times New Roman" w:cs="Times New Roman"/>
      <w:sz w:val="32"/>
      <w:szCs w:val="20"/>
      <w:lang w:val="en-US"/>
    </w:rPr>
  </w:style>
  <w:style w:type="character" w:customStyle="1" w:styleId="Heading4Char">
    <w:name w:val="Heading 4 Char"/>
    <w:link w:val="Heading4"/>
    <w:rsid w:val="009B359F"/>
    <w:rPr>
      <w:rFonts w:ascii="Arial" w:eastAsia="Times New Roman" w:hAnsi="Arial" w:cs="Times New Roman"/>
      <w:color w:val="000080"/>
      <w:sz w:val="24"/>
      <w:szCs w:val="20"/>
    </w:rPr>
  </w:style>
  <w:style w:type="character" w:customStyle="1" w:styleId="Heading6Char">
    <w:name w:val="Heading 6 Char"/>
    <w:link w:val="Heading6"/>
    <w:rsid w:val="009B359F"/>
    <w:rPr>
      <w:rFonts w:ascii="Arial" w:eastAsia="Times New Roman" w:hAnsi="Arial" w:cs="Times New Roman"/>
      <w:b/>
      <w:sz w:val="24"/>
      <w:szCs w:val="20"/>
    </w:rPr>
  </w:style>
  <w:style w:type="paragraph" w:styleId="Header">
    <w:name w:val="header"/>
    <w:basedOn w:val="Normal"/>
    <w:link w:val="HeaderChar"/>
    <w:rsid w:val="009B359F"/>
    <w:pPr>
      <w:tabs>
        <w:tab w:val="center" w:pos="4320"/>
        <w:tab w:val="right" w:pos="8640"/>
      </w:tabs>
    </w:pPr>
    <w:rPr>
      <w:sz w:val="20"/>
      <w:szCs w:val="20"/>
      <w:lang w:val="en-US"/>
    </w:rPr>
  </w:style>
  <w:style w:type="character" w:customStyle="1" w:styleId="HeaderChar">
    <w:name w:val="Header Char"/>
    <w:link w:val="Header"/>
    <w:rsid w:val="009B359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9B359F"/>
    <w:pPr>
      <w:tabs>
        <w:tab w:val="center" w:pos="4320"/>
        <w:tab w:val="right" w:pos="8640"/>
      </w:tabs>
    </w:pPr>
    <w:rPr>
      <w:sz w:val="20"/>
      <w:szCs w:val="20"/>
      <w:lang w:val="en-US"/>
    </w:rPr>
  </w:style>
  <w:style w:type="character" w:customStyle="1" w:styleId="FooterChar">
    <w:name w:val="Footer Char"/>
    <w:link w:val="Footer"/>
    <w:uiPriority w:val="99"/>
    <w:rsid w:val="009B359F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subparabullet">
    <w:name w:val="A subpara bullet"/>
    <w:basedOn w:val="Normal"/>
    <w:rsid w:val="009B359F"/>
    <w:pPr>
      <w:numPr>
        <w:numId w:val="2"/>
      </w:numPr>
    </w:pPr>
  </w:style>
  <w:style w:type="character" w:styleId="Hyperlink">
    <w:name w:val="Hyperlink"/>
    <w:uiPriority w:val="99"/>
    <w:unhideWhenUsed/>
    <w:rsid w:val="009B359F"/>
    <w:rPr>
      <w:color w:val="414958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73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3737F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733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721A97"/>
    <w:pPr>
      <w:spacing w:before="240" w:after="60" w:line="360" w:lineRule="auto"/>
      <w:jc w:val="center"/>
      <w:outlineLvl w:val="0"/>
    </w:pPr>
    <w:rPr>
      <w:b/>
      <w:bCs/>
      <w:kern w:val="28"/>
      <w:sz w:val="48"/>
      <w:szCs w:val="32"/>
    </w:rPr>
  </w:style>
  <w:style w:type="character" w:customStyle="1" w:styleId="TitleChar">
    <w:name w:val="Title Char"/>
    <w:link w:val="Title"/>
    <w:uiPriority w:val="10"/>
    <w:rsid w:val="00721A97"/>
    <w:rPr>
      <w:rFonts w:eastAsia="Times New Roman"/>
      <w:b/>
      <w:bCs/>
      <w:kern w:val="28"/>
      <w:sz w:val="48"/>
      <w:szCs w:val="32"/>
      <w:lang w:eastAsia="en-US"/>
    </w:rPr>
  </w:style>
  <w:style w:type="paragraph" w:customStyle="1" w:styleId="AdviceTitle">
    <w:name w:val="Advice Title"/>
    <w:basedOn w:val="Title"/>
    <w:qFormat/>
    <w:rsid w:val="00EA212C"/>
    <w:rPr>
      <w:sz w:val="4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C6BC3"/>
    <w:rPr>
      <w:rFonts w:eastAsia="Calibri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BC6BC3"/>
    <w:rPr>
      <w:lang w:eastAsia="en-US"/>
    </w:rPr>
  </w:style>
  <w:style w:type="character" w:styleId="FootnoteReference">
    <w:name w:val="footnote reference"/>
    <w:uiPriority w:val="99"/>
    <w:semiHidden/>
    <w:unhideWhenUsed/>
    <w:rsid w:val="00BC6BC3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BC6BC3"/>
    <w:pPr>
      <w:spacing w:after="200" w:line="276" w:lineRule="auto"/>
      <w:ind w:left="720"/>
      <w:contextualSpacing/>
    </w:pPr>
    <w:rPr>
      <w:rFonts w:eastAsia="Calibri" w:cs="Arial"/>
      <w:kern w:val="2"/>
    </w:rPr>
  </w:style>
  <w:style w:type="paragraph" w:styleId="TOCHeading">
    <w:name w:val="TOC Heading"/>
    <w:basedOn w:val="Heading1"/>
    <w:next w:val="Normal"/>
    <w:uiPriority w:val="39"/>
    <w:unhideWhenUsed/>
    <w:qFormat/>
    <w:rsid w:val="00721A97"/>
    <w:pPr>
      <w:keepLines/>
      <w:spacing w:before="480" w:line="276" w:lineRule="auto"/>
      <w:outlineLvl w:val="9"/>
    </w:pPr>
    <w:rPr>
      <w:rFonts w:ascii="Cambria" w:hAnsi="Cambria"/>
      <w:bCs/>
      <w:color w:val="365F91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721A97"/>
  </w:style>
  <w:style w:type="character" w:customStyle="1" w:styleId="ListParagraphChar">
    <w:name w:val="List Paragraph Char"/>
    <w:link w:val="ListParagraph"/>
    <w:uiPriority w:val="34"/>
    <w:rsid w:val="005875A6"/>
    <w:rPr>
      <w:rFonts w:cs="Arial"/>
      <w:kern w:val="2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nise%20ernst\AppData\Local\Microsoft\Windows\Temporary%20Internet%20Files\Content.Outlook\ZWJ9JN7L\MASTER%20Policy-ACT%20PUBLIC%20SECTOR%20%20REASONABLE%20ADJUSTMENT%20POLIC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DD26D-BA59-4895-888F-EC67D285224A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E77F3A0-6EF5-4BE4-AEC5-33BB68548F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BA852E-7AF0-4ED9-8805-C483CB94DC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1922DE4-47CC-4682-BD30-CB23CB8AB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MASTER Policy-ACT PUBLIC SECTOR  REASONABLE ADJUSTMENT POLICY</Template>
  <TotalTime>0</TotalTime>
  <Pages>2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3386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 Government secondment policy </dc:title>
  <dc:subject/>
  <dc:creator>ACT Government</dc:creator>
  <cp:keywords/>
  <cp:lastModifiedBy>Maniacherry, Ponnu</cp:lastModifiedBy>
  <cp:revision>3</cp:revision>
  <cp:lastPrinted>2018-08-20T23:25:00Z</cp:lastPrinted>
  <dcterms:created xsi:type="dcterms:W3CDTF">2019-03-27T03:53:00Z</dcterms:created>
  <dcterms:modified xsi:type="dcterms:W3CDTF">2019-03-28T01:27:00Z</dcterms:modified>
  <cp:category>EMPLOYMENT POLICY</cp:category>
</cp:coreProperties>
</file>