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A97" w:rsidRPr="00FF4017" w:rsidRDefault="003E602F" w:rsidP="00FD251F">
      <w:pPr>
        <w:pStyle w:val="Title"/>
        <w:spacing w:before="0" w:after="0"/>
        <w:rPr>
          <w:sz w:val="40"/>
          <w:szCs w:val="40"/>
        </w:rPr>
      </w:pPr>
      <w:bookmarkStart w:id="0" w:name="_Toc415042774"/>
      <w:r>
        <w:rPr>
          <w:smallCaps/>
          <w:sz w:val="40"/>
          <w:szCs w:val="40"/>
        </w:rPr>
        <w:t xml:space="preserve">USE OF </w:t>
      </w:r>
      <w:r w:rsidR="00960CFF" w:rsidRPr="00FF4017">
        <w:rPr>
          <w:smallCaps/>
          <w:sz w:val="40"/>
          <w:szCs w:val="40"/>
        </w:rPr>
        <w:t xml:space="preserve">RECORDING DEVICES </w:t>
      </w:r>
      <w:r w:rsidR="0001685F" w:rsidRPr="00FF4017">
        <w:rPr>
          <w:sz w:val="40"/>
          <w:szCs w:val="40"/>
        </w:rPr>
        <w:t>POLICY</w:t>
      </w:r>
      <w:bookmarkEnd w:id="0"/>
    </w:p>
    <w:p w:rsidR="00F3000D" w:rsidRPr="00B86BB1" w:rsidRDefault="00971957" w:rsidP="001E7B82">
      <w:pPr>
        <w:pStyle w:val="Heading1"/>
        <w:tabs>
          <w:tab w:val="left" w:pos="567"/>
        </w:tabs>
        <w:spacing w:line="360" w:lineRule="auto"/>
        <w:ind w:left="567" w:hanging="567"/>
        <w:rPr>
          <w:rFonts w:asciiTheme="minorHAnsi" w:hAnsiTheme="minorHAnsi"/>
          <w:sz w:val="24"/>
          <w:szCs w:val="24"/>
        </w:rPr>
      </w:pPr>
      <w:bookmarkStart w:id="1" w:name="_Toc415042775"/>
      <w:r w:rsidRPr="00B86BB1">
        <w:rPr>
          <w:rFonts w:asciiTheme="minorHAnsi" w:hAnsiTheme="minorHAnsi"/>
          <w:sz w:val="24"/>
          <w:szCs w:val="24"/>
        </w:rPr>
        <w:t>P</w:t>
      </w:r>
      <w:r w:rsidR="00522B89" w:rsidRPr="00B86BB1">
        <w:rPr>
          <w:rFonts w:asciiTheme="minorHAnsi" w:hAnsiTheme="minorHAnsi"/>
          <w:sz w:val="24"/>
          <w:szCs w:val="24"/>
        </w:rPr>
        <w:t>urpose</w:t>
      </w:r>
      <w:bookmarkEnd w:id="1"/>
    </w:p>
    <w:p w:rsidR="00960CFF" w:rsidRPr="00B86BB1" w:rsidRDefault="00960CFF" w:rsidP="00D37B0B">
      <w:pPr>
        <w:numPr>
          <w:ilvl w:val="0"/>
          <w:numId w:val="2"/>
        </w:numPr>
        <w:tabs>
          <w:tab w:val="left" w:pos="567"/>
        </w:tabs>
        <w:spacing w:line="360" w:lineRule="auto"/>
        <w:ind w:left="567" w:right="-205" w:hanging="567"/>
        <w:rPr>
          <w:rFonts w:asciiTheme="minorHAnsi" w:hAnsiTheme="minorHAnsi"/>
        </w:rPr>
      </w:pPr>
      <w:r w:rsidRPr="00B86BB1">
        <w:rPr>
          <w:rFonts w:asciiTheme="minorHAnsi" w:hAnsiTheme="minorHAnsi"/>
        </w:rPr>
        <w:t>This policy explicitly prohibits non-consensual use of audio and visual recording devices by employees in the workplace.</w:t>
      </w:r>
    </w:p>
    <w:p w:rsidR="00960CFF" w:rsidRPr="00B86BB1" w:rsidRDefault="00960CFF" w:rsidP="00D37B0B">
      <w:pPr>
        <w:numPr>
          <w:ilvl w:val="0"/>
          <w:numId w:val="2"/>
        </w:numPr>
        <w:tabs>
          <w:tab w:val="left" w:pos="567"/>
        </w:tabs>
        <w:spacing w:line="360" w:lineRule="auto"/>
        <w:ind w:left="567" w:right="-205" w:hanging="567"/>
        <w:rPr>
          <w:rFonts w:asciiTheme="minorHAnsi" w:hAnsiTheme="minorHAnsi"/>
        </w:rPr>
      </w:pPr>
      <w:r w:rsidRPr="00B86BB1">
        <w:rPr>
          <w:rFonts w:asciiTheme="minorHAnsi" w:hAnsiTheme="minorHAnsi"/>
        </w:rPr>
        <w:t xml:space="preserve">Further, employees are explicitly prohibited from arranging for others to make non-consensual audio or visual data recordings. </w:t>
      </w:r>
    </w:p>
    <w:p w:rsidR="00F3000D" w:rsidRPr="00B86BB1" w:rsidRDefault="00BC6BC3" w:rsidP="001E7B82">
      <w:pPr>
        <w:pStyle w:val="Heading1"/>
        <w:tabs>
          <w:tab w:val="left" w:pos="567"/>
        </w:tabs>
        <w:spacing w:line="360" w:lineRule="auto"/>
        <w:ind w:left="567" w:hanging="567"/>
        <w:rPr>
          <w:rFonts w:asciiTheme="minorHAnsi" w:hAnsiTheme="minorHAnsi"/>
          <w:sz w:val="24"/>
          <w:szCs w:val="24"/>
        </w:rPr>
      </w:pPr>
      <w:bookmarkStart w:id="2" w:name="_Toc415042776"/>
      <w:r w:rsidRPr="00B86BB1">
        <w:rPr>
          <w:rFonts w:asciiTheme="minorHAnsi" w:hAnsiTheme="minorHAnsi"/>
          <w:sz w:val="24"/>
          <w:szCs w:val="24"/>
        </w:rPr>
        <w:t>A</w:t>
      </w:r>
      <w:r w:rsidR="00522B89" w:rsidRPr="00B86BB1">
        <w:rPr>
          <w:rFonts w:asciiTheme="minorHAnsi" w:hAnsiTheme="minorHAnsi"/>
          <w:sz w:val="24"/>
          <w:szCs w:val="24"/>
        </w:rPr>
        <w:t>pplication</w:t>
      </w:r>
      <w:bookmarkEnd w:id="2"/>
    </w:p>
    <w:p w:rsidR="00960CFF" w:rsidRPr="00B86BB1" w:rsidRDefault="00BE6689" w:rsidP="00D37B0B">
      <w:pPr>
        <w:numPr>
          <w:ilvl w:val="0"/>
          <w:numId w:val="2"/>
        </w:numPr>
        <w:tabs>
          <w:tab w:val="left" w:pos="567"/>
        </w:tabs>
        <w:spacing w:line="360" w:lineRule="auto"/>
        <w:ind w:left="567" w:right="-205" w:hanging="567"/>
        <w:rPr>
          <w:rFonts w:asciiTheme="minorHAnsi" w:hAnsiTheme="minorHAnsi"/>
        </w:rPr>
      </w:pPr>
      <w:r w:rsidRPr="00B86BB1">
        <w:rPr>
          <w:rFonts w:asciiTheme="minorHAnsi" w:hAnsiTheme="minorHAnsi"/>
        </w:rPr>
        <w:t>This policy contains a set of whole-of-government instructions issued by the Head of Service under the Public Sector Management Act 1994 which binds all employees and officers engaged under that Act.</w:t>
      </w:r>
    </w:p>
    <w:p w:rsidR="00960CFF" w:rsidRPr="00B86BB1" w:rsidRDefault="00960CFF" w:rsidP="00D37B0B">
      <w:pPr>
        <w:numPr>
          <w:ilvl w:val="0"/>
          <w:numId w:val="2"/>
        </w:numPr>
        <w:tabs>
          <w:tab w:val="left" w:pos="567"/>
        </w:tabs>
        <w:spacing w:line="360" w:lineRule="auto"/>
        <w:ind w:left="567" w:right="-205" w:hanging="567"/>
        <w:rPr>
          <w:rFonts w:asciiTheme="minorHAnsi" w:hAnsiTheme="minorHAnsi"/>
        </w:rPr>
      </w:pPr>
      <w:r w:rsidRPr="00B86BB1">
        <w:rPr>
          <w:rFonts w:asciiTheme="minorHAnsi" w:hAnsiTheme="minorHAnsi"/>
        </w:rPr>
        <w:t>This p</w:t>
      </w:r>
      <w:r w:rsidR="00E3100A" w:rsidRPr="00B86BB1">
        <w:rPr>
          <w:rFonts w:asciiTheme="minorHAnsi" w:hAnsiTheme="minorHAnsi"/>
        </w:rPr>
        <w:t>o</w:t>
      </w:r>
      <w:r w:rsidRPr="00B86BB1">
        <w:rPr>
          <w:rFonts w:asciiTheme="minorHAnsi" w:hAnsiTheme="minorHAnsi"/>
        </w:rPr>
        <w:t>licy does not apply:</w:t>
      </w:r>
    </w:p>
    <w:p w:rsidR="00960CFF" w:rsidRPr="00B86BB1" w:rsidRDefault="00960CFF" w:rsidP="00D37B0B">
      <w:pPr>
        <w:pStyle w:val="ListParagraph"/>
        <w:numPr>
          <w:ilvl w:val="0"/>
          <w:numId w:val="3"/>
        </w:numPr>
        <w:tabs>
          <w:tab w:val="left" w:pos="1134"/>
        </w:tabs>
        <w:spacing w:after="0" w:line="360" w:lineRule="auto"/>
        <w:ind w:left="1134" w:right="-205" w:hanging="567"/>
        <w:rPr>
          <w:rFonts w:asciiTheme="minorHAnsi" w:hAnsiTheme="minorHAnsi"/>
        </w:rPr>
      </w:pPr>
      <w:r w:rsidRPr="00B86BB1">
        <w:rPr>
          <w:rFonts w:asciiTheme="minorHAnsi" w:hAnsiTheme="minorHAnsi"/>
        </w:rPr>
        <w:t xml:space="preserve">to audio or visual recordings lawfully obtained under an Australian law; </w:t>
      </w:r>
      <w:r w:rsidR="00BE6689" w:rsidRPr="00B86BB1">
        <w:rPr>
          <w:rFonts w:asciiTheme="minorHAnsi" w:hAnsiTheme="minorHAnsi"/>
        </w:rPr>
        <w:t>or</w:t>
      </w:r>
    </w:p>
    <w:p w:rsidR="00960CFF" w:rsidRPr="00B86BB1" w:rsidRDefault="00960CFF" w:rsidP="00D37B0B">
      <w:pPr>
        <w:pStyle w:val="ListParagraph"/>
        <w:numPr>
          <w:ilvl w:val="0"/>
          <w:numId w:val="3"/>
        </w:numPr>
        <w:tabs>
          <w:tab w:val="left" w:pos="1134"/>
        </w:tabs>
        <w:spacing w:after="0" w:line="360" w:lineRule="auto"/>
        <w:ind w:left="1134" w:right="-205" w:hanging="567"/>
        <w:rPr>
          <w:rFonts w:asciiTheme="minorHAnsi" w:hAnsiTheme="minorHAnsi"/>
        </w:rPr>
      </w:pPr>
      <w:r w:rsidRPr="00B86BB1">
        <w:rPr>
          <w:rFonts w:asciiTheme="minorHAnsi" w:hAnsiTheme="minorHAnsi"/>
        </w:rPr>
        <w:t>when required to accommodate an employee who has an impairment or disability and who is otherwise unable to write or conveniently record information or data.</w:t>
      </w:r>
    </w:p>
    <w:p w:rsidR="00522B89" w:rsidRPr="00B86BB1" w:rsidRDefault="00522B89" w:rsidP="001E7B82">
      <w:pPr>
        <w:pStyle w:val="Heading1"/>
        <w:tabs>
          <w:tab w:val="left" w:pos="567"/>
        </w:tabs>
        <w:spacing w:line="360" w:lineRule="auto"/>
        <w:ind w:left="567" w:hanging="567"/>
        <w:rPr>
          <w:rFonts w:asciiTheme="minorHAnsi" w:hAnsiTheme="minorHAnsi"/>
          <w:sz w:val="24"/>
          <w:szCs w:val="24"/>
        </w:rPr>
      </w:pPr>
      <w:bookmarkStart w:id="3" w:name="_Toc415042777"/>
      <w:r w:rsidRPr="00B86BB1">
        <w:rPr>
          <w:rFonts w:asciiTheme="minorHAnsi" w:hAnsiTheme="minorHAnsi"/>
          <w:sz w:val="24"/>
          <w:szCs w:val="24"/>
        </w:rPr>
        <w:t>Background</w:t>
      </w:r>
      <w:bookmarkEnd w:id="3"/>
    </w:p>
    <w:p w:rsidR="00960CFF" w:rsidRPr="00B86BB1" w:rsidRDefault="00960CFF" w:rsidP="00D37B0B">
      <w:pPr>
        <w:numPr>
          <w:ilvl w:val="0"/>
          <w:numId w:val="2"/>
        </w:numPr>
        <w:tabs>
          <w:tab w:val="left" w:pos="567"/>
        </w:tabs>
        <w:spacing w:line="360" w:lineRule="auto"/>
        <w:ind w:left="567" w:right="-205" w:hanging="567"/>
        <w:rPr>
          <w:rFonts w:asciiTheme="minorHAnsi" w:hAnsiTheme="minorHAnsi"/>
        </w:rPr>
      </w:pPr>
      <w:r w:rsidRPr="00B86BB1">
        <w:rPr>
          <w:rFonts w:asciiTheme="minorHAnsi" w:hAnsiTheme="minorHAnsi"/>
        </w:rPr>
        <w:t>Modern technology and the proliferation and use of personal mobile communication and other electronic devices, has made it increasingly easy for employers or employees to make non-consensual recordings in the workplace.  For example, an employee might wish to secretly record a workplace conversation with a colleague to prevent harassment or to record bullying or other unpleasant behaviour; managers might secretly record a routine workplace exchange such as a one-on-one interview, performance appraisal, consultation forum or in the context of a potential grievance or disciplinary process.  In both examples, the other party did not have knowledge of the recording and therefore could not have given consent.</w:t>
      </w:r>
    </w:p>
    <w:p w:rsidR="00960CFF" w:rsidRPr="00B86BB1" w:rsidRDefault="00960CFF" w:rsidP="00D37B0B">
      <w:pPr>
        <w:numPr>
          <w:ilvl w:val="0"/>
          <w:numId w:val="2"/>
        </w:numPr>
        <w:tabs>
          <w:tab w:val="left" w:pos="567"/>
        </w:tabs>
        <w:spacing w:line="360" w:lineRule="auto"/>
        <w:ind w:left="567" w:right="-205" w:hanging="567"/>
        <w:rPr>
          <w:rFonts w:asciiTheme="minorHAnsi" w:hAnsiTheme="minorHAnsi"/>
        </w:rPr>
      </w:pPr>
      <w:r w:rsidRPr="00B86BB1">
        <w:rPr>
          <w:rFonts w:asciiTheme="minorHAnsi" w:hAnsiTheme="minorHAnsi"/>
        </w:rPr>
        <w:t xml:space="preserve">However, the ACT </w:t>
      </w:r>
      <w:r w:rsidR="007C19A8" w:rsidRPr="00B86BB1">
        <w:rPr>
          <w:rFonts w:asciiTheme="minorHAnsi" w:hAnsiTheme="minorHAnsi"/>
        </w:rPr>
        <w:t>Government</w:t>
      </w:r>
      <w:r w:rsidRPr="00B86BB1">
        <w:rPr>
          <w:rFonts w:asciiTheme="minorHAnsi" w:hAnsiTheme="minorHAnsi"/>
        </w:rPr>
        <w:t xml:space="preserve"> has a </w:t>
      </w:r>
      <w:r w:rsidR="00BE6689" w:rsidRPr="00B86BB1">
        <w:rPr>
          <w:rFonts w:asciiTheme="minorHAnsi" w:hAnsiTheme="minorHAnsi"/>
        </w:rPr>
        <w:t>broad responsibility</w:t>
      </w:r>
      <w:r w:rsidRPr="00B86BB1">
        <w:rPr>
          <w:rFonts w:asciiTheme="minorHAnsi" w:hAnsiTheme="minorHAnsi"/>
        </w:rPr>
        <w:t xml:space="preserve"> to ensure that non-consensual audio or visual data recordings via the use specific devices or devices such as ‘smartphones’, does not occur.  </w:t>
      </w:r>
    </w:p>
    <w:p w:rsidR="00960CFF" w:rsidRPr="00B86BB1" w:rsidRDefault="00960CFF" w:rsidP="00D37B0B">
      <w:pPr>
        <w:numPr>
          <w:ilvl w:val="0"/>
          <w:numId w:val="2"/>
        </w:numPr>
        <w:tabs>
          <w:tab w:val="left" w:pos="567"/>
        </w:tabs>
        <w:spacing w:line="360" w:lineRule="auto"/>
        <w:ind w:left="567" w:right="-205" w:hanging="567"/>
        <w:rPr>
          <w:rFonts w:asciiTheme="minorHAnsi" w:hAnsiTheme="minorHAnsi"/>
        </w:rPr>
      </w:pPr>
      <w:r w:rsidRPr="00B86BB1">
        <w:rPr>
          <w:rFonts w:asciiTheme="minorHAnsi" w:hAnsiTheme="minorHAnsi"/>
        </w:rPr>
        <w:t xml:space="preserve">The Respect, Equity and Diversity Framework and signature behaviours outlined in the ACT Public Service Code of Conduct embody the principles of decency, courtesy, professionalism and fairness and exemplify the way we should behave in the workplace. </w:t>
      </w:r>
      <w:r w:rsidRPr="00B86BB1">
        <w:rPr>
          <w:rFonts w:asciiTheme="minorHAnsi" w:hAnsiTheme="minorHAnsi"/>
        </w:rPr>
        <w:lastRenderedPageBreak/>
        <w:t xml:space="preserve">A secretive or non-consensual recording is not in keeping with these principles and has the potential to destroy the relationship of trust and confidence between the employer and the employee. </w:t>
      </w:r>
    </w:p>
    <w:p w:rsidR="00F3000D" w:rsidRPr="00B86BB1" w:rsidRDefault="00522B89" w:rsidP="001E7B82">
      <w:pPr>
        <w:pStyle w:val="Heading1"/>
        <w:tabs>
          <w:tab w:val="left" w:pos="567"/>
        </w:tabs>
        <w:spacing w:line="360" w:lineRule="auto"/>
        <w:ind w:left="567" w:hanging="567"/>
        <w:rPr>
          <w:rFonts w:asciiTheme="minorHAnsi" w:hAnsiTheme="minorHAnsi"/>
          <w:sz w:val="24"/>
          <w:szCs w:val="24"/>
        </w:rPr>
      </w:pPr>
      <w:bookmarkStart w:id="4" w:name="_Toc415042778"/>
      <w:r w:rsidRPr="00B86BB1">
        <w:rPr>
          <w:rFonts w:asciiTheme="minorHAnsi" w:hAnsiTheme="minorHAnsi"/>
          <w:sz w:val="24"/>
          <w:szCs w:val="24"/>
        </w:rPr>
        <w:t>Principles</w:t>
      </w:r>
      <w:bookmarkEnd w:id="4"/>
    </w:p>
    <w:p w:rsidR="00960CFF" w:rsidRPr="00B86BB1" w:rsidRDefault="00960CFF" w:rsidP="00D37B0B">
      <w:pPr>
        <w:numPr>
          <w:ilvl w:val="0"/>
          <w:numId w:val="2"/>
        </w:numPr>
        <w:tabs>
          <w:tab w:val="left" w:pos="567"/>
        </w:tabs>
        <w:spacing w:line="360" w:lineRule="auto"/>
        <w:ind w:left="567" w:right="-205" w:hanging="567"/>
        <w:rPr>
          <w:rFonts w:asciiTheme="minorHAnsi" w:hAnsiTheme="minorHAnsi"/>
        </w:rPr>
      </w:pPr>
      <w:r w:rsidRPr="00B86BB1">
        <w:rPr>
          <w:rFonts w:asciiTheme="minorHAnsi" w:hAnsiTheme="minorHAnsi"/>
        </w:rPr>
        <w:t xml:space="preserve">The fundamental principle regarding the use of audio or visual recording devices is that such devices should only be used with the consent of the parties being recorded. </w:t>
      </w:r>
    </w:p>
    <w:p w:rsidR="00960CFF" w:rsidRPr="00B86BB1" w:rsidRDefault="00960CFF" w:rsidP="00D37B0B">
      <w:pPr>
        <w:numPr>
          <w:ilvl w:val="0"/>
          <w:numId w:val="2"/>
        </w:numPr>
        <w:tabs>
          <w:tab w:val="left" w:pos="567"/>
        </w:tabs>
        <w:spacing w:line="360" w:lineRule="auto"/>
        <w:ind w:left="567" w:right="-205" w:hanging="567"/>
        <w:rPr>
          <w:rFonts w:asciiTheme="minorHAnsi" w:hAnsiTheme="minorHAnsi"/>
        </w:rPr>
      </w:pPr>
      <w:r w:rsidRPr="00B86BB1">
        <w:rPr>
          <w:rFonts w:asciiTheme="minorHAnsi" w:hAnsiTheme="minorHAnsi"/>
        </w:rPr>
        <w:t>The use of audio or image data recordings is also restricted in accordance with ACT and Commonwealth legislation including but not limited to:</w:t>
      </w:r>
    </w:p>
    <w:p w:rsidR="00960CFF" w:rsidRPr="00B86BB1" w:rsidRDefault="00960CFF" w:rsidP="001E7B82">
      <w:pPr>
        <w:tabs>
          <w:tab w:val="left" w:pos="1134"/>
        </w:tabs>
        <w:spacing w:line="360" w:lineRule="auto"/>
        <w:ind w:left="1134" w:right="-205" w:hanging="567"/>
        <w:rPr>
          <w:rFonts w:asciiTheme="minorHAnsi" w:hAnsiTheme="minorHAnsi"/>
          <w:i/>
        </w:rPr>
      </w:pPr>
      <w:r w:rsidRPr="00B86BB1">
        <w:rPr>
          <w:rFonts w:asciiTheme="minorHAnsi" w:hAnsiTheme="minorHAnsi"/>
          <w:i/>
        </w:rPr>
        <w:t>Listening Devices Act 1992 (ACT);</w:t>
      </w:r>
    </w:p>
    <w:p w:rsidR="00960CFF" w:rsidRPr="00B86BB1" w:rsidRDefault="00960CFF" w:rsidP="001E7B82">
      <w:pPr>
        <w:tabs>
          <w:tab w:val="left" w:pos="1134"/>
        </w:tabs>
        <w:spacing w:line="360" w:lineRule="auto"/>
        <w:ind w:left="1134" w:right="-205" w:hanging="567"/>
        <w:rPr>
          <w:rFonts w:asciiTheme="minorHAnsi" w:hAnsiTheme="minorHAnsi"/>
          <w:i/>
        </w:rPr>
      </w:pPr>
      <w:r w:rsidRPr="00B86BB1">
        <w:rPr>
          <w:rFonts w:asciiTheme="minorHAnsi" w:hAnsiTheme="minorHAnsi"/>
          <w:i/>
        </w:rPr>
        <w:t>Crimes Act 1900 (ACT); and</w:t>
      </w:r>
    </w:p>
    <w:p w:rsidR="00960CFF" w:rsidRPr="00B86BB1" w:rsidRDefault="00960CFF" w:rsidP="001E7B82">
      <w:pPr>
        <w:tabs>
          <w:tab w:val="left" w:pos="1134"/>
        </w:tabs>
        <w:spacing w:line="360" w:lineRule="auto"/>
        <w:ind w:left="1134" w:right="-205" w:hanging="567"/>
        <w:rPr>
          <w:rFonts w:asciiTheme="minorHAnsi" w:hAnsiTheme="minorHAnsi"/>
          <w:i/>
        </w:rPr>
      </w:pPr>
      <w:r w:rsidRPr="00B86BB1">
        <w:rPr>
          <w:rFonts w:asciiTheme="minorHAnsi" w:hAnsiTheme="minorHAnsi"/>
          <w:i/>
        </w:rPr>
        <w:t>Inf</w:t>
      </w:r>
      <w:r w:rsidR="001E7B82" w:rsidRPr="00B86BB1">
        <w:rPr>
          <w:rFonts w:asciiTheme="minorHAnsi" w:hAnsiTheme="minorHAnsi"/>
          <w:i/>
        </w:rPr>
        <w:t>ormation Privacy Act 2014 (ACT)</w:t>
      </w:r>
    </w:p>
    <w:p w:rsidR="00971957" w:rsidRPr="00B86BB1" w:rsidRDefault="00960CFF" w:rsidP="001E7B82">
      <w:pPr>
        <w:pStyle w:val="Heading1"/>
        <w:tabs>
          <w:tab w:val="left" w:pos="567"/>
        </w:tabs>
        <w:spacing w:line="360" w:lineRule="auto"/>
        <w:ind w:left="567" w:hanging="567"/>
        <w:rPr>
          <w:rFonts w:asciiTheme="minorHAnsi" w:hAnsiTheme="minorHAnsi"/>
          <w:sz w:val="24"/>
          <w:szCs w:val="24"/>
        </w:rPr>
      </w:pPr>
      <w:bookmarkStart w:id="5" w:name="_Toc415042779"/>
      <w:r w:rsidRPr="00B86BB1">
        <w:rPr>
          <w:rFonts w:asciiTheme="minorHAnsi" w:hAnsiTheme="minorHAnsi"/>
          <w:sz w:val="24"/>
          <w:szCs w:val="24"/>
        </w:rPr>
        <w:t xml:space="preserve">Audio Recordings </w:t>
      </w:r>
      <w:bookmarkEnd w:id="5"/>
    </w:p>
    <w:p w:rsidR="00960CFF" w:rsidRPr="00B86BB1" w:rsidRDefault="00960CFF" w:rsidP="00D37B0B">
      <w:pPr>
        <w:numPr>
          <w:ilvl w:val="0"/>
          <w:numId w:val="2"/>
        </w:numPr>
        <w:tabs>
          <w:tab w:val="left" w:pos="567"/>
        </w:tabs>
        <w:spacing w:line="360" w:lineRule="auto"/>
        <w:ind w:left="567" w:right="-205" w:hanging="567"/>
        <w:rPr>
          <w:rFonts w:asciiTheme="minorHAnsi" w:hAnsiTheme="minorHAnsi"/>
        </w:rPr>
      </w:pPr>
      <w:r w:rsidRPr="00B86BB1">
        <w:rPr>
          <w:rFonts w:asciiTheme="minorHAnsi" w:hAnsiTheme="minorHAnsi"/>
        </w:rPr>
        <w:t>A</w:t>
      </w:r>
      <w:r w:rsidR="007C19A8" w:rsidRPr="00B86BB1">
        <w:rPr>
          <w:rFonts w:asciiTheme="minorHAnsi" w:hAnsiTheme="minorHAnsi"/>
        </w:rPr>
        <w:t xml:space="preserve">n </w:t>
      </w:r>
      <w:r w:rsidRPr="00B86BB1">
        <w:rPr>
          <w:rFonts w:asciiTheme="minorHAnsi" w:hAnsiTheme="minorHAnsi"/>
        </w:rPr>
        <w:t xml:space="preserve">employee must not make use of a recording device to listen to or record a conversation, without first gaining </w:t>
      </w:r>
      <w:r w:rsidRPr="00B86BB1">
        <w:rPr>
          <w:rFonts w:asciiTheme="minorHAnsi" w:hAnsiTheme="minorHAnsi"/>
          <w:u w:val="single"/>
        </w:rPr>
        <w:t>consent</w:t>
      </w:r>
      <w:r w:rsidRPr="00B86BB1">
        <w:rPr>
          <w:rFonts w:asciiTheme="minorHAnsi" w:hAnsiTheme="minorHAnsi"/>
        </w:rPr>
        <w:t xml:space="preserve"> from each party to the conversation</w:t>
      </w:r>
      <w:r w:rsidR="0055739F" w:rsidRPr="00B86BB1">
        <w:rPr>
          <w:rFonts w:asciiTheme="minorHAnsi" w:hAnsiTheme="minorHAnsi"/>
        </w:rPr>
        <w:t>.</w:t>
      </w:r>
    </w:p>
    <w:p w:rsidR="00960CFF" w:rsidRPr="00B86BB1" w:rsidRDefault="00960CFF" w:rsidP="00D37B0B">
      <w:pPr>
        <w:numPr>
          <w:ilvl w:val="0"/>
          <w:numId w:val="2"/>
        </w:numPr>
        <w:tabs>
          <w:tab w:val="left" w:pos="567"/>
        </w:tabs>
        <w:spacing w:line="360" w:lineRule="auto"/>
        <w:ind w:left="567" w:right="-205" w:hanging="567"/>
        <w:rPr>
          <w:rFonts w:asciiTheme="minorHAnsi" w:hAnsiTheme="minorHAnsi"/>
        </w:rPr>
      </w:pPr>
      <w:r w:rsidRPr="00B86BB1">
        <w:rPr>
          <w:rFonts w:asciiTheme="minorHAnsi" w:hAnsiTheme="minorHAnsi"/>
        </w:rPr>
        <w:t xml:space="preserve">Where consent is not obtained from each participating party, an alternative arrangement should be made such as taking notes, utilising a support person or deferring the conversation until a satisfactory agreement can been reached. </w:t>
      </w:r>
    </w:p>
    <w:p w:rsidR="00960CFF" w:rsidRPr="00B86BB1" w:rsidRDefault="00960CFF" w:rsidP="001E7B82">
      <w:pPr>
        <w:pStyle w:val="Heading1"/>
        <w:tabs>
          <w:tab w:val="left" w:pos="567"/>
        </w:tabs>
        <w:spacing w:line="360" w:lineRule="auto"/>
        <w:ind w:left="567" w:hanging="567"/>
        <w:rPr>
          <w:rFonts w:asciiTheme="minorHAnsi" w:hAnsiTheme="minorHAnsi"/>
          <w:sz w:val="24"/>
          <w:szCs w:val="24"/>
        </w:rPr>
      </w:pPr>
      <w:bookmarkStart w:id="6" w:name="_Toc415042780"/>
      <w:r w:rsidRPr="00B86BB1">
        <w:rPr>
          <w:rFonts w:asciiTheme="minorHAnsi" w:hAnsiTheme="minorHAnsi"/>
          <w:sz w:val="24"/>
          <w:szCs w:val="24"/>
        </w:rPr>
        <w:t>Visual Data (Camera) recordings</w:t>
      </w:r>
      <w:bookmarkEnd w:id="6"/>
    </w:p>
    <w:p w:rsidR="00960CFF" w:rsidRPr="00B86BB1" w:rsidRDefault="00960CFF" w:rsidP="00D37B0B">
      <w:pPr>
        <w:numPr>
          <w:ilvl w:val="0"/>
          <w:numId w:val="2"/>
        </w:numPr>
        <w:tabs>
          <w:tab w:val="left" w:pos="567"/>
        </w:tabs>
        <w:spacing w:line="360" w:lineRule="auto"/>
        <w:ind w:left="567" w:right="-205" w:hanging="567"/>
        <w:rPr>
          <w:rFonts w:asciiTheme="minorHAnsi" w:hAnsiTheme="minorHAnsi"/>
        </w:rPr>
      </w:pPr>
      <w:r w:rsidRPr="00B86BB1">
        <w:rPr>
          <w:rFonts w:asciiTheme="minorHAnsi" w:hAnsiTheme="minorHAnsi"/>
        </w:rPr>
        <w:t>A public sector employee must not make use of a visual recording device to make a non-consensual visual recording (still or moving) in the workplace without the consent of the person being recorded.</w:t>
      </w:r>
    </w:p>
    <w:p w:rsidR="00960CFF" w:rsidRPr="00B86BB1" w:rsidRDefault="00960CFF" w:rsidP="00D37B0B">
      <w:pPr>
        <w:numPr>
          <w:ilvl w:val="0"/>
          <w:numId w:val="2"/>
        </w:numPr>
        <w:tabs>
          <w:tab w:val="left" w:pos="567"/>
        </w:tabs>
        <w:spacing w:line="360" w:lineRule="auto"/>
        <w:ind w:left="567" w:right="-205" w:hanging="567"/>
        <w:rPr>
          <w:rFonts w:asciiTheme="minorHAnsi" w:hAnsiTheme="minorHAnsi"/>
        </w:rPr>
      </w:pPr>
      <w:r w:rsidRPr="00B86BB1">
        <w:rPr>
          <w:rFonts w:asciiTheme="minorHAnsi" w:hAnsiTheme="minorHAnsi"/>
        </w:rPr>
        <w:t xml:space="preserve">Such action may also be in breach of the </w:t>
      </w:r>
      <w:r w:rsidRPr="00B86BB1">
        <w:rPr>
          <w:rFonts w:asciiTheme="minorHAnsi" w:hAnsiTheme="minorHAnsi"/>
          <w:i/>
        </w:rPr>
        <w:t>Crimes Act 1900</w:t>
      </w:r>
      <w:r w:rsidRPr="00B86BB1">
        <w:rPr>
          <w:rFonts w:asciiTheme="minorHAnsi" w:hAnsiTheme="minorHAnsi"/>
        </w:rPr>
        <w:t xml:space="preserve"> and depending on the circumstances, may result in direct referral to the Australian Federal Police. </w:t>
      </w:r>
    </w:p>
    <w:p w:rsidR="00971957" w:rsidRDefault="00522B89" w:rsidP="001E7B82">
      <w:pPr>
        <w:pStyle w:val="Heading1"/>
        <w:tabs>
          <w:tab w:val="left" w:pos="567"/>
        </w:tabs>
        <w:spacing w:line="360" w:lineRule="auto"/>
        <w:ind w:left="567" w:hanging="567"/>
        <w:rPr>
          <w:rFonts w:asciiTheme="minorHAnsi" w:hAnsiTheme="minorHAnsi"/>
          <w:sz w:val="24"/>
          <w:szCs w:val="24"/>
        </w:rPr>
      </w:pPr>
      <w:bookmarkStart w:id="7" w:name="_Toc415042781"/>
      <w:r w:rsidRPr="00B86BB1">
        <w:rPr>
          <w:rFonts w:asciiTheme="minorHAnsi" w:hAnsiTheme="minorHAnsi"/>
          <w:sz w:val="24"/>
          <w:szCs w:val="24"/>
        </w:rPr>
        <w:t>Legislative Reference</w:t>
      </w:r>
      <w:bookmarkEnd w:id="7"/>
    </w:p>
    <w:p w:rsidR="00D37B0B" w:rsidRPr="00D37B0B" w:rsidRDefault="00D37B0B" w:rsidP="00D37B0B">
      <w:pPr>
        <w:numPr>
          <w:ilvl w:val="0"/>
          <w:numId w:val="2"/>
        </w:numPr>
        <w:tabs>
          <w:tab w:val="left" w:pos="567"/>
        </w:tabs>
        <w:spacing w:line="360" w:lineRule="auto"/>
        <w:ind w:left="567" w:hanging="567"/>
        <w:rPr>
          <w:rFonts w:cs="Arial"/>
        </w:rPr>
      </w:pPr>
      <w:r w:rsidRPr="00392EC1">
        <w:rPr>
          <w:rFonts w:cs="Arial"/>
        </w:rPr>
        <w:t>T</w:t>
      </w:r>
      <w:r w:rsidRPr="00392EC1">
        <w:rPr>
          <w:color w:val="000000"/>
        </w:rPr>
        <w:t>he key principles of this policy are aligned with the following authorised sources:</w:t>
      </w:r>
    </w:p>
    <w:p w:rsidR="00D37B0B" w:rsidRPr="00D37B0B" w:rsidRDefault="00D37B0B" w:rsidP="00D37B0B">
      <w:pPr>
        <w:pStyle w:val="ListParagraph"/>
        <w:numPr>
          <w:ilvl w:val="0"/>
          <w:numId w:val="4"/>
        </w:numPr>
        <w:tabs>
          <w:tab w:val="left" w:pos="567"/>
          <w:tab w:val="left" w:pos="1134"/>
        </w:tabs>
        <w:spacing w:line="360" w:lineRule="auto"/>
        <w:ind w:left="1134" w:hanging="567"/>
        <w:rPr>
          <w:color w:val="000000"/>
        </w:rPr>
      </w:pPr>
      <w:r w:rsidRPr="00D37B0B">
        <w:rPr>
          <w:rFonts w:asciiTheme="minorHAnsi" w:hAnsiTheme="minorHAnsi"/>
          <w:i/>
        </w:rPr>
        <w:t>Listening Device Act 1992</w:t>
      </w:r>
    </w:p>
    <w:p w:rsidR="00D37B0B" w:rsidRPr="0028746C" w:rsidRDefault="00D37B0B" w:rsidP="00D37B0B">
      <w:pPr>
        <w:shd w:val="clear" w:color="auto" w:fill="FFFFFF"/>
        <w:tabs>
          <w:tab w:val="left" w:pos="567"/>
        </w:tabs>
        <w:ind w:left="567" w:hanging="567"/>
        <w:contextualSpacing/>
      </w:pPr>
    </w:p>
    <w:p w:rsidR="00D37B0B" w:rsidRPr="0028746C" w:rsidRDefault="00D37B0B" w:rsidP="00D37B0B">
      <w:pPr>
        <w:shd w:val="clear" w:color="auto" w:fill="FFFFFF"/>
        <w:tabs>
          <w:tab w:val="left" w:pos="567"/>
        </w:tabs>
        <w:ind w:left="567" w:hanging="567"/>
        <w:contextualSpacing/>
        <w:rPr>
          <w:rFonts w:cs="Arial"/>
        </w:rPr>
      </w:pPr>
    </w:p>
    <w:p w:rsidR="00D37B0B" w:rsidRPr="000D30E2" w:rsidRDefault="00D37B0B" w:rsidP="00D37B0B">
      <w:pPr>
        <w:tabs>
          <w:tab w:val="left" w:pos="6946"/>
        </w:tabs>
        <w:ind w:rightChars="-18" w:right="-43"/>
      </w:pPr>
      <w:r w:rsidRPr="000D30E2">
        <w:t>___________________________________</w:t>
      </w:r>
    </w:p>
    <w:p w:rsidR="00D37B0B" w:rsidRPr="000D30E2" w:rsidRDefault="00D37B0B" w:rsidP="00D37B0B">
      <w:pPr>
        <w:shd w:val="clear" w:color="auto" w:fill="FFFFFF"/>
        <w:rPr>
          <w:rFonts w:cs="Arial"/>
        </w:rPr>
      </w:pPr>
      <w:r w:rsidRPr="000D30E2">
        <w:rPr>
          <w:rFonts w:cs="Arial"/>
        </w:rPr>
        <w:t>Bronwen Overton-Clarke</w:t>
      </w:r>
    </w:p>
    <w:p w:rsidR="00D37B0B" w:rsidRPr="000D30E2" w:rsidRDefault="00D37B0B" w:rsidP="00D37B0B">
      <w:pPr>
        <w:shd w:val="clear" w:color="auto" w:fill="FFFFFF"/>
        <w:rPr>
          <w:rFonts w:cs="Arial"/>
        </w:rPr>
      </w:pPr>
      <w:r w:rsidRPr="000D30E2">
        <w:rPr>
          <w:rFonts w:cs="Arial"/>
        </w:rPr>
        <w:t>Commissioner for Public Administration</w:t>
      </w:r>
    </w:p>
    <w:p w:rsidR="00D37B0B" w:rsidRPr="000D30E2" w:rsidRDefault="00D37B0B" w:rsidP="00D37B0B">
      <w:pPr>
        <w:shd w:val="clear" w:color="auto" w:fill="FFFFFF"/>
      </w:pPr>
      <w:r w:rsidRPr="000D30E2">
        <w:t>on behalf of</w:t>
      </w:r>
      <w:r>
        <w:t xml:space="preserve"> </w:t>
      </w:r>
      <w:r w:rsidRPr="000D30E2">
        <w:t>Kathy Leigh</w:t>
      </w:r>
      <w:r>
        <w:t xml:space="preserve">, </w:t>
      </w:r>
      <w:r w:rsidRPr="000D30E2">
        <w:t>Head of Service</w:t>
      </w:r>
    </w:p>
    <w:p w:rsidR="00D37B0B" w:rsidRPr="000D30E2" w:rsidRDefault="00D37B0B" w:rsidP="00D37B0B">
      <w:pPr>
        <w:tabs>
          <w:tab w:val="left" w:pos="6946"/>
        </w:tabs>
        <w:ind w:rightChars="-18" w:right="-43"/>
      </w:pPr>
      <w:r w:rsidRPr="000D30E2">
        <w:t>___________________________________</w:t>
      </w:r>
    </w:p>
    <w:p w:rsidR="002352DA" w:rsidRPr="000D30E2" w:rsidRDefault="00D37B0B" w:rsidP="00D37B0B">
      <w:pPr>
        <w:tabs>
          <w:tab w:val="left" w:pos="6946"/>
        </w:tabs>
        <w:ind w:rightChars="-18" w:right="-43"/>
      </w:pPr>
      <w:r w:rsidRPr="000D30E2">
        <w:t>July 2015</w:t>
      </w:r>
    </w:p>
    <w:sectPr w:rsidR="002352DA" w:rsidRPr="000D30E2" w:rsidSect="00721A97">
      <w:footerReference w:type="default" r:id="rId8"/>
      <w:headerReference w:type="first" r:id="rId9"/>
      <w:footerReference w:type="first" r:id="rId10"/>
      <w:pgSz w:w="11907" w:h="16840" w:code="9"/>
      <w:pgMar w:top="855" w:right="1440" w:bottom="1440" w:left="1440" w:header="568" w:footer="851"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9A8" w:rsidRDefault="007C19A8" w:rsidP="0023737F">
      <w:r>
        <w:separator/>
      </w:r>
    </w:p>
  </w:endnote>
  <w:endnote w:type="continuationSeparator" w:id="0">
    <w:p w:rsidR="007C19A8" w:rsidRDefault="007C19A8" w:rsidP="002373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4C5" w:rsidRPr="000D6817" w:rsidRDefault="00F924C5" w:rsidP="00F924C5">
    <w:pPr>
      <w:pStyle w:val="Footer"/>
      <w:jc w:val="right"/>
    </w:pPr>
    <w:r w:rsidRPr="000D6817">
      <w:t xml:space="preserve">Page </w:t>
    </w:r>
    <w:fldSimple w:instr=" PAGE ">
      <w:r w:rsidR="00EC419F">
        <w:rPr>
          <w:noProof/>
        </w:rPr>
        <w:t>2</w:t>
      </w:r>
    </w:fldSimple>
    <w:r w:rsidRPr="000D6817">
      <w:t xml:space="preserve"> of </w:t>
    </w:r>
    <w:fldSimple w:instr=" NUMPAGES  ">
      <w:r w:rsidR="00EC419F">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9A8" w:rsidRPr="000D6817" w:rsidRDefault="007C19A8">
    <w:pPr>
      <w:pStyle w:val="Footer"/>
      <w:jc w:val="right"/>
    </w:pPr>
    <w:r w:rsidRPr="000D6817">
      <w:t xml:space="preserve">Page </w:t>
    </w:r>
    <w:fldSimple w:instr=" PAGE ">
      <w:r w:rsidR="00EC419F">
        <w:rPr>
          <w:noProof/>
        </w:rPr>
        <w:t>1</w:t>
      </w:r>
    </w:fldSimple>
    <w:r w:rsidRPr="000D6817">
      <w:t xml:space="preserve"> of </w:t>
    </w:r>
    <w:fldSimple w:instr=" NUMPAGES  ">
      <w:r w:rsidR="00EC419F">
        <w:rPr>
          <w:noProof/>
        </w:rPr>
        <w:t>2</w:t>
      </w:r>
    </w:fldSimple>
  </w:p>
  <w:p w:rsidR="007C19A8" w:rsidRDefault="007C19A8" w:rsidP="00F3000D">
    <w:pPr>
      <w:pStyle w:val="Footer"/>
      <w:jc w:val="right"/>
      <w:rPr>
        <w:spacing w:val="10"/>
        <w:sz w:val="24"/>
        <w:lang w:val="en-A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9A8" w:rsidRDefault="007C19A8" w:rsidP="0023737F">
      <w:r>
        <w:separator/>
      </w:r>
    </w:p>
  </w:footnote>
  <w:footnote w:type="continuationSeparator" w:id="0">
    <w:p w:rsidR="007C19A8" w:rsidRDefault="007C19A8" w:rsidP="002373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9A8" w:rsidRDefault="009542C2">
    <w:pPr>
      <w:framePr w:hSpace="180" w:wrap="auto" w:vAnchor="page" w:hAnchor="page" w:x="6913" w:y="721"/>
    </w:pPr>
    <w:r>
      <w:fldChar w:fldCharType="begin"/>
    </w:r>
    <w:r w:rsidR="007C19A8">
      <w:instrText xml:space="preserve"> INCLUDEPICTURE "C:\\Users\\apps\\07\\Templates\\CMD\\Common\\!CMD.TIF" \* MERGEFORMAT \d </w:instrText>
    </w:r>
    <w:r>
      <w:fldChar w:fldCharType="end"/>
    </w:r>
  </w:p>
  <w:tbl>
    <w:tblPr>
      <w:tblW w:w="0" w:type="auto"/>
      <w:tblLook w:val="04A0"/>
    </w:tblPr>
    <w:tblGrid>
      <w:gridCol w:w="4621"/>
      <w:gridCol w:w="4622"/>
    </w:tblGrid>
    <w:tr w:rsidR="007C19A8" w:rsidRPr="00173399" w:rsidTr="00F64E27">
      <w:tc>
        <w:tcPr>
          <w:tcW w:w="4621" w:type="dxa"/>
        </w:tcPr>
        <w:p w:rsidR="007C19A8" w:rsidRPr="00173399" w:rsidRDefault="007C19A8" w:rsidP="00173399">
          <w:pPr>
            <w:pStyle w:val="Header"/>
            <w:tabs>
              <w:tab w:val="clear" w:pos="4320"/>
              <w:tab w:val="clear" w:pos="8640"/>
              <w:tab w:val="left" w:pos="7325"/>
            </w:tabs>
            <w:rPr>
              <w:rFonts w:ascii="Bookman Old Style" w:hAnsi="Bookman Old Style"/>
              <w:sz w:val="24"/>
              <w:lang w:val="en-AU"/>
            </w:rPr>
          </w:pPr>
          <w:r>
            <w:rPr>
              <w:rFonts w:ascii="Bookman Old Style" w:hAnsi="Bookman Old Style"/>
              <w:noProof/>
              <w:sz w:val="24"/>
              <w:lang w:val="en-AU" w:eastAsia="en-AU"/>
            </w:rPr>
            <w:drawing>
              <wp:inline distT="0" distB="0" distL="0" distR="0">
                <wp:extent cx="1400175" cy="714375"/>
                <wp:effectExtent l="19050" t="0" r="9525" b="0"/>
                <wp:docPr id="1" name="Picture 1" descr="ACT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pic:cNvPicPr>
                          <a:picLocks noChangeAspect="1" noChangeArrowheads="1"/>
                        </pic:cNvPicPr>
                      </pic:nvPicPr>
                      <pic:blipFill>
                        <a:blip r:embed="rId1"/>
                        <a:srcRect/>
                        <a:stretch>
                          <a:fillRect/>
                        </a:stretch>
                      </pic:blipFill>
                      <pic:spPr bwMode="auto">
                        <a:xfrm>
                          <a:off x="0" y="0"/>
                          <a:ext cx="1400175" cy="714375"/>
                        </a:xfrm>
                        <a:prstGeom prst="rect">
                          <a:avLst/>
                        </a:prstGeom>
                        <a:noFill/>
                        <a:ln w="9525">
                          <a:noFill/>
                          <a:miter lim="800000"/>
                          <a:headEnd/>
                          <a:tailEnd/>
                        </a:ln>
                      </pic:spPr>
                    </pic:pic>
                  </a:graphicData>
                </a:graphic>
              </wp:inline>
            </w:drawing>
          </w:r>
        </w:p>
      </w:tc>
      <w:tc>
        <w:tcPr>
          <w:tcW w:w="4622" w:type="dxa"/>
        </w:tcPr>
        <w:p w:rsidR="007C19A8" w:rsidRPr="00173399" w:rsidRDefault="007C19A8" w:rsidP="00F64E27">
          <w:pPr>
            <w:pStyle w:val="Header"/>
            <w:tabs>
              <w:tab w:val="clear" w:pos="4320"/>
              <w:tab w:val="clear" w:pos="8640"/>
              <w:tab w:val="left" w:pos="7325"/>
            </w:tabs>
            <w:jc w:val="right"/>
            <w:rPr>
              <w:b/>
              <w:color w:val="0150A7"/>
              <w:sz w:val="24"/>
              <w:lang w:val="en-AU"/>
            </w:rPr>
          </w:pPr>
        </w:p>
      </w:tc>
    </w:tr>
  </w:tbl>
  <w:p w:rsidR="007C19A8" w:rsidRDefault="007C19A8" w:rsidP="00173399">
    <w:pPr>
      <w:pStyle w:val="Header"/>
      <w:tabs>
        <w:tab w:val="clear" w:pos="4320"/>
        <w:tab w:val="clear" w:pos="8640"/>
        <w:tab w:val="left" w:pos="7325"/>
      </w:tabs>
      <w:rPr>
        <w:rFonts w:ascii="Bookman Old Style" w:hAnsi="Bookman Old Style"/>
        <w:sz w:val="24"/>
        <w:lang w:val="en-A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67E9"/>
    <w:multiLevelType w:val="hybridMultilevel"/>
    <w:tmpl w:val="58C63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3263D9E"/>
    <w:multiLevelType w:val="hybridMultilevel"/>
    <w:tmpl w:val="1C705574"/>
    <w:lvl w:ilvl="0" w:tplc="96DC2122">
      <w:start w:val="1"/>
      <w:numFmt w:val="bullet"/>
      <w:pStyle w:val="Asubparabullet"/>
      <w:lvlText w:val=""/>
      <w:lvlJc w:val="left"/>
      <w:pPr>
        <w:tabs>
          <w:tab w:val="num" w:pos="2540"/>
        </w:tabs>
        <w:ind w:left="2540" w:hanging="400"/>
      </w:pPr>
      <w:rPr>
        <w:rFonts w:ascii="Symbol" w:hAnsi="Symbol" w:hint="default"/>
        <w:sz w:val="20"/>
      </w:rPr>
    </w:lvl>
    <w:lvl w:ilvl="1" w:tplc="0409000F"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422033D"/>
    <w:multiLevelType w:val="hybridMultilevel"/>
    <w:tmpl w:val="F4864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B0C1C3F"/>
    <w:multiLevelType w:val="hybridMultilevel"/>
    <w:tmpl w:val="344A5EB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295B49"/>
    <w:rsid w:val="0001685F"/>
    <w:rsid w:val="0001745F"/>
    <w:rsid w:val="00026A2A"/>
    <w:rsid w:val="000331D7"/>
    <w:rsid w:val="00040BBA"/>
    <w:rsid w:val="00054971"/>
    <w:rsid w:val="000C0B12"/>
    <w:rsid w:val="000D6817"/>
    <w:rsid w:val="000F20D6"/>
    <w:rsid w:val="00110EC2"/>
    <w:rsid w:val="0013413D"/>
    <w:rsid w:val="00141CDB"/>
    <w:rsid w:val="00173399"/>
    <w:rsid w:val="001824EC"/>
    <w:rsid w:val="00184B2F"/>
    <w:rsid w:val="001A4F84"/>
    <w:rsid w:val="001E213C"/>
    <w:rsid w:val="001E7B82"/>
    <w:rsid w:val="002031C5"/>
    <w:rsid w:val="0022591D"/>
    <w:rsid w:val="002352DA"/>
    <w:rsid w:val="0023737F"/>
    <w:rsid w:val="002553F1"/>
    <w:rsid w:val="00266BCB"/>
    <w:rsid w:val="00282114"/>
    <w:rsid w:val="00295B49"/>
    <w:rsid w:val="002B116B"/>
    <w:rsid w:val="002B7571"/>
    <w:rsid w:val="002D5BCE"/>
    <w:rsid w:val="002E2AF1"/>
    <w:rsid w:val="003E602F"/>
    <w:rsid w:val="003F5BDB"/>
    <w:rsid w:val="004070A7"/>
    <w:rsid w:val="00432E85"/>
    <w:rsid w:val="004952EE"/>
    <w:rsid w:val="004A083B"/>
    <w:rsid w:val="004B162E"/>
    <w:rsid w:val="004C59E4"/>
    <w:rsid w:val="004F45D5"/>
    <w:rsid w:val="005031BA"/>
    <w:rsid w:val="0051155A"/>
    <w:rsid w:val="00513F95"/>
    <w:rsid w:val="005217B3"/>
    <w:rsid w:val="00522B89"/>
    <w:rsid w:val="00555AD9"/>
    <w:rsid w:val="00556AF5"/>
    <w:rsid w:val="0055739F"/>
    <w:rsid w:val="0056779A"/>
    <w:rsid w:val="00577C38"/>
    <w:rsid w:val="00586397"/>
    <w:rsid w:val="005F7FCF"/>
    <w:rsid w:val="00632A89"/>
    <w:rsid w:val="006513AA"/>
    <w:rsid w:val="00684725"/>
    <w:rsid w:val="006B553F"/>
    <w:rsid w:val="00710508"/>
    <w:rsid w:val="00711159"/>
    <w:rsid w:val="0071729B"/>
    <w:rsid w:val="00717C65"/>
    <w:rsid w:val="00721A97"/>
    <w:rsid w:val="0074659C"/>
    <w:rsid w:val="00782086"/>
    <w:rsid w:val="007A769E"/>
    <w:rsid w:val="007C19A8"/>
    <w:rsid w:val="007C7689"/>
    <w:rsid w:val="007F6794"/>
    <w:rsid w:val="00802FC6"/>
    <w:rsid w:val="00803D70"/>
    <w:rsid w:val="008363B7"/>
    <w:rsid w:val="008C3E9D"/>
    <w:rsid w:val="008D7F54"/>
    <w:rsid w:val="008E192B"/>
    <w:rsid w:val="009542C2"/>
    <w:rsid w:val="00960CFF"/>
    <w:rsid w:val="00971957"/>
    <w:rsid w:val="009B1C6F"/>
    <w:rsid w:val="009B359F"/>
    <w:rsid w:val="009C7B4C"/>
    <w:rsid w:val="00A07165"/>
    <w:rsid w:val="00A2786A"/>
    <w:rsid w:val="00A62922"/>
    <w:rsid w:val="00A811B9"/>
    <w:rsid w:val="00A87AAD"/>
    <w:rsid w:val="00A87D9F"/>
    <w:rsid w:val="00A93AFC"/>
    <w:rsid w:val="00A95D08"/>
    <w:rsid w:val="00AC073E"/>
    <w:rsid w:val="00AC7A21"/>
    <w:rsid w:val="00AD3696"/>
    <w:rsid w:val="00B11EB7"/>
    <w:rsid w:val="00B2222B"/>
    <w:rsid w:val="00B36B00"/>
    <w:rsid w:val="00B86BB1"/>
    <w:rsid w:val="00BB6F33"/>
    <w:rsid w:val="00BC6BC3"/>
    <w:rsid w:val="00BD33A4"/>
    <w:rsid w:val="00BE6689"/>
    <w:rsid w:val="00BF6BAC"/>
    <w:rsid w:val="00C273CD"/>
    <w:rsid w:val="00C4118B"/>
    <w:rsid w:val="00C44A61"/>
    <w:rsid w:val="00C75A71"/>
    <w:rsid w:val="00C808DA"/>
    <w:rsid w:val="00C90C87"/>
    <w:rsid w:val="00C91F59"/>
    <w:rsid w:val="00CB0F2D"/>
    <w:rsid w:val="00CE17D3"/>
    <w:rsid w:val="00CF47EF"/>
    <w:rsid w:val="00CF4994"/>
    <w:rsid w:val="00D06693"/>
    <w:rsid w:val="00D178BE"/>
    <w:rsid w:val="00D24620"/>
    <w:rsid w:val="00D37B0B"/>
    <w:rsid w:val="00D448FF"/>
    <w:rsid w:val="00D85EF8"/>
    <w:rsid w:val="00DC25F7"/>
    <w:rsid w:val="00DF781B"/>
    <w:rsid w:val="00E3100A"/>
    <w:rsid w:val="00E40CFF"/>
    <w:rsid w:val="00E6461D"/>
    <w:rsid w:val="00E97C50"/>
    <w:rsid w:val="00EA212C"/>
    <w:rsid w:val="00EA62AB"/>
    <w:rsid w:val="00EB3576"/>
    <w:rsid w:val="00EB4AA3"/>
    <w:rsid w:val="00EC419F"/>
    <w:rsid w:val="00F05EDA"/>
    <w:rsid w:val="00F12598"/>
    <w:rsid w:val="00F1317D"/>
    <w:rsid w:val="00F1501D"/>
    <w:rsid w:val="00F159CA"/>
    <w:rsid w:val="00F3000D"/>
    <w:rsid w:val="00F33126"/>
    <w:rsid w:val="00F64E27"/>
    <w:rsid w:val="00F703A5"/>
    <w:rsid w:val="00F74B8D"/>
    <w:rsid w:val="00F77DE0"/>
    <w:rsid w:val="00F86791"/>
    <w:rsid w:val="00F924C5"/>
    <w:rsid w:val="00FD251F"/>
    <w:rsid w:val="00FD4606"/>
    <w:rsid w:val="00FD5F88"/>
    <w:rsid w:val="00FE6A16"/>
    <w:rsid w:val="00FF401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BCB"/>
    <w:rPr>
      <w:rFonts w:eastAsia="Times New Roman"/>
      <w:sz w:val="24"/>
      <w:szCs w:val="24"/>
      <w:lang w:eastAsia="en-US"/>
    </w:rPr>
  </w:style>
  <w:style w:type="paragraph" w:styleId="Heading1">
    <w:name w:val="heading 1"/>
    <w:basedOn w:val="Normal"/>
    <w:next w:val="Normal"/>
    <w:link w:val="Heading1Char"/>
    <w:qFormat/>
    <w:rsid w:val="00266BCB"/>
    <w:pPr>
      <w:keepNext/>
      <w:outlineLvl w:val="0"/>
    </w:pPr>
    <w:rPr>
      <w:b/>
      <w:sz w:val="28"/>
      <w:szCs w:val="20"/>
      <w:lang w:val="en-US"/>
    </w:rPr>
  </w:style>
  <w:style w:type="paragraph" w:styleId="Heading2">
    <w:name w:val="heading 2"/>
    <w:basedOn w:val="Normal"/>
    <w:next w:val="Normal"/>
    <w:link w:val="Heading2Char"/>
    <w:qFormat/>
    <w:rsid w:val="009B359F"/>
    <w:pPr>
      <w:keepNext/>
      <w:outlineLvl w:val="1"/>
    </w:pPr>
    <w:rPr>
      <w:sz w:val="32"/>
      <w:szCs w:val="20"/>
      <w:lang w:val="en-US"/>
    </w:rPr>
  </w:style>
  <w:style w:type="paragraph" w:styleId="Heading4">
    <w:name w:val="heading 4"/>
    <w:basedOn w:val="Normal"/>
    <w:next w:val="Normal"/>
    <w:link w:val="Heading4Char"/>
    <w:qFormat/>
    <w:rsid w:val="009B359F"/>
    <w:pPr>
      <w:keepNext/>
      <w:outlineLvl w:val="3"/>
    </w:pPr>
    <w:rPr>
      <w:rFonts w:ascii="Arial" w:hAnsi="Arial"/>
      <w:color w:val="000080"/>
      <w:szCs w:val="20"/>
    </w:rPr>
  </w:style>
  <w:style w:type="paragraph" w:styleId="Heading6">
    <w:name w:val="heading 6"/>
    <w:basedOn w:val="Normal"/>
    <w:next w:val="Normal"/>
    <w:link w:val="Heading6Char"/>
    <w:qFormat/>
    <w:rsid w:val="009B359F"/>
    <w:pPr>
      <w:keepNext/>
      <w:ind w:right="-57"/>
      <w:outlineLvl w:val="5"/>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6BCB"/>
    <w:rPr>
      <w:rFonts w:ascii="Calibri" w:eastAsia="Times New Roman" w:hAnsi="Calibri"/>
      <w:b/>
      <w:sz w:val="28"/>
      <w:lang w:val="en-US" w:eastAsia="en-US"/>
    </w:rPr>
  </w:style>
  <w:style w:type="character" w:customStyle="1" w:styleId="Heading2Char">
    <w:name w:val="Heading 2 Char"/>
    <w:basedOn w:val="DefaultParagraphFont"/>
    <w:link w:val="Heading2"/>
    <w:rsid w:val="009B359F"/>
    <w:rPr>
      <w:rFonts w:ascii="Times New Roman" w:eastAsia="Times New Roman" w:hAnsi="Times New Roman" w:cs="Times New Roman"/>
      <w:sz w:val="32"/>
      <w:szCs w:val="20"/>
      <w:lang w:val="en-US"/>
    </w:rPr>
  </w:style>
  <w:style w:type="character" w:customStyle="1" w:styleId="Heading4Char">
    <w:name w:val="Heading 4 Char"/>
    <w:basedOn w:val="DefaultParagraphFont"/>
    <w:link w:val="Heading4"/>
    <w:rsid w:val="009B359F"/>
    <w:rPr>
      <w:rFonts w:ascii="Arial" w:eastAsia="Times New Roman" w:hAnsi="Arial" w:cs="Times New Roman"/>
      <w:color w:val="000080"/>
      <w:sz w:val="24"/>
      <w:szCs w:val="20"/>
    </w:rPr>
  </w:style>
  <w:style w:type="character" w:customStyle="1" w:styleId="Heading6Char">
    <w:name w:val="Heading 6 Char"/>
    <w:basedOn w:val="DefaultParagraphFont"/>
    <w:link w:val="Heading6"/>
    <w:rsid w:val="009B359F"/>
    <w:rPr>
      <w:rFonts w:ascii="Arial" w:eastAsia="Times New Roman" w:hAnsi="Arial" w:cs="Times New Roman"/>
      <w:b/>
      <w:sz w:val="24"/>
      <w:szCs w:val="20"/>
    </w:rPr>
  </w:style>
  <w:style w:type="paragraph" w:styleId="Header">
    <w:name w:val="header"/>
    <w:basedOn w:val="Normal"/>
    <w:link w:val="HeaderChar"/>
    <w:rsid w:val="009B359F"/>
    <w:pPr>
      <w:tabs>
        <w:tab w:val="center" w:pos="4320"/>
        <w:tab w:val="right" w:pos="8640"/>
      </w:tabs>
    </w:pPr>
    <w:rPr>
      <w:sz w:val="20"/>
      <w:szCs w:val="20"/>
      <w:lang w:val="en-US"/>
    </w:rPr>
  </w:style>
  <w:style w:type="character" w:customStyle="1" w:styleId="HeaderChar">
    <w:name w:val="Header Char"/>
    <w:basedOn w:val="DefaultParagraphFont"/>
    <w:link w:val="Header"/>
    <w:rsid w:val="009B359F"/>
    <w:rPr>
      <w:rFonts w:ascii="Times New Roman" w:eastAsia="Times New Roman" w:hAnsi="Times New Roman" w:cs="Times New Roman"/>
      <w:sz w:val="20"/>
      <w:szCs w:val="20"/>
      <w:lang w:val="en-US"/>
    </w:rPr>
  </w:style>
  <w:style w:type="paragraph" w:styleId="Footer">
    <w:name w:val="footer"/>
    <w:basedOn w:val="Normal"/>
    <w:link w:val="FooterChar"/>
    <w:uiPriority w:val="99"/>
    <w:rsid w:val="009B359F"/>
    <w:pPr>
      <w:tabs>
        <w:tab w:val="center" w:pos="4320"/>
        <w:tab w:val="right" w:pos="8640"/>
      </w:tabs>
    </w:pPr>
    <w:rPr>
      <w:sz w:val="20"/>
      <w:szCs w:val="20"/>
      <w:lang w:val="en-US"/>
    </w:rPr>
  </w:style>
  <w:style w:type="character" w:customStyle="1" w:styleId="FooterChar">
    <w:name w:val="Footer Char"/>
    <w:basedOn w:val="DefaultParagraphFont"/>
    <w:link w:val="Footer"/>
    <w:uiPriority w:val="99"/>
    <w:rsid w:val="009B359F"/>
    <w:rPr>
      <w:rFonts w:ascii="Times New Roman" w:eastAsia="Times New Roman" w:hAnsi="Times New Roman" w:cs="Times New Roman"/>
      <w:sz w:val="20"/>
      <w:szCs w:val="20"/>
      <w:lang w:val="en-US"/>
    </w:rPr>
  </w:style>
  <w:style w:type="paragraph" w:customStyle="1" w:styleId="Asubparabullet">
    <w:name w:val="A subpara bullet"/>
    <w:basedOn w:val="Normal"/>
    <w:rsid w:val="009B359F"/>
    <w:pPr>
      <w:numPr>
        <w:numId w:val="1"/>
      </w:numPr>
    </w:pPr>
  </w:style>
  <w:style w:type="character" w:styleId="Hyperlink">
    <w:name w:val="Hyperlink"/>
    <w:basedOn w:val="DefaultParagraphFont"/>
    <w:uiPriority w:val="99"/>
    <w:unhideWhenUsed/>
    <w:rsid w:val="009B359F"/>
    <w:rPr>
      <w:color w:val="414958"/>
      <w:u w:val="single"/>
    </w:rPr>
  </w:style>
  <w:style w:type="paragraph" w:styleId="BalloonText">
    <w:name w:val="Balloon Text"/>
    <w:basedOn w:val="Normal"/>
    <w:link w:val="BalloonTextChar"/>
    <w:uiPriority w:val="99"/>
    <w:semiHidden/>
    <w:unhideWhenUsed/>
    <w:rsid w:val="0023737F"/>
    <w:rPr>
      <w:rFonts w:ascii="Tahoma" w:hAnsi="Tahoma" w:cs="Tahoma"/>
      <w:sz w:val="16"/>
      <w:szCs w:val="16"/>
    </w:rPr>
  </w:style>
  <w:style w:type="character" w:customStyle="1" w:styleId="BalloonTextChar">
    <w:name w:val="Balloon Text Char"/>
    <w:basedOn w:val="DefaultParagraphFont"/>
    <w:link w:val="BalloonText"/>
    <w:uiPriority w:val="99"/>
    <w:semiHidden/>
    <w:rsid w:val="0023737F"/>
    <w:rPr>
      <w:rFonts w:ascii="Tahoma" w:eastAsia="Times New Roman" w:hAnsi="Tahoma" w:cs="Tahoma"/>
      <w:sz w:val="16"/>
      <w:szCs w:val="16"/>
    </w:rPr>
  </w:style>
  <w:style w:type="table" w:styleId="TableGrid">
    <w:name w:val="Table Grid"/>
    <w:basedOn w:val="TableNormal"/>
    <w:uiPriority w:val="59"/>
    <w:rsid w:val="00173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721A97"/>
    <w:pPr>
      <w:spacing w:before="240" w:after="60" w:line="360" w:lineRule="auto"/>
      <w:jc w:val="center"/>
      <w:outlineLvl w:val="0"/>
    </w:pPr>
    <w:rPr>
      <w:b/>
      <w:bCs/>
      <w:kern w:val="28"/>
      <w:sz w:val="48"/>
      <w:szCs w:val="32"/>
    </w:rPr>
  </w:style>
  <w:style w:type="character" w:customStyle="1" w:styleId="TitleChar">
    <w:name w:val="Title Char"/>
    <w:basedOn w:val="DefaultParagraphFont"/>
    <w:link w:val="Title"/>
    <w:uiPriority w:val="10"/>
    <w:rsid w:val="00721A97"/>
    <w:rPr>
      <w:rFonts w:eastAsia="Times New Roman"/>
      <w:b/>
      <w:bCs/>
      <w:kern w:val="28"/>
      <w:sz w:val="48"/>
      <w:szCs w:val="32"/>
      <w:lang w:eastAsia="en-US"/>
    </w:rPr>
  </w:style>
  <w:style w:type="paragraph" w:customStyle="1" w:styleId="AdviceTitle">
    <w:name w:val="Advice Title"/>
    <w:basedOn w:val="Title"/>
    <w:qFormat/>
    <w:rsid w:val="00EA212C"/>
    <w:rPr>
      <w:sz w:val="40"/>
    </w:rPr>
  </w:style>
  <w:style w:type="paragraph" w:styleId="FootnoteText">
    <w:name w:val="footnote text"/>
    <w:basedOn w:val="Normal"/>
    <w:link w:val="FootnoteTextChar"/>
    <w:uiPriority w:val="99"/>
    <w:semiHidden/>
    <w:unhideWhenUsed/>
    <w:rsid w:val="00BC6BC3"/>
    <w:rPr>
      <w:rFonts w:eastAsia="Calibri"/>
      <w:sz w:val="20"/>
      <w:szCs w:val="20"/>
    </w:rPr>
  </w:style>
  <w:style w:type="character" w:customStyle="1" w:styleId="FootnoteTextChar">
    <w:name w:val="Footnote Text Char"/>
    <w:basedOn w:val="DefaultParagraphFont"/>
    <w:link w:val="FootnoteText"/>
    <w:uiPriority w:val="99"/>
    <w:semiHidden/>
    <w:rsid w:val="00BC6BC3"/>
    <w:rPr>
      <w:lang w:eastAsia="en-US"/>
    </w:rPr>
  </w:style>
  <w:style w:type="character" w:styleId="FootnoteReference">
    <w:name w:val="footnote reference"/>
    <w:basedOn w:val="DefaultParagraphFont"/>
    <w:uiPriority w:val="99"/>
    <w:semiHidden/>
    <w:unhideWhenUsed/>
    <w:rsid w:val="00BC6BC3"/>
    <w:rPr>
      <w:vertAlign w:val="superscript"/>
    </w:rPr>
  </w:style>
  <w:style w:type="paragraph" w:styleId="ListParagraph">
    <w:name w:val="List Paragraph"/>
    <w:basedOn w:val="Normal"/>
    <w:uiPriority w:val="34"/>
    <w:qFormat/>
    <w:rsid w:val="00BC6BC3"/>
    <w:pPr>
      <w:spacing w:after="200" w:line="276" w:lineRule="auto"/>
      <w:ind w:left="720"/>
      <w:contextualSpacing/>
    </w:pPr>
    <w:rPr>
      <w:rFonts w:eastAsia="Calibri" w:cs="Arial"/>
      <w:kern w:val="2"/>
    </w:rPr>
  </w:style>
  <w:style w:type="paragraph" w:styleId="TOCHeading">
    <w:name w:val="TOC Heading"/>
    <w:basedOn w:val="Heading1"/>
    <w:next w:val="Normal"/>
    <w:uiPriority w:val="39"/>
    <w:unhideWhenUsed/>
    <w:qFormat/>
    <w:rsid w:val="00721A97"/>
    <w:pPr>
      <w:keepLines/>
      <w:spacing w:before="480" w:line="276" w:lineRule="auto"/>
      <w:outlineLvl w:val="9"/>
    </w:pPr>
    <w:rPr>
      <w:rFonts w:ascii="Cambria" w:hAnsi="Cambria"/>
      <w:bCs/>
      <w:color w:val="365F91"/>
      <w:szCs w:val="28"/>
    </w:rPr>
  </w:style>
  <w:style w:type="paragraph" w:styleId="TOC1">
    <w:name w:val="toc 1"/>
    <w:basedOn w:val="Normal"/>
    <w:next w:val="Normal"/>
    <w:autoRedefine/>
    <w:uiPriority w:val="39"/>
    <w:unhideWhenUsed/>
    <w:rsid w:val="00721A97"/>
  </w:style>
</w:styles>
</file>

<file path=word/webSettings.xml><?xml version="1.0" encoding="utf-8"?>
<w:webSettings xmlns:r="http://schemas.openxmlformats.org/officeDocument/2006/relationships" xmlns:w="http://schemas.openxmlformats.org/wordprocessingml/2006/main">
  <w:divs>
    <w:div w:id="138120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ise%20ernst\AppData\Local\Microsoft\Windows\Temporary%20Internet%20Files\Content.Outlook\ZWJ9JN7L\MASTER%20Policy-ACT%20PUBLIC%20SECTOR%20%20REASONABLE%20ADJUSTMENT%20POLI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6D92D-1D7F-474B-A88B-EF41F0D52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Policy-ACT PUBLIC SECTOR  REASONABLE ADJUSTMENT POLICY</Template>
  <TotalTime>1</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Recording Devices</dc:title>
  <dc:subject>Non-consensual recordings</dc:subject>
  <dc:creator>ACT Government</dc:creator>
  <cp:keywords>recording; non-consensual; audio recordings; visual data recordings</cp:keywords>
  <cp:lastModifiedBy>anne mckevett</cp:lastModifiedBy>
  <cp:revision>2</cp:revision>
  <cp:lastPrinted>2015-07-22T07:30:00Z</cp:lastPrinted>
  <dcterms:created xsi:type="dcterms:W3CDTF">2015-08-23T23:28:00Z</dcterms:created>
  <dcterms:modified xsi:type="dcterms:W3CDTF">2015-08-23T23:28:00Z</dcterms:modified>
  <cp:category>EMPLOYMENT POLICY</cp:category>
</cp:coreProperties>
</file>