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F08" w:rsidRPr="00DE55D7" w:rsidRDefault="00E71F08" w:rsidP="00E71F08">
      <w:pPr>
        <w:spacing w:after="120"/>
        <w:jc w:val="both"/>
        <w:rPr>
          <w:rFonts w:asciiTheme="minorHAnsi" w:hAnsiTheme="minorHAnsi"/>
          <w:b/>
          <w:bCs/>
        </w:rPr>
      </w:pPr>
      <w:r w:rsidRPr="00DE55D7">
        <w:rPr>
          <w:rFonts w:asciiTheme="minorHAnsi" w:hAnsiTheme="minorHAnsi"/>
          <w:b/>
          <w:bCs/>
        </w:rPr>
        <w:t>18/074 - Future of Education – Final Report</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16"/>
      </w:tblGrid>
      <w:tr w:rsidR="00E71F08" w:rsidRPr="00DE55D7" w:rsidTr="00B8321B">
        <w:trPr>
          <w:jc w:val="center"/>
        </w:trPr>
        <w:tc>
          <w:tcPr>
            <w:tcW w:w="9016" w:type="dxa"/>
          </w:tcPr>
          <w:p w:rsidR="00E71F08" w:rsidRPr="00DE55D7" w:rsidRDefault="00E71F08" w:rsidP="00CB1806">
            <w:pPr>
              <w:spacing w:before="120" w:after="120" w:line="240" w:lineRule="auto"/>
              <w:jc w:val="both"/>
              <w:rPr>
                <w:rFonts w:asciiTheme="minorHAnsi" w:hAnsiTheme="minorHAnsi"/>
                <w:b/>
                <w:bCs/>
              </w:rPr>
            </w:pPr>
            <w:r w:rsidRPr="00DE55D7">
              <w:rPr>
                <w:rFonts w:asciiTheme="minorHAnsi" w:hAnsiTheme="minorHAnsi"/>
                <w:b/>
                <w:bCs/>
              </w:rPr>
              <w:t>Summary of Impacts</w:t>
            </w:r>
          </w:p>
        </w:tc>
      </w:tr>
      <w:tr w:rsidR="00E71F08" w:rsidRPr="00DE55D7" w:rsidTr="00B8321B">
        <w:trPr>
          <w:jc w:val="center"/>
        </w:trPr>
        <w:tc>
          <w:tcPr>
            <w:tcW w:w="9016" w:type="dxa"/>
          </w:tcPr>
          <w:p w:rsidR="00E71F08" w:rsidRPr="00DE55D7" w:rsidRDefault="00E71F08" w:rsidP="00CB1806">
            <w:pPr>
              <w:numPr>
                <w:ilvl w:val="0"/>
                <w:numId w:val="1"/>
              </w:numPr>
              <w:spacing w:before="120" w:after="120" w:line="240" w:lineRule="auto"/>
              <w:ind w:left="454"/>
              <w:rPr>
                <w:rFonts w:asciiTheme="minorHAnsi" w:hAnsiTheme="minorHAnsi"/>
              </w:rPr>
            </w:pPr>
            <w:r w:rsidRPr="00DE55D7">
              <w:rPr>
                <w:rFonts w:asciiTheme="minorHAnsi" w:hAnsiTheme="minorHAnsi"/>
              </w:rPr>
              <w:t xml:space="preserve">The proposed strategy for the future of education in the ACT seeks to meet the </w:t>
            </w:r>
            <w:r w:rsidRPr="00DE55D7">
              <w:rPr>
                <w:rFonts w:asciiTheme="minorHAnsi" w:hAnsiTheme="minorHAnsi" w:cs="Times New Roman"/>
              </w:rPr>
              <w:t xml:space="preserve">future learning </w:t>
            </w:r>
            <w:r w:rsidRPr="00DE55D7">
              <w:rPr>
                <w:rFonts w:asciiTheme="minorHAnsi" w:hAnsiTheme="minorHAnsi"/>
              </w:rPr>
              <w:t>needs of young people by:</w:t>
            </w:r>
          </w:p>
          <w:p w:rsidR="00E71F08" w:rsidRPr="00DE55D7" w:rsidRDefault="00E71F08" w:rsidP="00CB1806">
            <w:pPr>
              <w:numPr>
                <w:ilvl w:val="0"/>
                <w:numId w:val="2"/>
              </w:numPr>
              <w:spacing w:before="120" w:after="120" w:line="240" w:lineRule="auto"/>
              <w:ind w:left="1021" w:hanging="284"/>
              <w:contextualSpacing/>
              <w:rPr>
                <w:rFonts w:asciiTheme="minorHAnsi" w:hAnsiTheme="minorHAnsi"/>
              </w:rPr>
            </w:pPr>
            <w:r w:rsidRPr="00DE55D7">
              <w:rPr>
                <w:rFonts w:asciiTheme="minorHAnsi" w:hAnsiTheme="minorHAnsi"/>
              </w:rPr>
              <w:t xml:space="preserve">placing students at the centre of their learning; </w:t>
            </w:r>
          </w:p>
          <w:p w:rsidR="00E71F08" w:rsidRPr="00DE55D7" w:rsidRDefault="00E71F08" w:rsidP="00CB1806">
            <w:pPr>
              <w:numPr>
                <w:ilvl w:val="0"/>
                <w:numId w:val="2"/>
              </w:numPr>
              <w:spacing w:before="120" w:after="120" w:line="240" w:lineRule="auto"/>
              <w:ind w:left="1021" w:hanging="284"/>
              <w:contextualSpacing/>
              <w:rPr>
                <w:rFonts w:asciiTheme="minorHAnsi" w:hAnsiTheme="minorHAnsi"/>
              </w:rPr>
            </w:pPr>
            <w:r w:rsidRPr="00DE55D7">
              <w:rPr>
                <w:rFonts w:asciiTheme="minorHAnsi" w:hAnsiTheme="minorHAnsi"/>
              </w:rPr>
              <w:t>supporting teachers be facilitators of learning through partnership with each other as well as with families and human and community services to meet students learning (and wellbeing) needs;</w:t>
            </w:r>
          </w:p>
          <w:p w:rsidR="00E71F08" w:rsidRPr="00DE55D7" w:rsidRDefault="00E71F08" w:rsidP="00CB1806">
            <w:pPr>
              <w:numPr>
                <w:ilvl w:val="0"/>
                <w:numId w:val="2"/>
              </w:numPr>
              <w:spacing w:before="120" w:after="120" w:line="240" w:lineRule="auto"/>
              <w:ind w:left="1021" w:hanging="284"/>
              <w:contextualSpacing/>
              <w:rPr>
                <w:rFonts w:asciiTheme="minorHAnsi" w:hAnsiTheme="minorHAnsi"/>
              </w:rPr>
            </w:pPr>
            <w:r w:rsidRPr="00DE55D7">
              <w:rPr>
                <w:rFonts w:asciiTheme="minorHAnsi" w:hAnsiTheme="minorHAnsi"/>
              </w:rPr>
              <w:t xml:space="preserve">creating strong communities of learning by acknowledging students and schools function within a set of influential relationships and operate within a broader community environment; </w:t>
            </w:r>
            <w:r>
              <w:rPr>
                <w:rFonts w:asciiTheme="minorHAnsi" w:hAnsiTheme="minorHAnsi"/>
              </w:rPr>
              <w:t>and</w:t>
            </w:r>
          </w:p>
          <w:p w:rsidR="00E71F08" w:rsidRPr="00DE55D7" w:rsidRDefault="00E71F08" w:rsidP="00CB1806">
            <w:pPr>
              <w:numPr>
                <w:ilvl w:val="0"/>
                <w:numId w:val="2"/>
              </w:numPr>
              <w:spacing w:before="120" w:after="120" w:line="240" w:lineRule="auto"/>
              <w:ind w:left="1021" w:hanging="284"/>
              <w:rPr>
                <w:rFonts w:asciiTheme="minorHAnsi" w:hAnsiTheme="minorHAnsi"/>
              </w:rPr>
            </w:pPr>
            <w:proofErr w:type="gramStart"/>
            <w:r w:rsidRPr="00DE55D7">
              <w:rPr>
                <w:rFonts w:asciiTheme="minorHAnsi" w:hAnsiTheme="minorHAnsi"/>
              </w:rPr>
              <w:t>ensuring</w:t>
            </w:r>
            <w:proofErr w:type="gramEnd"/>
            <w:r w:rsidRPr="00DE55D7">
              <w:rPr>
                <w:rFonts w:asciiTheme="minorHAnsi" w:hAnsiTheme="minorHAnsi"/>
              </w:rPr>
              <w:t xml:space="preserve"> a governance structure that optimises quality and equitable outcomes.</w:t>
            </w:r>
          </w:p>
          <w:p w:rsidR="00E71F08" w:rsidRPr="00DE55D7" w:rsidRDefault="00E71F08" w:rsidP="00CB1806">
            <w:pPr>
              <w:numPr>
                <w:ilvl w:val="0"/>
                <w:numId w:val="1"/>
              </w:numPr>
              <w:spacing w:before="120" w:after="120" w:line="240" w:lineRule="auto"/>
              <w:ind w:left="454"/>
              <w:rPr>
                <w:rFonts w:asciiTheme="minorHAnsi" w:hAnsiTheme="minorHAnsi"/>
              </w:rPr>
            </w:pPr>
            <w:r w:rsidRPr="00DE55D7">
              <w:rPr>
                <w:rFonts w:asciiTheme="minorHAnsi" w:hAnsiTheme="minorHAnsi"/>
              </w:rPr>
              <w:t>The proposed strategy will result in positive social, economic and environmental outcomes.</w:t>
            </w:r>
          </w:p>
        </w:tc>
      </w:tr>
    </w:tbl>
    <w:p w:rsidR="00E71F08" w:rsidRPr="00DE55D7" w:rsidRDefault="00E71F08" w:rsidP="00E71F08">
      <w:pPr>
        <w:spacing w:after="120"/>
        <w:rPr>
          <w:rFonts w:asciiTheme="minorHAnsi" w:hAnsiTheme="minorHAnsi"/>
          <w:i/>
        </w:rPr>
      </w:pPr>
      <w:r w:rsidRPr="00DE55D7">
        <w:rPr>
          <w:rFonts w:asciiTheme="minorHAnsi" w:hAnsiTheme="minorHAnsi"/>
          <w:i/>
        </w:rPr>
        <w:t xml:space="preserve">Key to impacts: Red – negative, </w:t>
      </w:r>
      <w:proofErr w:type="gramStart"/>
      <w:r w:rsidRPr="00DE55D7">
        <w:rPr>
          <w:rFonts w:asciiTheme="minorHAnsi" w:hAnsiTheme="minorHAnsi"/>
          <w:i/>
        </w:rPr>
        <w:t>Blue</w:t>
      </w:r>
      <w:proofErr w:type="gramEnd"/>
      <w:r w:rsidRPr="00DE55D7">
        <w:rPr>
          <w:rFonts w:asciiTheme="minorHAnsi" w:hAnsiTheme="minorHAnsi"/>
          <w:i/>
        </w:rPr>
        <w:t xml:space="preserve"> - neutral and Green - Positive.</w:t>
      </w:r>
    </w:p>
    <w:p w:rsidR="00E71F08" w:rsidRPr="00DE55D7" w:rsidRDefault="00E71F08" w:rsidP="00E71F08">
      <w:pPr>
        <w:spacing w:after="0"/>
        <w:jc w:val="both"/>
        <w:rPr>
          <w:rFonts w:asciiTheme="minorHAnsi" w:hAnsiTheme="minorHAnsi"/>
          <w:b/>
          <w:bCs/>
        </w:rPr>
      </w:pPr>
      <w:r w:rsidRPr="00DE55D7">
        <w:rPr>
          <w:rFonts w:asciiTheme="minorHAnsi" w:hAnsiTheme="minorHAnsi"/>
          <w:b/>
          <w:bCs/>
        </w:rPr>
        <w:t>Social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25"/>
        <w:gridCol w:w="7491"/>
      </w:tblGrid>
      <w:tr w:rsidR="00E71F08" w:rsidRPr="00DE55D7" w:rsidTr="00B8321B">
        <w:trPr>
          <w:jc w:val="center"/>
        </w:trPr>
        <w:tc>
          <w:tcPr>
            <w:tcW w:w="1518" w:type="dxa"/>
            <w:shd w:val="clear" w:color="auto" w:fill="92D050"/>
          </w:tcPr>
          <w:p w:rsidR="00E71F08" w:rsidRPr="00DE55D7" w:rsidRDefault="00E71F08" w:rsidP="00CB1806">
            <w:pPr>
              <w:spacing w:before="120" w:after="120" w:line="240" w:lineRule="auto"/>
              <w:rPr>
                <w:rFonts w:asciiTheme="minorHAnsi" w:hAnsiTheme="minorHAnsi"/>
              </w:rPr>
            </w:pPr>
            <w:r w:rsidRPr="00DE55D7">
              <w:rPr>
                <w:rFonts w:asciiTheme="minorHAnsi" w:hAnsiTheme="minorHAnsi"/>
                <w:b/>
                <w:bCs/>
              </w:rPr>
              <w:t>Access to services</w:t>
            </w:r>
          </w:p>
        </w:tc>
        <w:tc>
          <w:tcPr>
            <w:tcW w:w="7520" w:type="dxa"/>
          </w:tcPr>
          <w:p w:rsidR="00E71F08" w:rsidRPr="00DE55D7" w:rsidRDefault="00E71F08" w:rsidP="00CB1806">
            <w:pPr>
              <w:numPr>
                <w:ilvl w:val="0"/>
                <w:numId w:val="1"/>
              </w:numPr>
              <w:tabs>
                <w:tab w:val="num" w:pos="851"/>
              </w:tabs>
              <w:spacing w:before="120" w:after="120" w:line="240" w:lineRule="auto"/>
              <w:ind w:left="360"/>
              <w:rPr>
                <w:rFonts w:asciiTheme="minorHAnsi" w:hAnsiTheme="minorHAnsi"/>
              </w:rPr>
            </w:pPr>
            <w:r w:rsidRPr="00DE55D7">
              <w:rPr>
                <w:rFonts w:asciiTheme="minorHAnsi" w:hAnsiTheme="minorHAnsi"/>
              </w:rPr>
              <w:t>There is a positive impact in relation to access to services through the ‘communities of learning’ foundation which will focus on bringing the community into our schools as partners in learning. Learning environments will actively engage and build relationships with families, community and government services, industry and the wider community to deliver learning experiences for students.</w:t>
            </w:r>
          </w:p>
        </w:tc>
      </w:tr>
      <w:tr w:rsidR="00E71F08" w:rsidRPr="00DE55D7" w:rsidTr="00B8321B">
        <w:trPr>
          <w:jc w:val="center"/>
        </w:trPr>
        <w:tc>
          <w:tcPr>
            <w:tcW w:w="1526" w:type="dxa"/>
            <w:shd w:val="clear" w:color="auto" w:fill="92D050"/>
          </w:tcPr>
          <w:p w:rsidR="00E71F08" w:rsidRPr="00DE55D7" w:rsidRDefault="00E71F08" w:rsidP="00CB1806">
            <w:pPr>
              <w:spacing w:before="120" w:after="120" w:line="240" w:lineRule="auto"/>
              <w:rPr>
                <w:rFonts w:asciiTheme="minorHAnsi" w:hAnsiTheme="minorHAnsi"/>
                <w:b/>
                <w:bCs/>
              </w:rPr>
            </w:pPr>
            <w:r w:rsidRPr="00DE55D7">
              <w:rPr>
                <w:rFonts w:asciiTheme="minorHAnsi" w:hAnsiTheme="minorHAnsi"/>
                <w:b/>
                <w:bCs/>
              </w:rPr>
              <w:t>Human rights</w:t>
            </w:r>
          </w:p>
        </w:tc>
        <w:tc>
          <w:tcPr>
            <w:tcW w:w="7716" w:type="dxa"/>
          </w:tcPr>
          <w:p w:rsidR="00E71F08" w:rsidRPr="00DE55D7" w:rsidRDefault="00E71F08" w:rsidP="00CB1806">
            <w:pPr>
              <w:numPr>
                <w:ilvl w:val="0"/>
                <w:numId w:val="1"/>
              </w:numPr>
              <w:spacing w:before="120" w:after="120" w:line="240" w:lineRule="auto"/>
              <w:ind w:left="347"/>
              <w:rPr>
                <w:rFonts w:asciiTheme="minorHAnsi" w:hAnsiTheme="minorHAnsi"/>
              </w:rPr>
            </w:pPr>
            <w:r w:rsidRPr="00DE55D7">
              <w:rPr>
                <w:rFonts w:asciiTheme="minorHAnsi" w:hAnsiTheme="minorHAnsi"/>
              </w:rPr>
              <w:t xml:space="preserve">The strategy has been developed in accordance with S27A: Right to Education of the </w:t>
            </w:r>
            <w:r w:rsidRPr="00DE55D7">
              <w:rPr>
                <w:rFonts w:asciiTheme="minorHAnsi" w:hAnsiTheme="minorHAnsi"/>
                <w:i/>
              </w:rPr>
              <w:t>Human Rights Act 2004</w:t>
            </w:r>
            <w:r w:rsidRPr="00DE55D7">
              <w:rPr>
                <w:rFonts w:asciiTheme="minorHAnsi" w:hAnsiTheme="minorHAnsi"/>
              </w:rPr>
              <w:t>.</w:t>
            </w:r>
          </w:p>
        </w:tc>
      </w:tr>
      <w:tr w:rsidR="00E71F08" w:rsidRPr="00DE55D7" w:rsidTr="00B8321B">
        <w:trPr>
          <w:jc w:val="center"/>
        </w:trPr>
        <w:tc>
          <w:tcPr>
            <w:tcW w:w="1526" w:type="dxa"/>
            <w:shd w:val="clear" w:color="auto" w:fill="92D050"/>
          </w:tcPr>
          <w:p w:rsidR="00E71F08" w:rsidRPr="00DE55D7" w:rsidRDefault="00E71F08" w:rsidP="00CB1806">
            <w:pPr>
              <w:spacing w:before="120" w:after="120" w:line="240" w:lineRule="auto"/>
              <w:rPr>
                <w:rFonts w:asciiTheme="minorHAnsi" w:hAnsiTheme="minorHAnsi"/>
                <w:b/>
                <w:bCs/>
              </w:rPr>
            </w:pPr>
            <w:r w:rsidRPr="00DE55D7">
              <w:rPr>
                <w:rFonts w:asciiTheme="minorHAnsi" w:hAnsiTheme="minorHAnsi"/>
                <w:b/>
                <w:bCs/>
              </w:rPr>
              <w:t>Impacts on different age groups</w:t>
            </w:r>
          </w:p>
        </w:tc>
        <w:tc>
          <w:tcPr>
            <w:tcW w:w="7716" w:type="dxa"/>
          </w:tcPr>
          <w:p w:rsidR="00E71F08" w:rsidRPr="00DE55D7" w:rsidRDefault="00E71F08" w:rsidP="00CB1806">
            <w:pPr>
              <w:numPr>
                <w:ilvl w:val="0"/>
                <w:numId w:val="1"/>
              </w:numPr>
              <w:spacing w:before="120" w:after="120" w:line="240" w:lineRule="auto"/>
              <w:ind w:left="360"/>
              <w:rPr>
                <w:rFonts w:asciiTheme="minorHAnsi" w:hAnsiTheme="minorHAnsi"/>
              </w:rPr>
            </w:pPr>
            <w:r w:rsidRPr="00DE55D7">
              <w:rPr>
                <w:rFonts w:asciiTheme="minorHAnsi" w:hAnsiTheme="minorHAnsi"/>
              </w:rPr>
              <w:t xml:space="preserve">There is a positive impact on children and young people as a result of the key features of the strategy: student agency, wellbeing and voice having a central role in our schools; learning progress celebrated to the same degree as </w:t>
            </w:r>
            <w:bookmarkStart w:id="0" w:name="_GoBack"/>
            <w:bookmarkEnd w:id="0"/>
            <w:r w:rsidRPr="00DE55D7">
              <w:rPr>
                <w:rFonts w:asciiTheme="minorHAnsi" w:hAnsiTheme="minorHAnsi"/>
              </w:rPr>
              <w:t>A-E results; intervening early to ensure all young people learn; policies and practices recognising and resourcing high quality education in the early years.</w:t>
            </w:r>
          </w:p>
        </w:tc>
      </w:tr>
      <w:tr w:rsidR="00E71F08" w:rsidRPr="00DE55D7" w:rsidTr="00B8321B">
        <w:trPr>
          <w:jc w:val="center"/>
        </w:trPr>
        <w:tc>
          <w:tcPr>
            <w:tcW w:w="1526" w:type="dxa"/>
            <w:shd w:val="clear" w:color="auto" w:fill="92D050"/>
          </w:tcPr>
          <w:p w:rsidR="00E71F08" w:rsidRPr="00DE55D7" w:rsidRDefault="00E71F08" w:rsidP="00CB1806">
            <w:pPr>
              <w:spacing w:before="120" w:after="120" w:line="240" w:lineRule="auto"/>
              <w:rPr>
                <w:rFonts w:asciiTheme="minorHAnsi" w:hAnsiTheme="minorHAnsi"/>
                <w:b/>
                <w:bCs/>
              </w:rPr>
            </w:pPr>
            <w:r w:rsidRPr="00DE55D7">
              <w:rPr>
                <w:rFonts w:asciiTheme="minorHAnsi" w:hAnsiTheme="minorHAnsi"/>
                <w:b/>
                <w:bCs/>
              </w:rPr>
              <w:t>Disadvantaged and vulnerable</w:t>
            </w:r>
          </w:p>
        </w:tc>
        <w:tc>
          <w:tcPr>
            <w:tcW w:w="7716" w:type="dxa"/>
          </w:tcPr>
          <w:p w:rsidR="00E71F08" w:rsidRPr="00DE55D7" w:rsidRDefault="00E71F08" w:rsidP="00CB1806">
            <w:pPr>
              <w:numPr>
                <w:ilvl w:val="0"/>
                <w:numId w:val="1"/>
              </w:numPr>
              <w:tabs>
                <w:tab w:val="num" w:pos="851"/>
              </w:tabs>
              <w:spacing w:before="120" w:after="120" w:line="240" w:lineRule="auto"/>
              <w:ind w:left="360"/>
              <w:rPr>
                <w:rFonts w:asciiTheme="minorHAnsi" w:hAnsiTheme="minorHAnsi"/>
              </w:rPr>
            </w:pPr>
            <w:r w:rsidRPr="00DE55D7">
              <w:rPr>
                <w:rFonts w:asciiTheme="minorHAnsi" w:hAnsiTheme="minorHAnsi"/>
              </w:rPr>
              <w:t>There is a positive impact on disadvantaged and vulnerable children and young people through the strategy’s intention to ensure strong, transparent and equitable practice across all education systems so that the core value of equity in ACT schools and early childhood education and care systems is achieved.</w:t>
            </w:r>
          </w:p>
        </w:tc>
      </w:tr>
    </w:tbl>
    <w:p w:rsidR="00E71F08" w:rsidRPr="00DE55D7" w:rsidRDefault="00E71F08" w:rsidP="00E71F08">
      <w:pPr>
        <w:spacing w:before="120" w:after="0"/>
        <w:jc w:val="both"/>
        <w:rPr>
          <w:rFonts w:asciiTheme="minorHAnsi" w:hAnsiTheme="minorHAnsi"/>
          <w:b/>
          <w:bCs/>
        </w:rPr>
      </w:pPr>
      <w:r w:rsidRPr="00DE55D7">
        <w:rPr>
          <w:rFonts w:asciiTheme="minorHAnsi" w:hAnsiTheme="minorHAnsi"/>
          <w:b/>
          <w:bCs/>
        </w:rPr>
        <w:t>Economic</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18"/>
        <w:gridCol w:w="7498"/>
      </w:tblGrid>
      <w:tr w:rsidR="00E71F08" w:rsidRPr="00DE55D7" w:rsidTr="00CB1806">
        <w:trPr>
          <w:trHeight w:val="948"/>
          <w:jc w:val="center"/>
        </w:trPr>
        <w:tc>
          <w:tcPr>
            <w:tcW w:w="1519" w:type="dxa"/>
            <w:shd w:val="clear" w:color="auto" w:fill="0070C0"/>
          </w:tcPr>
          <w:p w:rsidR="00E71F08" w:rsidRPr="00DE55D7" w:rsidRDefault="00E71F08" w:rsidP="00CB1806">
            <w:pPr>
              <w:spacing w:before="120" w:after="120" w:line="240" w:lineRule="auto"/>
              <w:jc w:val="both"/>
              <w:rPr>
                <w:rFonts w:asciiTheme="minorHAnsi" w:hAnsiTheme="minorHAnsi"/>
              </w:rPr>
            </w:pPr>
            <w:r w:rsidRPr="00DE55D7">
              <w:rPr>
                <w:rFonts w:asciiTheme="minorHAnsi" w:hAnsiTheme="minorHAnsi"/>
                <w:b/>
                <w:bCs/>
              </w:rPr>
              <w:t>ACT Government Budget</w:t>
            </w:r>
          </w:p>
        </w:tc>
        <w:tc>
          <w:tcPr>
            <w:tcW w:w="7519" w:type="dxa"/>
          </w:tcPr>
          <w:p w:rsidR="00E71F08" w:rsidRPr="00DE55D7" w:rsidRDefault="00E71F08" w:rsidP="00CB1806">
            <w:pPr>
              <w:numPr>
                <w:ilvl w:val="0"/>
                <w:numId w:val="1"/>
              </w:numPr>
              <w:tabs>
                <w:tab w:val="num" w:pos="851"/>
              </w:tabs>
              <w:spacing w:before="120" w:after="120" w:line="240" w:lineRule="auto"/>
              <w:ind w:left="360"/>
              <w:rPr>
                <w:rFonts w:asciiTheme="minorHAnsi" w:hAnsiTheme="minorHAnsi"/>
              </w:rPr>
            </w:pPr>
            <w:r w:rsidRPr="00DE55D7">
              <w:rPr>
                <w:rFonts w:asciiTheme="minorHAnsi" w:hAnsiTheme="minorHAnsi"/>
              </w:rPr>
              <w:t>The strategy will be the platform for current and future policy work, which will involve other arms of government and will have financial impacts.</w:t>
            </w:r>
          </w:p>
          <w:p w:rsidR="00E71F08" w:rsidRPr="00DE55D7" w:rsidRDefault="00E71F08" w:rsidP="00CB1806">
            <w:pPr>
              <w:numPr>
                <w:ilvl w:val="0"/>
                <w:numId w:val="1"/>
              </w:numPr>
              <w:tabs>
                <w:tab w:val="num" w:pos="851"/>
              </w:tabs>
              <w:spacing w:before="120" w:after="120" w:line="240" w:lineRule="auto"/>
              <w:ind w:left="360"/>
              <w:rPr>
                <w:rFonts w:asciiTheme="minorHAnsi" w:hAnsiTheme="minorHAnsi"/>
              </w:rPr>
            </w:pPr>
            <w:r w:rsidRPr="00DE55D7">
              <w:rPr>
                <w:rFonts w:asciiTheme="minorHAnsi" w:hAnsiTheme="minorHAnsi"/>
              </w:rPr>
              <w:t>The strategy will underpin approaches to Budget Cabinet in the forward years.</w:t>
            </w:r>
          </w:p>
        </w:tc>
      </w:tr>
      <w:tr w:rsidR="00E71F08" w:rsidRPr="00DE55D7" w:rsidTr="00B8321B">
        <w:trPr>
          <w:jc w:val="center"/>
        </w:trPr>
        <w:tc>
          <w:tcPr>
            <w:tcW w:w="1526" w:type="dxa"/>
            <w:shd w:val="clear" w:color="auto" w:fill="92D050"/>
          </w:tcPr>
          <w:p w:rsidR="00E71F08" w:rsidRPr="00DE55D7" w:rsidRDefault="00E71F08" w:rsidP="00CB1806">
            <w:pPr>
              <w:shd w:val="clear" w:color="auto" w:fill="92D050"/>
              <w:spacing w:before="120" w:after="120" w:line="240" w:lineRule="auto"/>
              <w:rPr>
                <w:rFonts w:asciiTheme="minorHAnsi" w:hAnsiTheme="minorHAnsi"/>
                <w:b/>
                <w:bCs/>
              </w:rPr>
            </w:pPr>
            <w:r w:rsidRPr="00DE55D7">
              <w:rPr>
                <w:rFonts w:asciiTheme="minorHAnsi" w:hAnsiTheme="minorHAnsi"/>
                <w:b/>
                <w:bCs/>
              </w:rPr>
              <w:t>Skills and education</w:t>
            </w:r>
          </w:p>
        </w:tc>
        <w:tc>
          <w:tcPr>
            <w:tcW w:w="7716" w:type="dxa"/>
          </w:tcPr>
          <w:p w:rsidR="00E71F08" w:rsidRPr="00DE55D7" w:rsidRDefault="00E71F08" w:rsidP="00CB1806">
            <w:pPr>
              <w:numPr>
                <w:ilvl w:val="0"/>
                <w:numId w:val="1"/>
              </w:numPr>
              <w:tabs>
                <w:tab w:val="num" w:pos="851"/>
              </w:tabs>
              <w:spacing w:before="120" w:after="120" w:line="240" w:lineRule="auto"/>
              <w:ind w:left="360"/>
              <w:rPr>
                <w:rFonts w:asciiTheme="minorHAnsi" w:hAnsiTheme="minorHAnsi"/>
              </w:rPr>
            </w:pPr>
            <w:r w:rsidRPr="00DE55D7">
              <w:rPr>
                <w:rFonts w:asciiTheme="minorHAnsi" w:hAnsiTheme="minorHAnsi"/>
              </w:rPr>
              <w:t>The strategy has a positive impact upon skills and education through the development of a ten year strategic direction for education in the ACT.</w:t>
            </w:r>
          </w:p>
        </w:tc>
      </w:tr>
      <w:tr w:rsidR="00E71F08" w:rsidRPr="00DE55D7" w:rsidTr="00B8321B">
        <w:trPr>
          <w:jc w:val="center"/>
        </w:trPr>
        <w:tc>
          <w:tcPr>
            <w:tcW w:w="1519" w:type="dxa"/>
            <w:shd w:val="clear" w:color="auto" w:fill="92D050"/>
          </w:tcPr>
          <w:p w:rsidR="00E71F08" w:rsidRPr="00DE55D7" w:rsidRDefault="00E71F08" w:rsidP="00CB1806">
            <w:pPr>
              <w:spacing w:before="120" w:after="120" w:line="240" w:lineRule="auto"/>
              <w:rPr>
                <w:rFonts w:asciiTheme="minorHAnsi" w:hAnsiTheme="minorHAnsi"/>
                <w:b/>
                <w:bCs/>
              </w:rPr>
            </w:pPr>
            <w:r w:rsidRPr="00DE55D7">
              <w:rPr>
                <w:rFonts w:asciiTheme="minorHAnsi" w:hAnsiTheme="minorHAnsi"/>
                <w:b/>
                <w:bCs/>
              </w:rPr>
              <w:t>Investment and economic growth</w:t>
            </w:r>
          </w:p>
        </w:tc>
        <w:tc>
          <w:tcPr>
            <w:tcW w:w="7519" w:type="dxa"/>
          </w:tcPr>
          <w:p w:rsidR="00E71F08" w:rsidRPr="00DE55D7" w:rsidRDefault="00E71F08" w:rsidP="00CB1806">
            <w:pPr>
              <w:numPr>
                <w:ilvl w:val="0"/>
                <w:numId w:val="1"/>
              </w:numPr>
              <w:spacing w:before="120" w:after="120" w:line="240" w:lineRule="auto"/>
              <w:ind w:left="360"/>
              <w:rPr>
                <w:rFonts w:asciiTheme="minorHAnsi" w:hAnsiTheme="minorHAnsi"/>
              </w:rPr>
            </w:pPr>
            <w:r w:rsidRPr="00DE55D7">
              <w:rPr>
                <w:rFonts w:asciiTheme="minorHAnsi" w:hAnsiTheme="minorHAnsi"/>
              </w:rPr>
              <w:t>The strategy makes a significant investment in the growth of the city through accessible and equitable education systems with an explicit focus on the early years.</w:t>
            </w:r>
          </w:p>
        </w:tc>
      </w:tr>
    </w:tbl>
    <w:p w:rsidR="00E71F08" w:rsidRPr="00DE55D7" w:rsidRDefault="00E71F08" w:rsidP="00CB1806">
      <w:pPr>
        <w:tabs>
          <w:tab w:val="left" w:pos="3720"/>
        </w:tabs>
        <w:spacing w:before="120" w:after="0"/>
        <w:jc w:val="both"/>
        <w:rPr>
          <w:rFonts w:asciiTheme="minorHAnsi" w:hAnsiTheme="minorHAnsi"/>
          <w:b/>
          <w:bCs/>
        </w:rPr>
      </w:pPr>
      <w:r w:rsidRPr="00DE55D7">
        <w:rPr>
          <w:rFonts w:asciiTheme="minorHAnsi" w:hAnsiTheme="minorHAnsi"/>
          <w:b/>
          <w:bCs/>
        </w:rPr>
        <w:lastRenderedPageBreak/>
        <w:t>Environmental</w:t>
      </w:r>
    </w:p>
    <w:p w:rsidR="00E71F08" w:rsidRPr="00DE55D7" w:rsidRDefault="00E71F08" w:rsidP="00E71F08">
      <w:pPr>
        <w:rPr>
          <w:rFonts w:asciiTheme="minorHAnsi" w:hAnsiTheme="minorHAnsi"/>
        </w:rPr>
      </w:pPr>
      <w:r w:rsidRPr="00DE55D7">
        <w:rPr>
          <w:rFonts w:asciiTheme="minorHAnsi" w:hAnsiTheme="minorHAnsi"/>
        </w:rPr>
        <w:t>Nil impact</w:t>
      </w:r>
    </w:p>
    <w:p w:rsidR="00BB0B75" w:rsidRDefault="00BB0B75"/>
    <w:sectPr w:rsidR="00BB0B75" w:rsidSect="00CB1806">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B888E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E8D0AE6"/>
    <w:multiLevelType w:val="hybridMultilevel"/>
    <w:tmpl w:val="935A91B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F08"/>
    <w:rsid w:val="00BB0B75"/>
    <w:rsid w:val="00CB1806"/>
    <w:rsid w:val="00E71F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4BEF5-6B71-4E64-9CC7-1A055B86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F08"/>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Burns, Sara</cp:lastModifiedBy>
  <cp:revision>2</cp:revision>
  <dcterms:created xsi:type="dcterms:W3CDTF">2018-08-23T06:22:00Z</dcterms:created>
  <dcterms:modified xsi:type="dcterms:W3CDTF">2018-08-27T00:13:00Z</dcterms:modified>
</cp:coreProperties>
</file>