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79" w:rsidRPr="0088286D" w:rsidRDefault="007C4779" w:rsidP="007C4779">
      <w:pPr>
        <w:spacing w:after="120"/>
        <w:jc w:val="both"/>
        <w:rPr>
          <w:rFonts w:asciiTheme="minorHAnsi" w:hAnsiTheme="minorHAnsi"/>
          <w:b/>
          <w:bCs/>
          <w:color w:val="000000"/>
          <w:sz w:val="20"/>
          <w:szCs w:val="20"/>
        </w:rPr>
      </w:pPr>
      <w:r w:rsidRPr="0088286D">
        <w:rPr>
          <w:rFonts w:asciiTheme="minorHAnsi" w:hAnsiTheme="minorHAnsi"/>
          <w:b/>
          <w:bCs/>
          <w:color w:val="000000"/>
          <w:sz w:val="20"/>
          <w:szCs w:val="20"/>
        </w:rPr>
        <w:t>18:347:  Consumer Protection (Egg Labelling and Fuel Prices) Bill 2018</w:t>
      </w:r>
      <w:r>
        <w:rPr>
          <w:rFonts w:asciiTheme="minorHAnsi" w:hAnsiTheme="minorHAnsi"/>
          <w:b/>
          <w:bCs/>
          <w:color w:val="000000"/>
          <w:sz w:val="20"/>
          <w:szCs w:val="20"/>
        </w:rPr>
        <w:t xml:space="preserve"> (refers to 18/348 Consumer Protection Legislation Amendment Bill 2018 – Agreement to introduce)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7C4779" w:rsidRPr="0088286D" w:rsidTr="00A54AF8">
        <w:trPr>
          <w:jc w:val="center"/>
        </w:trPr>
        <w:tc>
          <w:tcPr>
            <w:tcW w:w="9105" w:type="dxa"/>
          </w:tcPr>
          <w:p w:rsidR="007C4779" w:rsidRPr="0088286D" w:rsidRDefault="007C4779" w:rsidP="00A54AF8">
            <w:pPr>
              <w:spacing w:before="60" w:after="0"/>
              <w:jc w:val="both"/>
              <w:rPr>
                <w:rFonts w:asciiTheme="minorHAnsi" w:hAnsiTheme="minorHAnsi"/>
                <w:b/>
                <w:bCs/>
                <w:color w:val="000000"/>
                <w:sz w:val="20"/>
                <w:szCs w:val="20"/>
              </w:rPr>
            </w:pPr>
            <w:r w:rsidRPr="0088286D">
              <w:rPr>
                <w:rFonts w:asciiTheme="minorHAnsi" w:hAnsiTheme="minorHAnsi"/>
                <w:b/>
                <w:bCs/>
                <w:color w:val="000000"/>
                <w:sz w:val="20"/>
                <w:szCs w:val="20"/>
              </w:rPr>
              <w:t>Summary of Impacts</w:t>
            </w:r>
          </w:p>
        </w:tc>
      </w:tr>
      <w:tr w:rsidR="007C4779" w:rsidRPr="0088286D" w:rsidTr="00A54AF8">
        <w:trPr>
          <w:jc w:val="center"/>
        </w:trPr>
        <w:tc>
          <w:tcPr>
            <w:tcW w:w="9105" w:type="dxa"/>
          </w:tcPr>
          <w:p w:rsidR="007C4779" w:rsidRPr="00437EF5" w:rsidRDefault="007C4779" w:rsidP="00A54AF8">
            <w:pPr>
              <w:numPr>
                <w:ilvl w:val="0"/>
                <w:numId w:val="1"/>
              </w:numPr>
              <w:spacing w:after="0" w:line="240" w:lineRule="auto"/>
              <w:ind w:left="360"/>
              <w:rPr>
                <w:rFonts w:asciiTheme="minorHAnsi" w:hAnsiTheme="minorHAnsi"/>
                <w:sz w:val="20"/>
                <w:szCs w:val="20"/>
              </w:rPr>
            </w:pPr>
            <w:r w:rsidRPr="00437EF5">
              <w:rPr>
                <w:rFonts w:asciiTheme="minorHAnsi" w:hAnsiTheme="minorHAnsi"/>
                <w:sz w:val="20"/>
                <w:szCs w:val="20"/>
              </w:rPr>
              <w:t xml:space="preserve">The Consumer Protection (Egg Labelling and Fuel Prices) Bill 2018 (the Bill) makes amendments to the Eggs (Labelling and Sales) Act 2001 to align the definition of and labelling requirements for free range eggs with the Commonwealth Government’s Australian Consumer Standard (Free Range Egg Labelling) Information Standard 2018 while at the same time emphasising support for a maximum stocking density of 1500 hens per hectare for free range eggs. </w:t>
            </w:r>
          </w:p>
          <w:p w:rsidR="007C4779" w:rsidRPr="00437EF5" w:rsidRDefault="007C4779" w:rsidP="00A54AF8">
            <w:pPr>
              <w:numPr>
                <w:ilvl w:val="0"/>
                <w:numId w:val="1"/>
              </w:numPr>
              <w:spacing w:after="0" w:line="240" w:lineRule="auto"/>
              <w:ind w:left="360"/>
              <w:rPr>
                <w:rFonts w:asciiTheme="minorHAnsi" w:hAnsiTheme="minorHAnsi"/>
                <w:sz w:val="20"/>
                <w:szCs w:val="20"/>
              </w:rPr>
            </w:pPr>
            <w:r w:rsidRPr="00437EF5">
              <w:rPr>
                <w:rFonts w:asciiTheme="minorHAnsi" w:hAnsiTheme="minorHAnsi"/>
                <w:sz w:val="20"/>
                <w:szCs w:val="20"/>
              </w:rPr>
              <w:t xml:space="preserve">The Bill also amends the Fair Trading (Fuel Prices) Act 1993 to ensure consumers are provided with accurate information about fuel prices by prohibiting the display of discounted prices on fuel price boards. </w:t>
            </w:r>
          </w:p>
        </w:tc>
      </w:tr>
    </w:tbl>
    <w:p w:rsidR="007C4779" w:rsidRPr="0088286D" w:rsidRDefault="007C4779" w:rsidP="007C4779">
      <w:pPr>
        <w:spacing w:after="120"/>
        <w:rPr>
          <w:rFonts w:asciiTheme="minorHAnsi" w:hAnsiTheme="minorHAnsi"/>
          <w:i/>
          <w:color w:val="000000"/>
          <w:sz w:val="20"/>
          <w:szCs w:val="20"/>
        </w:rPr>
      </w:pPr>
      <w:r w:rsidRPr="0088286D">
        <w:rPr>
          <w:rFonts w:asciiTheme="minorHAnsi" w:hAnsiTheme="minorHAnsi"/>
          <w:i/>
          <w:color w:val="000000"/>
          <w:sz w:val="20"/>
          <w:szCs w:val="20"/>
        </w:rPr>
        <w:t xml:space="preserve">Key to impacts: Red – negative, </w:t>
      </w:r>
      <w:proofErr w:type="gramStart"/>
      <w:r w:rsidRPr="0088286D">
        <w:rPr>
          <w:rFonts w:asciiTheme="minorHAnsi" w:hAnsiTheme="minorHAnsi"/>
          <w:i/>
          <w:color w:val="000000"/>
          <w:sz w:val="20"/>
          <w:szCs w:val="20"/>
        </w:rPr>
        <w:t>Blue</w:t>
      </w:r>
      <w:proofErr w:type="gramEnd"/>
      <w:r w:rsidRPr="0088286D">
        <w:rPr>
          <w:rFonts w:asciiTheme="minorHAnsi" w:hAnsiTheme="minorHAnsi"/>
          <w:i/>
          <w:color w:val="000000"/>
          <w:sz w:val="20"/>
          <w:szCs w:val="20"/>
        </w:rPr>
        <w:t xml:space="preserve"> </w:t>
      </w:r>
      <w:r>
        <w:rPr>
          <w:rFonts w:asciiTheme="minorHAnsi" w:hAnsiTheme="minorHAnsi"/>
          <w:i/>
          <w:color w:val="000000"/>
          <w:sz w:val="20"/>
          <w:szCs w:val="20"/>
        </w:rPr>
        <w:t xml:space="preserve">- </w:t>
      </w:r>
      <w:r w:rsidRPr="0088286D">
        <w:rPr>
          <w:rFonts w:asciiTheme="minorHAnsi" w:hAnsiTheme="minorHAnsi"/>
          <w:i/>
          <w:color w:val="000000"/>
          <w:sz w:val="20"/>
          <w:szCs w:val="20"/>
        </w:rPr>
        <w:t>neutral and Green</w:t>
      </w:r>
      <w:r>
        <w:rPr>
          <w:rFonts w:asciiTheme="minorHAnsi" w:hAnsiTheme="minorHAnsi"/>
          <w:i/>
          <w:color w:val="000000"/>
          <w:sz w:val="20"/>
          <w:szCs w:val="20"/>
        </w:rPr>
        <w:t xml:space="preserve"> - p</w:t>
      </w:r>
      <w:r w:rsidRPr="0088286D">
        <w:rPr>
          <w:rFonts w:asciiTheme="minorHAnsi" w:hAnsiTheme="minorHAnsi"/>
          <w:i/>
          <w:color w:val="000000"/>
          <w:sz w:val="20"/>
          <w:szCs w:val="20"/>
        </w:rPr>
        <w:t>ositive.</w:t>
      </w:r>
    </w:p>
    <w:p w:rsidR="007C4779" w:rsidRPr="0088286D" w:rsidRDefault="007C4779" w:rsidP="007C4779">
      <w:pPr>
        <w:spacing w:before="120" w:after="0"/>
        <w:jc w:val="both"/>
        <w:rPr>
          <w:rFonts w:asciiTheme="minorHAnsi" w:hAnsiTheme="minorHAnsi"/>
          <w:b/>
          <w:bCs/>
          <w:color w:val="000000"/>
          <w:sz w:val="20"/>
          <w:szCs w:val="20"/>
        </w:rPr>
      </w:pPr>
      <w:r>
        <w:rPr>
          <w:rFonts w:asciiTheme="minorHAnsi" w:hAnsiTheme="minorHAnsi"/>
          <w:b/>
          <w:bCs/>
          <w:color w:val="000000"/>
          <w:sz w:val="20"/>
          <w:szCs w:val="2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0"/>
        <w:gridCol w:w="7516"/>
      </w:tblGrid>
      <w:tr w:rsidR="007C4779" w:rsidRPr="0088286D" w:rsidTr="00A54AF8">
        <w:trPr>
          <w:jc w:val="center"/>
        </w:trPr>
        <w:tc>
          <w:tcPr>
            <w:tcW w:w="1500" w:type="dxa"/>
            <w:shd w:val="clear" w:color="auto" w:fill="92D050"/>
          </w:tcPr>
          <w:p w:rsidR="007C4779" w:rsidRPr="0088286D" w:rsidRDefault="007C4779" w:rsidP="00A54AF8">
            <w:pPr>
              <w:rPr>
                <w:rFonts w:asciiTheme="minorHAnsi" w:hAnsiTheme="minorHAnsi"/>
                <w:color w:val="000000"/>
                <w:sz w:val="20"/>
                <w:szCs w:val="20"/>
              </w:rPr>
            </w:pPr>
            <w:r>
              <w:rPr>
                <w:rFonts w:asciiTheme="minorHAnsi" w:hAnsiTheme="minorHAnsi"/>
                <w:b/>
                <w:bCs/>
                <w:color w:val="000000"/>
                <w:sz w:val="20"/>
                <w:szCs w:val="20"/>
              </w:rPr>
              <w:t>Justice and rights</w:t>
            </w:r>
          </w:p>
        </w:tc>
        <w:tc>
          <w:tcPr>
            <w:tcW w:w="7516" w:type="dxa"/>
          </w:tcPr>
          <w:p w:rsidR="007C4779" w:rsidRPr="0088286D" w:rsidRDefault="007C4779" w:rsidP="00A54AF8">
            <w:pPr>
              <w:numPr>
                <w:ilvl w:val="0"/>
                <w:numId w:val="1"/>
              </w:numPr>
              <w:spacing w:after="0" w:line="240" w:lineRule="auto"/>
              <w:ind w:left="360"/>
              <w:rPr>
                <w:rFonts w:asciiTheme="minorHAnsi" w:hAnsiTheme="minorHAnsi"/>
                <w:color w:val="000000"/>
                <w:sz w:val="20"/>
                <w:szCs w:val="20"/>
              </w:rPr>
            </w:pPr>
            <w:r w:rsidRPr="0088286D">
              <w:rPr>
                <w:rFonts w:asciiTheme="minorHAnsi" w:hAnsiTheme="minorHAnsi"/>
                <w:color w:val="000000"/>
                <w:sz w:val="20"/>
                <w:szCs w:val="20"/>
              </w:rPr>
              <w:t xml:space="preserve">The Bill ensures that egg retailers in the ACT cannot be punished under ACT legislation for selling eggs that are labelled in accordance with Commonwealth regulation in the same area, by aligning the requirements under the two schemes. </w:t>
            </w:r>
          </w:p>
          <w:p w:rsidR="007C4779" w:rsidRPr="0088286D" w:rsidRDefault="007C4779" w:rsidP="00A54AF8">
            <w:pPr>
              <w:numPr>
                <w:ilvl w:val="0"/>
                <w:numId w:val="1"/>
              </w:numPr>
              <w:spacing w:after="0" w:line="240" w:lineRule="auto"/>
              <w:ind w:left="360"/>
              <w:rPr>
                <w:rFonts w:asciiTheme="minorHAnsi" w:hAnsiTheme="minorHAnsi"/>
                <w:color w:val="000000"/>
                <w:sz w:val="20"/>
                <w:szCs w:val="20"/>
              </w:rPr>
            </w:pPr>
            <w:r w:rsidRPr="0088286D">
              <w:rPr>
                <w:rFonts w:asciiTheme="minorHAnsi" w:hAnsiTheme="minorHAnsi"/>
                <w:color w:val="000000"/>
                <w:sz w:val="20"/>
                <w:szCs w:val="20"/>
              </w:rPr>
              <w:t>The Bill supports consumer rights by ensuring that they are provided with accurate and current information on egg labels and fuel price boards to enable informed decision making.</w:t>
            </w:r>
          </w:p>
        </w:tc>
      </w:tr>
    </w:tbl>
    <w:p w:rsidR="007C4779" w:rsidRPr="0088286D" w:rsidRDefault="007C4779" w:rsidP="007C4779">
      <w:pPr>
        <w:spacing w:before="120" w:after="0"/>
        <w:jc w:val="both"/>
        <w:rPr>
          <w:rFonts w:asciiTheme="minorHAnsi" w:hAnsiTheme="minorHAnsi"/>
          <w:b/>
          <w:bCs/>
          <w:color w:val="000000"/>
          <w:sz w:val="20"/>
          <w:szCs w:val="20"/>
        </w:rPr>
      </w:pPr>
      <w:r w:rsidRPr="0088286D">
        <w:rPr>
          <w:rFonts w:asciiTheme="minorHAnsi" w:hAnsiTheme="minorHAnsi"/>
          <w:b/>
          <w:bCs/>
          <w:color w:val="000000"/>
          <w:sz w:val="20"/>
          <w:szCs w:val="20"/>
        </w:rPr>
        <w:t>Economic</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500"/>
      </w:tblGrid>
      <w:tr w:rsidR="007C4779" w:rsidRPr="0088286D" w:rsidTr="00A54AF8">
        <w:trPr>
          <w:jc w:val="center"/>
        </w:trPr>
        <w:tc>
          <w:tcPr>
            <w:tcW w:w="1517" w:type="dxa"/>
            <w:shd w:val="clear" w:color="auto" w:fill="0070C0"/>
          </w:tcPr>
          <w:p w:rsidR="007C4779" w:rsidRPr="0088286D" w:rsidRDefault="007C4779" w:rsidP="00A54AF8">
            <w:pPr>
              <w:spacing w:after="120" w:line="240" w:lineRule="auto"/>
              <w:jc w:val="both"/>
              <w:rPr>
                <w:rFonts w:asciiTheme="minorHAnsi" w:hAnsiTheme="minorHAnsi"/>
                <w:color w:val="000000"/>
                <w:sz w:val="20"/>
                <w:szCs w:val="20"/>
              </w:rPr>
            </w:pPr>
            <w:r w:rsidRPr="0088286D">
              <w:rPr>
                <w:rFonts w:asciiTheme="minorHAnsi" w:hAnsiTheme="minorHAnsi"/>
                <w:b/>
                <w:bCs/>
                <w:color w:val="000000"/>
                <w:sz w:val="20"/>
                <w:szCs w:val="20"/>
              </w:rPr>
              <w:t>ACT Government Budget</w:t>
            </w:r>
          </w:p>
        </w:tc>
        <w:tc>
          <w:tcPr>
            <w:tcW w:w="7499" w:type="dxa"/>
          </w:tcPr>
          <w:p w:rsidR="007C4779" w:rsidRPr="0088286D" w:rsidRDefault="007C4779" w:rsidP="00A54AF8">
            <w:pPr>
              <w:numPr>
                <w:ilvl w:val="0"/>
                <w:numId w:val="1"/>
              </w:numPr>
              <w:spacing w:after="0" w:line="240" w:lineRule="auto"/>
              <w:ind w:left="360"/>
              <w:rPr>
                <w:rFonts w:asciiTheme="minorHAnsi" w:hAnsiTheme="minorHAnsi"/>
                <w:color w:val="000000"/>
                <w:sz w:val="20"/>
                <w:szCs w:val="20"/>
              </w:rPr>
            </w:pPr>
            <w:r w:rsidRPr="0088286D">
              <w:rPr>
                <w:rFonts w:asciiTheme="minorHAnsi" w:hAnsiTheme="minorHAnsi"/>
                <w:color w:val="000000"/>
                <w:sz w:val="20"/>
                <w:szCs w:val="20"/>
              </w:rPr>
              <w:t xml:space="preserve">Nil impact. Enforcement relating to these changes will be aligned with existing enforcement activities undertaken by Access Canberra and will not have a budgetary impact. </w:t>
            </w:r>
          </w:p>
        </w:tc>
      </w:tr>
      <w:tr w:rsidR="007C4779" w:rsidRPr="0088286D" w:rsidTr="00A54AF8">
        <w:tblPrEx>
          <w:tblBorders>
            <w:bottom w:val="single" w:sz="4" w:space="0" w:color="auto"/>
          </w:tblBorders>
        </w:tblPrEx>
        <w:trPr>
          <w:trHeight w:val="818"/>
          <w:jc w:val="center"/>
        </w:trPr>
        <w:tc>
          <w:tcPr>
            <w:tcW w:w="1515" w:type="dxa"/>
            <w:shd w:val="clear" w:color="auto" w:fill="92D050"/>
          </w:tcPr>
          <w:p w:rsidR="007C4779" w:rsidRPr="0088286D" w:rsidRDefault="007C4779" w:rsidP="00A54AF8">
            <w:pPr>
              <w:rPr>
                <w:rFonts w:asciiTheme="minorHAnsi" w:hAnsiTheme="minorHAnsi"/>
                <w:b/>
                <w:bCs/>
                <w:color w:val="000000"/>
                <w:sz w:val="20"/>
                <w:szCs w:val="20"/>
              </w:rPr>
            </w:pPr>
            <w:r w:rsidRPr="0088286D">
              <w:rPr>
                <w:rFonts w:asciiTheme="minorHAnsi" w:hAnsiTheme="minorHAnsi"/>
                <w:b/>
                <w:bCs/>
                <w:color w:val="000000"/>
                <w:sz w:val="20"/>
                <w:szCs w:val="20"/>
              </w:rPr>
              <w:t>Productivity</w:t>
            </w:r>
          </w:p>
        </w:tc>
        <w:tc>
          <w:tcPr>
            <w:tcW w:w="7501" w:type="dxa"/>
          </w:tcPr>
          <w:p w:rsidR="007C4779" w:rsidRPr="0088286D" w:rsidRDefault="007C4779" w:rsidP="00A54AF8">
            <w:pPr>
              <w:numPr>
                <w:ilvl w:val="0"/>
                <w:numId w:val="1"/>
              </w:numPr>
              <w:spacing w:after="0" w:line="240" w:lineRule="auto"/>
              <w:ind w:left="360"/>
              <w:rPr>
                <w:rFonts w:asciiTheme="minorHAnsi" w:hAnsiTheme="minorHAnsi"/>
                <w:color w:val="000000"/>
                <w:sz w:val="20"/>
                <w:szCs w:val="20"/>
              </w:rPr>
            </w:pPr>
            <w:r w:rsidRPr="0088286D">
              <w:rPr>
                <w:rFonts w:asciiTheme="minorHAnsi" w:hAnsiTheme="minorHAnsi"/>
                <w:color w:val="000000"/>
                <w:sz w:val="20"/>
                <w:szCs w:val="20"/>
              </w:rPr>
              <w:t xml:space="preserve">The changes to the ACT’s egg labelling legislation indicating support for free range eggs with a lower stocking density may encourage small scale free range egg production in the ACT and surrounding region.  </w:t>
            </w:r>
          </w:p>
        </w:tc>
      </w:tr>
      <w:tr w:rsidR="007C4779" w:rsidRPr="0088286D" w:rsidTr="00A54AF8">
        <w:tblPrEx>
          <w:tblBorders>
            <w:top w:val="none" w:sz="0" w:space="0" w:color="auto"/>
            <w:bottom w:val="single" w:sz="4" w:space="0" w:color="auto"/>
            <w:insideH w:val="none" w:sz="0" w:space="0" w:color="auto"/>
          </w:tblBorders>
        </w:tblPrEx>
        <w:trPr>
          <w:jc w:val="center"/>
        </w:trPr>
        <w:tc>
          <w:tcPr>
            <w:tcW w:w="1513" w:type="dxa"/>
            <w:shd w:val="clear" w:color="auto" w:fill="92D050"/>
          </w:tcPr>
          <w:p w:rsidR="007C4779" w:rsidRPr="0088286D" w:rsidRDefault="007C4779" w:rsidP="00A54AF8">
            <w:pPr>
              <w:jc w:val="both"/>
              <w:rPr>
                <w:rFonts w:asciiTheme="minorHAnsi" w:hAnsiTheme="minorHAnsi"/>
                <w:b/>
                <w:bCs/>
                <w:color w:val="000000"/>
                <w:sz w:val="20"/>
                <w:szCs w:val="20"/>
              </w:rPr>
            </w:pPr>
            <w:r w:rsidRPr="0088286D">
              <w:rPr>
                <w:rFonts w:asciiTheme="minorHAnsi" w:hAnsiTheme="minorHAnsi"/>
                <w:b/>
                <w:bCs/>
                <w:color w:val="000000"/>
                <w:sz w:val="20"/>
                <w:szCs w:val="20"/>
              </w:rPr>
              <w:t>Investment</w:t>
            </w:r>
          </w:p>
        </w:tc>
        <w:tc>
          <w:tcPr>
            <w:tcW w:w="7503" w:type="dxa"/>
          </w:tcPr>
          <w:p w:rsidR="007C4779" w:rsidRPr="0088286D" w:rsidRDefault="007C4779" w:rsidP="00A54AF8">
            <w:pPr>
              <w:numPr>
                <w:ilvl w:val="0"/>
                <w:numId w:val="1"/>
              </w:numPr>
              <w:spacing w:after="0" w:line="240" w:lineRule="auto"/>
              <w:ind w:left="360"/>
              <w:rPr>
                <w:rFonts w:asciiTheme="minorHAnsi" w:hAnsiTheme="minorHAnsi"/>
                <w:color w:val="000000"/>
                <w:sz w:val="20"/>
                <w:szCs w:val="20"/>
              </w:rPr>
            </w:pPr>
            <w:r w:rsidRPr="0088286D">
              <w:rPr>
                <w:rFonts w:asciiTheme="minorHAnsi" w:hAnsiTheme="minorHAnsi"/>
                <w:color w:val="000000"/>
                <w:sz w:val="20"/>
                <w:szCs w:val="20"/>
              </w:rPr>
              <w:t xml:space="preserve">The changes to the ACT’s egg labelling legislation indicating support for free range eggs with a lower stocking density may encourage investment in small scale free range egg production in the ACT and surrounding region.  </w:t>
            </w:r>
          </w:p>
        </w:tc>
      </w:tr>
      <w:tr w:rsidR="007C4779" w:rsidRPr="0088286D" w:rsidTr="00A54AF8">
        <w:tblPrEx>
          <w:tblBorders>
            <w:top w:val="none" w:sz="0" w:space="0" w:color="auto"/>
            <w:bottom w:val="single" w:sz="4" w:space="0" w:color="auto"/>
          </w:tblBorders>
        </w:tblPrEx>
        <w:trPr>
          <w:jc w:val="center"/>
        </w:trPr>
        <w:tc>
          <w:tcPr>
            <w:tcW w:w="1526" w:type="dxa"/>
            <w:shd w:val="clear" w:color="auto" w:fill="0070C0"/>
          </w:tcPr>
          <w:p w:rsidR="007C4779" w:rsidRPr="0088286D" w:rsidRDefault="007C4779" w:rsidP="00A54AF8">
            <w:pPr>
              <w:jc w:val="both"/>
              <w:rPr>
                <w:rFonts w:asciiTheme="minorHAnsi" w:hAnsiTheme="minorHAnsi"/>
                <w:color w:val="000000"/>
                <w:sz w:val="20"/>
                <w:szCs w:val="20"/>
              </w:rPr>
            </w:pPr>
            <w:r w:rsidRPr="0088286D">
              <w:rPr>
                <w:rFonts w:asciiTheme="minorHAnsi" w:hAnsiTheme="minorHAnsi"/>
                <w:b/>
                <w:bCs/>
                <w:color w:val="000000"/>
                <w:sz w:val="20"/>
                <w:szCs w:val="20"/>
              </w:rPr>
              <w:t>Competition</w:t>
            </w:r>
          </w:p>
        </w:tc>
        <w:tc>
          <w:tcPr>
            <w:tcW w:w="7716" w:type="dxa"/>
          </w:tcPr>
          <w:p w:rsidR="007C4779" w:rsidRPr="0088286D" w:rsidRDefault="007C4779" w:rsidP="00A54AF8">
            <w:pPr>
              <w:numPr>
                <w:ilvl w:val="0"/>
                <w:numId w:val="1"/>
              </w:numPr>
              <w:spacing w:after="0" w:line="240" w:lineRule="auto"/>
              <w:ind w:left="360"/>
              <w:rPr>
                <w:rFonts w:asciiTheme="minorHAnsi" w:hAnsiTheme="minorHAnsi"/>
                <w:color w:val="000000"/>
                <w:sz w:val="20"/>
                <w:szCs w:val="20"/>
              </w:rPr>
            </w:pPr>
            <w:r w:rsidRPr="0088286D">
              <w:rPr>
                <w:rFonts w:asciiTheme="minorHAnsi" w:hAnsiTheme="minorHAnsi"/>
                <w:color w:val="000000"/>
                <w:sz w:val="20"/>
                <w:szCs w:val="20"/>
              </w:rPr>
              <w:t xml:space="preserve">Alignment with Commonwealth legislation means that some egg producers with a higher stocking density who were previously unable to lawfully describe their eggs as free range in the ACT can now do so. This is balanced by changes to signage requirements indicating support for free range eggs produced by hens with a lower stocking density. The overall impact on competition in the ACT is likely to be neutral.  The changes to fuel price legislation will level the field by ensuring that service stations cannot gain a competitive advantage by providing misleading price information. </w:t>
            </w:r>
          </w:p>
        </w:tc>
      </w:tr>
    </w:tbl>
    <w:p w:rsidR="007C4779" w:rsidRPr="0088286D" w:rsidRDefault="007C4779" w:rsidP="007C4779">
      <w:pPr>
        <w:spacing w:before="120" w:after="0"/>
        <w:jc w:val="both"/>
        <w:rPr>
          <w:rFonts w:asciiTheme="minorHAnsi" w:hAnsiTheme="minorHAnsi"/>
          <w:b/>
          <w:bCs/>
          <w:color w:val="000000"/>
          <w:sz w:val="20"/>
          <w:szCs w:val="20"/>
        </w:rPr>
      </w:pPr>
      <w:r w:rsidRPr="0088286D">
        <w:rPr>
          <w:rFonts w:asciiTheme="minorHAnsi" w:hAnsiTheme="minorHAnsi"/>
          <w:b/>
          <w:bCs/>
          <w:color w:val="000000"/>
          <w:sz w:val="20"/>
          <w:szCs w:val="20"/>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2"/>
        <w:gridCol w:w="7514"/>
      </w:tblGrid>
      <w:tr w:rsidR="007C4779" w:rsidRPr="0088286D" w:rsidTr="00A54AF8">
        <w:trPr>
          <w:jc w:val="center"/>
        </w:trPr>
        <w:tc>
          <w:tcPr>
            <w:tcW w:w="1526" w:type="dxa"/>
            <w:shd w:val="clear" w:color="auto" w:fill="0070C0"/>
          </w:tcPr>
          <w:p w:rsidR="007C4779" w:rsidRPr="0088286D" w:rsidRDefault="007C4779" w:rsidP="00A54AF8">
            <w:pPr>
              <w:jc w:val="both"/>
              <w:rPr>
                <w:rFonts w:asciiTheme="minorHAnsi" w:hAnsiTheme="minorHAnsi"/>
                <w:color w:val="000000"/>
                <w:sz w:val="20"/>
                <w:szCs w:val="20"/>
              </w:rPr>
            </w:pPr>
            <w:r w:rsidRPr="0088286D">
              <w:rPr>
                <w:rFonts w:asciiTheme="minorHAnsi" w:hAnsiTheme="minorHAnsi"/>
                <w:b/>
                <w:bCs/>
                <w:color w:val="000000"/>
                <w:sz w:val="20"/>
                <w:szCs w:val="20"/>
              </w:rPr>
              <w:t>Energy</w:t>
            </w:r>
          </w:p>
        </w:tc>
        <w:tc>
          <w:tcPr>
            <w:tcW w:w="7716" w:type="dxa"/>
          </w:tcPr>
          <w:p w:rsidR="007C4779" w:rsidRPr="0088286D" w:rsidRDefault="007C4779" w:rsidP="00A54AF8">
            <w:pPr>
              <w:numPr>
                <w:ilvl w:val="0"/>
                <w:numId w:val="1"/>
              </w:numPr>
              <w:spacing w:after="0" w:line="240" w:lineRule="auto"/>
              <w:ind w:left="360"/>
              <w:rPr>
                <w:rFonts w:asciiTheme="minorHAnsi" w:hAnsiTheme="minorHAnsi"/>
                <w:color w:val="000000"/>
                <w:sz w:val="20"/>
                <w:szCs w:val="20"/>
              </w:rPr>
            </w:pPr>
            <w:r w:rsidRPr="0088286D">
              <w:rPr>
                <w:rFonts w:asciiTheme="minorHAnsi" w:hAnsiTheme="minorHAnsi"/>
                <w:color w:val="000000"/>
                <w:sz w:val="20"/>
                <w:szCs w:val="20"/>
              </w:rPr>
              <w:t xml:space="preserve">Nil. The proposed changes are unlikely to have a measurable impact on climate change.  </w:t>
            </w:r>
          </w:p>
        </w:tc>
      </w:tr>
    </w:tbl>
    <w:p w:rsidR="00EC4C52" w:rsidRDefault="00EC4C52">
      <w:bookmarkStart w:id="0" w:name="_GoBack"/>
      <w:bookmarkEnd w:id="0"/>
    </w:p>
    <w:sectPr w:rsidR="00EC4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769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2B"/>
    <w:rsid w:val="0062022B"/>
    <w:rsid w:val="007C4779"/>
    <w:rsid w:val="00EC4C52"/>
    <w:rsid w:val="00FC4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FB3F1-0E76-4FB4-8A09-6761B175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7B"/>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03151-E79D-478F-962C-965694D105F1}"/>
</file>

<file path=customXml/itemProps2.xml><?xml version="1.0" encoding="utf-8"?>
<ds:datastoreItem xmlns:ds="http://schemas.openxmlformats.org/officeDocument/2006/customXml" ds:itemID="{0151A3A0-FF49-4470-85DD-D504E718032E}"/>
</file>

<file path=customXml/itemProps3.xml><?xml version="1.0" encoding="utf-8"?>
<ds:datastoreItem xmlns:ds="http://schemas.openxmlformats.org/officeDocument/2006/customXml" ds:itemID="{8BDCB6F8-C3C7-4C42-9BE2-1B56C7BDEB89}"/>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Company>ACT Government</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2018-12-13T22:56:00Z</dcterms:created>
  <dcterms:modified xsi:type="dcterms:W3CDTF">2018-12-19T01:24:00Z</dcterms:modified>
</cp:coreProperties>
</file>