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8EE" w:rsidRDefault="00D06693" w:rsidP="00426B65">
      <w:pPr>
        <w:pStyle w:val="Title"/>
        <w:spacing w:after="120" w:line="240" w:lineRule="auto"/>
        <w:rPr>
          <w:szCs w:val="40"/>
        </w:rPr>
      </w:pPr>
      <w:bookmarkStart w:id="0" w:name="_Toc415042774"/>
      <w:r w:rsidRPr="00721A97">
        <w:rPr>
          <w:szCs w:val="40"/>
        </w:rPr>
        <w:t>ACT PUBLIC SECTOR</w:t>
      </w:r>
    </w:p>
    <w:p w:rsidR="00721A97" w:rsidRPr="00721A97" w:rsidRDefault="004768EE" w:rsidP="00426B65">
      <w:pPr>
        <w:pStyle w:val="Title"/>
        <w:spacing w:after="120" w:line="240" w:lineRule="auto"/>
        <w:rPr>
          <w:szCs w:val="40"/>
        </w:rPr>
      </w:pPr>
      <w:r>
        <w:rPr>
          <w:szCs w:val="40"/>
        </w:rPr>
        <w:t xml:space="preserve"> RESPONDING TO WORKPLACE ACCIDENTS/ INCIDENTS</w:t>
      </w:r>
      <w:r w:rsidR="0001685F" w:rsidRPr="00721A97">
        <w:rPr>
          <w:szCs w:val="40"/>
        </w:rPr>
        <w:t xml:space="preserve"> POLICY</w:t>
      </w:r>
      <w:bookmarkEnd w:id="0"/>
    </w:p>
    <w:p w:rsidR="00721A97" w:rsidRPr="00721A97" w:rsidRDefault="00721A97" w:rsidP="00721A97"/>
    <w:p w:rsidR="00546B4E" w:rsidRPr="00546B4E" w:rsidRDefault="00971957" w:rsidP="00546B4E">
      <w:pPr>
        <w:pStyle w:val="Heading1"/>
      </w:pPr>
      <w:bookmarkStart w:id="1" w:name="_Toc415042775"/>
      <w:r w:rsidRPr="00721A97">
        <w:t>P</w:t>
      </w:r>
      <w:r w:rsidR="00522B89" w:rsidRPr="00721A97">
        <w:t>urpose</w:t>
      </w:r>
      <w:bookmarkEnd w:id="1"/>
    </w:p>
    <w:p w:rsidR="00295B49" w:rsidRPr="00546B4E" w:rsidRDefault="00546B4E" w:rsidP="00DF2237">
      <w:pPr>
        <w:widowControl w:val="0"/>
        <w:autoSpaceDE w:val="0"/>
        <w:autoSpaceDN w:val="0"/>
        <w:adjustRightInd w:val="0"/>
        <w:spacing w:after="240"/>
        <w:rPr>
          <w:rFonts w:eastAsia="Calibri" w:cs="Calibri"/>
          <w:lang w:eastAsia="en-AU"/>
        </w:rPr>
      </w:pPr>
      <w:r w:rsidRPr="00546B4E">
        <w:rPr>
          <w:rFonts w:eastAsia="Calibri" w:cs="Calibri"/>
          <w:lang w:eastAsia="en-AU"/>
        </w:rPr>
        <w:t xml:space="preserve">This policy articulates how </w:t>
      </w:r>
      <w:r w:rsidRPr="002042BD">
        <w:rPr>
          <w:rFonts w:eastAsia="Calibri" w:cs="Calibri"/>
          <w:lang w:eastAsia="en-AU"/>
        </w:rPr>
        <w:t>ACT Government workers, directorates and entities will respond to all workplace acciden</w:t>
      </w:r>
      <w:r>
        <w:rPr>
          <w:rFonts w:eastAsia="Calibri" w:cs="Calibri"/>
          <w:lang w:eastAsia="en-AU"/>
        </w:rPr>
        <w:t>ts and incidents. It describes</w:t>
      </w:r>
      <w:r w:rsidRPr="002042BD">
        <w:rPr>
          <w:rFonts w:eastAsia="Calibri" w:cs="Calibri"/>
          <w:lang w:eastAsia="en-AU"/>
        </w:rPr>
        <w:t xml:space="preserve"> how to fulfil reporting and related responsibilities in order to maintain safe and healthy workplaces.</w:t>
      </w:r>
    </w:p>
    <w:p w:rsidR="00F3000D" w:rsidRPr="004B162E" w:rsidRDefault="00BC6BC3" w:rsidP="00721A97">
      <w:pPr>
        <w:pStyle w:val="Heading1"/>
      </w:pPr>
      <w:bookmarkStart w:id="2" w:name="_Toc415042776"/>
      <w:r w:rsidRPr="00721A97">
        <w:t>A</w:t>
      </w:r>
      <w:r w:rsidR="00522B89" w:rsidRPr="00721A97">
        <w:t>pplication</w:t>
      </w:r>
      <w:bookmarkEnd w:id="2"/>
    </w:p>
    <w:p w:rsidR="00BC6BC3" w:rsidRPr="00546B4E" w:rsidRDefault="00546B4E" w:rsidP="00546B4E">
      <w:pPr>
        <w:widowControl w:val="0"/>
        <w:autoSpaceDE w:val="0"/>
        <w:autoSpaceDN w:val="0"/>
        <w:adjustRightInd w:val="0"/>
        <w:spacing w:after="240"/>
        <w:rPr>
          <w:rFonts w:ascii="Times" w:eastAsia="Calibri" w:hAnsi="Times" w:cs="Times"/>
          <w:lang w:eastAsia="en-AU"/>
        </w:rPr>
      </w:pPr>
      <w:r w:rsidRPr="00E52A7B">
        <w:rPr>
          <w:rFonts w:eastAsia="Calibri" w:cs="Calibri"/>
          <w:lang w:eastAsia="en-AU"/>
        </w:rPr>
        <w:t>This policy applies to all A</w:t>
      </w:r>
      <w:r w:rsidR="00AF213A">
        <w:rPr>
          <w:rFonts w:eastAsia="Calibri" w:cs="Calibri"/>
          <w:lang w:eastAsia="en-AU"/>
        </w:rPr>
        <w:t>CT Public Sector (ACTPS) employees</w:t>
      </w:r>
      <w:r w:rsidRPr="00E52A7B">
        <w:rPr>
          <w:rFonts w:eastAsia="Calibri" w:cs="Calibri"/>
          <w:lang w:eastAsia="en-AU"/>
        </w:rPr>
        <w:t xml:space="preserve"> and any person who is c</w:t>
      </w:r>
      <w:r w:rsidR="00AF213A">
        <w:rPr>
          <w:rFonts w:eastAsia="Calibri" w:cs="Calibri"/>
          <w:lang w:eastAsia="en-AU"/>
        </w:rPr>
        <w:t>onsidered to be an</w:t>
      </w:r>
      <w:r w:rsidRPr="00E52A7B">
        <w:rPr>
          <w:rFonts w:eastAsia="Calibri" w:cs="Calibri"/>
          <w:lang w:eastAsia="en-AU"/>
        </w:rPr>
        <w:t xml:space="preserve"> ACT Government</w:t>
      </w:r>
      <w:r w:rsidR="00047D74">
        <w:rPr>
          <w:rFonts w:eastAsia="Calibri" w:cs="Calibri"/>
          <w:lang w:eastAsia="en-AU"/>
        </w:rPr>
        <w:t xml:space="preserve"> w</w:t>
      </w:r>
      <w:r w:rsidR="00AF213A">
        <w:rPr>
          <w:rFonts w:eastAsia="Calibri" w:cs="Calibri"/>
          <w:lang w:eastAsia="en-AU"/>
        </w:rPr>
        <w:t>orker</w:t>
      </w:r>
      <w:r w:rsidRPr="00E52A7B">
        <w:rPr>
          <w:rFonts w:eastAsia="Calibri" w:cs="Calibri"/>
          <w:lang w:eastAsia="en-AU"/>
        </w:rPr>
        <w:t xml:space="preserve"> under the </w:t>
      </w:r>
      <w:r w:rsidRPr="00E52A7B">
        <w:rPr>
          <w:rFonts w:eastAsia="Calibri" w:cs="Calibri"/>
          <w:i/>
          <w:iCs/>
          <w:lang w:eastAsia="en-AU"/>
        </w:rPr>
        <w:t>Work Health Safety Act 2011</w:t>
      </w:r>
      <w:r>
        <w:rPr>
          <w:rFonts w:eastAsia="Calibri" w:cs="Calibri"/>
          <w:i/>
          <w:iCs/>
          <w:lang w:eastAsia="en-AU"/>
        </w:rPr>
        <w:t xml:space="preserve"> </w:t>
      </w:r>
      <w:r w:rsidRPr="008D0FB0">
        <w:rPr>
          <w:rFonts w:eastAsia="Calibri" w:cs="Calibri"/>
          <w:iCs/>
          <w:lang w:eastAsia="en-AU"/>
        </w:rPr>
        <w:t>(ACT)</w:t>
      </w:r>
      <w:r w:rsidRPr="00E52A7B">
        <w:rPr>
          <w:rFonts w:eastAsia="Calibri" w:cs="Calibri"/>
          <w:i/>
          <w:iCs/>
          <w:lang w:eastAsia="en-AU"/>
        </w:rPr>
        <w:t xml:space="preserve"> </w:t>
      </w:r>
      <w:r w:rsidRPr="00E52A7B">
        <w:rPr>
          <w:rFonts w:eastAsia="Calibri" w:cs="Calibri"/>
          <w:lang w:eastAsia="en-AU"/>
        </w:rPr>
        <w:t>(the</w:t>
      </w:r>
      <w:r>
        <w:rPr>
          <w:rFonts w:eastAsia="Calibri" w:cs="Calibri"/>
          <w:lang w:eastAsia="en-AU"/>
        </w:rPr>
        <w:t xml:space="preserve"> WHS</w:t>
      </w:r>
      <w:r w:rsidRPr="00E52A7B">
        <w:rPr>
          <w:rFonts w:eastAsia="Calibri" w:cs="Calibri"/>
          <w:lang w:eastAsia="en-AU"/>
        </w:rPr>
        <w:t xml:space="preserve"> Act).</w:t>
      </w:r>
    </w:p>
    <w:p w:rsidR="00522B89" w:rsidRPr="004B162E" w:rsidRDefault="00522B89" w:rsidP="00934CE5">
      <w:pPr>
        <w:pStyle w:val="Heading1"/>
      </w:pPr>
      <w:bookmarkStart w:id="3" w:name="_Toc415042777"/>
      <w:r>
        <w:t>Background</w:t>
      </w:r>
      <w:bookmarkEnd w:id="3"/>
    </w:p>
    <w:p w:rsidR="00546B4E" w:rsidRPr="00E52A7B" w:rsidRDefault="00546B4E" w:rsidP="00546B4E">
      <w:pPr>
        <w:widowControl w:val="0"/>
        <w:autoSpaceDE w:val="0"/>
        <w:autoSpaceDN w:val="0"/>
        <w:adjustRightInd w:val="0"/>
        <w:spacing w:after="240"/>
        <w:rPr>
          <w:rFonts w:eastAsia="Calibri" w:cs="Calibri"/>
          <w:lang w:eastAsia="en-AU"/>
        </w:rPr>
      </w:pPr>
      <w:r w:rsidRPr="00E52A7B">
        <w:rPr>
          <w:rFonts w:eastAsia="Calibri" w:cs="Calibri"/>
          <w:lang w:eastAsia="en-AU"/>
        </w:rPr>
        <w:t xml:space="preserve">The ACT Government is committed to maintaining safe and healthy workplaces. </w:t>
      </w:r>
      <w:r w:rsidR="00E429CE">
        <w:rPr>
          <w:rFonts w:eastAsia="Calibri" w:cs="Calibri"/>
          <w:lang w:eastAsia="en-AU"/>
        </w:rPr>
        <w:t>As well as immediate response to wo</w:t>
      </w:r>
      <w:r w:rsidR="00061A24">
        <w:rPr>
          <w:rFonts w:eastAsia="Calibri" w:cs="Calibri"/>
          <w:lang w:eastAsia="en-AU"/>
        </w:rPr>
        <w:t>rkplace accidents and incidents,</w:t>
      </w:r>
      <w:r w:rsidR="00E429CE">
        <w:rPr>
          <w:rFonts w:eastAsia="Calibri" w:cs="Calibri"/>
          <w:lang w:eastAsia="en-AU"/>
        </w:rPr>
        <w:t xml:space="preserve"> c</w:t>
      </w:r>
      <w:r w:rsidRPr="00E52A7B">
        <w:rPr>
          <w:rFonts w:eastAsia="Calibri" w:cs="Calibri"/>
          <w:lang w:eastAsia="en-AU"/>
        </w:rPr>
        <w:t xml:space="preserve">orrective and preventative actions </w:t>
      </w:r>
      <w:r>
        <w:rPr>
          <w:rFonts w:eastAsia="Calibri" w:cs="Calibri"/>
          <w:lang w:eastAsia="en-AU"/>
        </w:rPr>
        <w:t xml:space="preserve">must be </w:t>
      </w:r>
      <w:r w:rsidRPr="00E52A7B">
        <w:rPr>
          <w:rFonts w:eastAsia="Calibri" w:cs="Calibri"/>
          <w:lang w:eastAsia="en-AU"/>
        </w:rPr>
        <w:t>taken</w:t>
      </w:r>
      <w:r>
        <w:rPr>
          <w:rFonts w:eastAsia="Calibri" w:cs="Calibri"/>
          <w:lang w:eastAsia="en-AU"/>
        </w:rPr>
        <w:t>,</w:t>
      </w:r>
      <w:r w:rsidRPr="00E52A7B">
        <w:rPr>
          <w:rFonts w:eastAsia="Calibri" w:cs="Calibri"/>
          <w:lang w:eastAsia="en-AU"/>
        </w:rPr>
        <w:t xml:space="preserve"> where necessary</w:t>
      </w:r>
      <w:r>
        <w:rPr>
          <w:rFonts w:eastAsia="Calibri" w:cs="Calibri"/>
          <w:lang w:eastAsia="en-AU"/>
        </w:rPr>
        <w:t>, to prevent the recurrence of an accident/incident</w:t>
      </w:r>
      <w:r w:rsidRPr="00E52A7B">
        <w:rPr>
          <w:rFonts w:eastAsia="Calibri" w:cs="Calibri"/>
          <w:lang w:eastAsia="en-AU"/>
        </w:rPr>
        <w:t>.</w:t>
      </w:r>
      <w:r>
        <w:rPr>
          <w:rFonts w:cs="Arial"/>
          <w:b/>
          <w:sz w:val="28"/>
        </w:rPr>
        <w:t xml:space="preserve"> </w:t>
      </w:r>
      <w:r w:rsidRPr="00E52A7B">
        <w:rPr>
          <w:rFonts w:cs="Arial"/>
        </w:rPr>
        <w:t>Reporting workplace accidents</w:t>
      </w:r>
      <w:r>
        <w:rPr>
          <w:rFonts w:cs="Arial"/>
        </w:rPr>
        <w:t>/</w:t>
      </w:r>
      <w:r w:rsidRPr="00E52A7B">
        <w:rPr>
          <w:rFonts w:cs="Arial"/>
        </w:rPr>
        <w:t>incidents at a local level is of critical importance to how the ACT</w:t>
      </w:r>
      <w:r>
        <w:rPr>
          <w:rFonts w:cs="Arial"/>
        </w:rPr>
        <w:t>PS</w:t>
      </w:r>
      <w:r w:rsidRPr="00E52A7B">
        <w:rPr>
          <w:rFonts w:cs="Arial"/>
        </w:rPr>
        <w:t xml:space="preserve"> manages risks to health</w:t>
      </w:r>
      <w:r>
        <w:rPr>
          <w:rFonts w:cs="Arial"/>
        </w:rPr>
        <w:t xml:space="preserve"> and safety at a wider organisational level.  </w:t>
      </w:r>
    </w:p>
    <w:p w:rsidR="00F3000D" w:rsidRPr="004B162E" w:rsidRDefault="00522B89" w:rsidP="0001685F">
      <w:pPr>
        <w:pStyle w:val="Heading1"/>
      </w:pPr>
      <w:bookmarkStart w:id="4" w:name="_Toc415042778"/>
      <w:r>
        <w:t>Principles</w:t>
      </w:r>
      <w:bookmarkEnd w:id="4"/>
    </w:p>
    <w:p w:rsidR="0074454F" w:rsidRDefault="0074454F" w:rsidP="00625F88">
      <w:pPr>
        <w:numPr>
          <w:ilvl w:val="0"/>
          <w:numId w:val="2"/>
        </w:numPr>
        <w:ind w:left="357" w:hanging="357"/>
      </w:pPr>
      <w:bookmarkStart w:id="5" w:name="_Ref450307660"/>
      <w:r w:rsidRPr="0074454F">
        <w:t>In the event of a work</w:t>
      </w:r>
      <w:r>
        <w:t xml:space="preserve">place accident/incident action </w:t>
      </w:r>
      <w:r w:rsidRPr="0074454F">
        <w:t>must be taken with the express aim of immediately</w:t>
      </w:r>
      <w:r w:rsidR="00934CE5">
        <w:t xml:space="preserve"> assisting any injured persons</w:t>
      </w:r>
      <w:r w:rsidR="00061A24">
        <w:t xml:space="preserve"> </w:t>
      </w:r>
      <w:r w:rsidR="00061A24" w:rsidRPr="00E272F7">
        <w:t xml:space="preserve">(without endangering </w:t>
      </w:r>
      <w:r w:rsidR="00061A24">
        <w:t>self or</w:t>
      </w:r>
      <w:r w:rsidR="00061A24" w:rsidRPr="00E272F7">
        <w:t xml:space="preserve"> others)</w:t>
      </w:r>
      <w:r w:rsidR="00061A24">
        <w:t>,</w:t>
      </w:r>
      <w:r w:rsidR="00934CE5">
        <w:t xml:space="preserve"> whilst</w:t>
      </w:r>
      <w:r w:rsidRPr="0074454F">
        <w:t xml:space="preserve"> ensuring the safety of other people in the workplace.</w:t>
      </w:r>
      <w:bookmarkEnd w:id="5"/>
    </w:p>
    <w:p w:rsidR="0074454F" w:rsidRPr="0074454F" w:rsidRDefault="0074454F" w:rsidP="00625F88">
      <w:pPr>
        <w:numPr>
          <w:ilvl w:val="0"/>
          <w:numId w:val="2"/>
        </w:numPr>
        <w:ind w:left="357" w:hanging="357"/>
      </w:pPr>
      <w:r w:rsidRPr="002042BD">
        <w:t>O</w:t>
      </w:r>
      <w:r w:rsidRPr="00F01610">
        <w:t>ther re</w:t>
      </w:r>
      <w:r>
        <w:t xml:space="preserve">sponse action must include </w:t>
      </w:r>
      <w:r w:rsidRPr="00F01610">
        <w:t>appropr</w:t>
      </w:r>
      <w:r>
        <w:t>iate reporting</w:t>
      </w:r>
      <w:r w:rsidRPr="00F01610">
        <w:t xml:space="preserve"> of the accident or incident as pr</w:t>
      </w:r>
      <w:r>
        <w:t>escribed by legislation,</w:t>
      </w:r>
      <w:r w:rsidR="00934CE5">
        <w:t xml:space="preserve"> ACTPS</w:t>
      </w:r>
      <w:r w:rsidRPr="00F01610">
        <w:t xml:space="preserve"> policy</w:t>
      </w:r>
      <w:r>
        <w:t xml:space="preserve"> and any specific direction given by the work area.</w:t>
      </w:r>
    </w:p>
    <w:p w:rsidR="0074454F" w:rsidRPr="0074454F" w:rsidRDefault="00934CE5" w:rsidP="00625F88">
      <w:pPr>
        <w:numPr>
          <w:ilvl w:val="0"/>
          <w:numId w:val="2"/>
        </w:numPr>
        <w:spacing w:after="240"/>
        <w:ind w:left="357" w:hanging="357"/>
      </w:pPr>
      <w:r>
        <w:t>R</w:t>
      </w:r>
      <w:r w:rsidR="0074454F" w:rsidRPr="009A734F">
        <w:t xml:space="preserve">isk management </w:t>
      </w:r>
      <w:r>
        <w:t xml:space="preserve">action must form part of the response to workplace accidents and incidents; consistent with </w:t>
      </w:r>
      <w:r w:rsidR="0074454F" w:rsidRPr="009A734F">
        <w:t>the ACTPS Work Health and Safety Risk Management Policy</w:t>
      </w:r>
      <w:r w:rsidR="0074454F">
        <w:t>.</w:t>
      </w:r>
    </w:p>
    <w:p w:rsidR="00971957" w:rsidRPr="004B162E" w:rsidRDefault="00CC38AE" w:rsidP="0001685F">
      <w:pPr>
        <w:pStyle w:val="Heading1"/>
      </w:pPr>
      <w:r>
        <w:t xml:space="preserve">Responding to </w:t>
      </w:r>
      <w:r w:rsidR="00AF213A">
        <w:t>Notifiable Incidents</w:t>
      </w:r>
    </w:p>
    <w:p w:rsidR="00AF213A" w:rsidRDefault="00D219C0" w:rsidP="00625F88">
      <w:pPr>
        <w:numPr>
          <w:ilvl w:val="0"/>
          <w:numId w:val="2"/>
        </w:numPr>
        <w:ind w:left="357" w:hanging="357"/>
      </w:pPr>
      <w:r>
        <w:t xml:space="preserve">As provided by </w:t>
      </w:r>
      <w:r w:rsidR="00426B65">
        <w:t>legislation</w:t>
      </w:r>
      <w:r>
        <w:t xml:space="preserve">, </w:t>
      </w:r>
      <w:r w:rsidR="00AF213A">
        <w:t>ACT Government d</w:t>
      </w:r>
      <w:r w:rsidR="00AF213A" w:rsidRPr="00E52A7B">
        <w:t>irectorates and entities are required to r</w:t>
      </w:r>
      <w:r w:rsidR="00AF213A">
        <w:t>eport n</w:t>
      </w:r>
      <w:r w:rsidR="00AF213A" w:rsidRPr="00E52A7B">
        <w:t>otifiable incidents</w:t>
      </w:r>
      <w:r>
        <w:t xml:space="preserve"> </w:t>
      </w:r>
      <w:r w:rsidR="00AF213A">
        <w:t>that occur within a workplace regardless of whether</w:t>
      </w:r>
      <w:r w:rsidR="0019501D">
        <w:t xml:space="preserve"> or not the person/</w:t>
      </w:r>
      <w:r w:rsidR="00AF213A">
        <w:t xml:space="preserve">people involved </w:t>
      </w:r>
      <w:r w:rsidR="0019501D">
        <w:t>is/</w:t>
      </w:r>
      <w:r w:rsidR="00AF213A">
        <w:t xml:space="preserve">are considered to </w:t>
      </w:r>
      <w:r w:rsidR="00B458A0">
        <w:t>be ACT Government workers</w:t>
      </w:r>
      <w:r w:rsidR="00AF213A">
        <w:t>:</w:t>
      </w:r>
    </w:p>
    <w:p w:rsidR="00AF213A" w:rsidRPr="00AF213A" w:rsidRDefault="00AF213A" w:rsidP="00625F88">
      <w:pPr>
        <w:numPr>
          <w:ilvl w:val="1"/>
          <w:numId w:val="2"/>
        </w:numPr>
      </w:pPr>
      <w:r w:rsidRPr="00AF213A">
        <w:t>to WorkSafe ACT immediately, by the fastest possible means;</w:t>
      </w:r>
      <w:r w:rsidR="00B458A0">
        <w:t xml:space="preserve"> and</w:t>
      </w:r>
    </w:p>
    <w:p w:rsidR="00AF213A" w:rsidRPr="00AF213A" w:rsidRDefault="00AF213A" w:rsidP="00625F88">
      <w:pPr>
        <w:numPr>
          <w:ilvl w:val="1"/>
          <w:numId w:val="2"/>
        </w:numPr>
      </w:pPr>
      <w:r w:rsidRPr="00AF213A">
        <w:t>in writing</w:t>
      </w:r>
      <w:r>
        <w:t xml:space="preserve"> to WorkSafe ACT</w:t>
      </w:r>
      <w:r w:rsidRPr="00AF213A">
        <w:t xml:space="preserve"> no later than 48 hours after the notifiable incident has occurred</w:t>
      </w:r>
      <w:r w:rsidR="00B458A0">
        <w:t>.</w:t>
      </w:r>
    </w:p>
    <w:p w:rsidR="00AF213A" w:rsidRPr="00E272F7" w:rsidRDefault="00AF213A" w:rsidP="00625F88">
      <w:pPr>
        <w:numPr>
          <w:ilvl w:val="0"/>
          <w:numId w:val="2"/>
        </w:numPr>
        <w:ind w:left="357" w:hanging="357"/>
      </w:pPr>
      <w:r w:rsidRPr="001C0DCE">
        <w:t xml:space="preserve">The person </w:t>
      </w:r>
      <w:r>
        <w:t xml:space="preserve">who is responsible for reporting a </w:t>
      </w:r>
      <w:r w:rsidRPr="001C0DCE">
        <w:t xml:space="preserve">notifiable incident to WorkSafe ACT immediately is the </w:t>
      </w:r>
      <w:r>
        <w:t>workplace supervisor/manager</w:t>
      </w:r>
      <w:r w:rsidRPr="00E272F7">
        <w:t xml:space="preserve">. </w:t>
      </w:r>
    </w:p>
    <w:p w:rsidR="00B458A0" w:rsidRDefault="00514521" w:rsidP="00625F88">
      <w:pPr>
        <w:numPr>
          <w:ilvl w:val="0"/>
          <w:numId w:val="2"/>
        </w:numPr>
        <w:ind w:left="357" w:hanging="357"/>
      </w:pPr>
      <w:r>
        <w:lastRenderedPageBreak/>
        <w:t xml:space="preserve">ACTPS </w:t>
      </w:r>
      <w:r w:rsidR="000F63B6">
        <w:t>d</w:t>
      </w:r>
      <w:r w:rsidR="00B458A0" w:rsidRPr="00F01610">
        <w:t xml:space="preserve">irectorates and </w:t>
      </w:r>
      <w:r w:rsidR="00B458A0">
        <w:t>e</w:t>
      </w:r>
      <w:r w:rsidR="00B458A0" w:rsidRPr="00F01610">
        <w:t xml:space="preserve">ntities </w:t>
      </w:r>
      <w:r w:rsidR="00B458A0">
        <w:t>must</w:t>
      </w:r>
      <w:r w:rsidR="00B458A0" w:rsidRPr="00F01610">
        <w:t xml:space="preserve"> undertake a </w:t>
      </w:r>
      <w:r w:rsidR="00B458A0">
        <w:t>formal internal workplace accident/incident investigation</w:t>
      </w:r>
      <w:r w:rsidR="0026736E">
        <w:t xml:space="preserve"> (the investigation)</w:t>
      </w:r>
      <w:r w:rsidR="00B458A0">
        <w:t xml:space="preserve"> when a n</w:t>
      </w:r>
      <w:r w:rsidR="00B458A0" w:rsidRPr="00F01610">
        <w:t>oti</w:t>
      </w:r>
      <w:r w:rsidR="00B458A0">
        <w:t>fiable incident has occurred within an ACT Government workplace.</w:t>
      </w:r>
    </w:p>
    <w:p w:rsidR="00514521" w:rsidRDefault="00514521" w:rsidP="00625F88">
      <w:pPr>
        <w:numPr>
          <w:ilvl w:val="0"/>
          <w:numId w:val="2"/>
        </w:numPr>
        <w:ind w:left="357" w:hanging="357"/>
      </w:pPr>
      <w:r>
        <w:t xml:space="preserve">ACTPS </w:t>
      </w:r>
      <w:r w:rsidR="000F63B6">
        <w:t>d</w:t>
      </w:r>
      <w:r>
        <w:t>irectorates and entities must</w:t>
      </w:r>
      <w:r w:rsidRPr="00F01610">
        <w:t xml:space="preserve"> deter</w:t>
      </w:r>
      <w:r>
        <w:t>mine the correct scale and scope of the investigation</w:t>
      </w:r>
      <w:r w:rsidRPr="00F01610">
        <w:t xml:space="preserve"> which is proportionate to the ris</w:t>
      </w:r>
      <w:r>
        <w:t>k associated with the accident/incident’s re</w:t>
      </w:r>
      <w:r w:rsidRPr="00E52A7B">
        <w:t>currence.</w:t>
      </w:r>
      <w:r>
        <w:t xml:space="preserve"> </w:t>
      </w:r>
    </w:p>
    <w:p w:rsidR="00B458A0" w:rsidRPr="00590519" w:rsidRDefault="00C7493B" w:rsidP="00625F88">
      <w:pPr>
        <w:numPr>
          <w:ilvl w:val="0"/>
          <w:numId w:val="2"/>
        </w:numPr>
        <w:spacing w:after="240"/>
        <w:ind w:left="357" w:hanging="357"/>
      </w:pPr>
      <w:r>
        <w:t>An investigation must be undertaken in line with the procedure outlined in Annexe A of this policy</w:t>
      </w:r>
      <w:r w:rsidR="00590519">
        <w:t>.</w:t>
      </w:r>
    </w:p>
    <w:p w:rsidR="00590519" w:rsidRDefault="00C84038" w:rsidP="00590519">
      <w:pPr>
        <w:pStyle w:val="Heading1"/>
      </w:pPr>
      <w:r>
        <w:t>Other r</w:t>
      </w:r>
      <w:r w:rsidR="000547BF">
        <w:t>eporting requirements</w:t>
      </w:r>
    </w:p>
    <w:p w:rsidR="000547BF" w:rsidRDefault="000547BF" w:rsidP="00625F88">
      <w:pPr>
        <w:numPr>
          <w:ilvl w:val="0"/>
          <w:numId w:val="2"/>
        </w:numPr>
        <w:ind w:left="357" w:hanging="357"/>
      </w:pPr>
      <w:r>
        <w:t>A</w:t>
      </w:r>
      <w:r w:rsidRPr="00DF5E87">
        <w:t xml:space="preserve">CT Government directorates and entities must report </w:t>
      </w:r>
      <w:r>
        <w:t xml:space="preserve">all </w:t>
      </w:r>
      <w:r w:rsidRPr="00DF5E87">
        <w:t>workplace accidents and incidents</w:t>
      </w:r>
      <w:r w:rsidR="003A6E79">
        <w:t xml:space="preserve"> </w:t>
      </w:r>
      <w:r w:rsidRPr="00DF5E87">
        <w:t>to</w:t>
      </w:r>
      <w:r w:rsidR="000F63B6">
        <w:t xml:space="preserve"> all</w:t>
      </w:r>
      <w:r w:rsidRPr="00DF5E87">
        <w:t xml:space="preserve"> </w:t>
      </w:r>
      <w:r w:rsidR="000F63B6">
        <w:t xml:space="preserve">relevant </w:t>
      </w:r>
      <w:r w:rsidRPr="00DF5E87">
        <w:t>parties and within the</w:t>
      </w:r>
      <w:r w:rsidR="00F83390">
        <w:t xml:space="preserve"> timeframes detailed in A</w:t>
      </w:r>
      <w:r w:rsidR="00C84038">
        <w:t>nnexe B</w:t>
      </w:r>
      <w:r w:rsidRPr="00760749">
        <w:t xml:space="preserve"> of this policy</w:t>
      </w:r>
      <w:r>
        <w:t>.</w:t>
      </w:r>
    </w:p>
    <w:p w:rsidR="000547BF" w:rsidRDefault="000547BF" w:rsidP="00625F88">
      <w:pPr>
        <w:numPr>
          <w:ilvl w:val="0"/>
          <w:numId w:val="2"/>
        </w:numPr>
        <w:ind w:left="357" w:hanging="357"/>
      </w:pPr>
      <w:r>
        <w:t>A</w:t>
      </w:r>
      <w:r w:rsidRPr="00DF5E87">
        <w:t>CT</w:t>
      </w:r>
      <w:r w:rsidR="00562071">
        <w:t xml:space="preserve"> </w:t>
      </w:r>
      <w:r w:rsidRPr="00DF5E87">
        <w:t>I</w:t>
      </w:r>
      <w:r w:rsidR="00562071">
        <w:t>nsurance Authority (ACTIA)</w:t>
      </w:r>
      <w:r w:rsidRPr="00DF5E87">
        <w:t xml:space="preserve"> </w:t>
      </w:r>
      <w:r>
        <w:t>must</w:t>
      </w:r>
      <w:r w:rsidRPr="00DF5E87">
        <w:t xml:space="preserve"> be notified by </w:t>
      </w:r>
      <w:r w:rsidR="000F63B6">
        <w:t xml:space="preserve">a </w:t>
      </w:r>
      <w:r>
        <w:t>workplace supervisor/manager</w:t>
      </w:r>
      <w:r w:rsidRPr="00DF5E87">
        <w:t xml:space="preserve"> if an accident or incident results in i</w:t>
      </w:r>
      <w:r w:rsidR="003A6E79">
        <w:t>njury or illness of a person who is not considered an ACT Government employee</w:t>
      </w:r>
      <w:r w:rsidRPr="00DF5E87">
        <w:t>.</w:t>
      </w:r>
    </w:p>
    <w:p w:rsidR="000547BF" w:rsidRDefault="000547BF" w:rsidP="00BC00E2">
      <w:pPr>
        <w:numPr>
          <w:ilvl w:val="0"/>
          <w:numId w:val="2"/>
        </w:numPr>
        <w:ind w:left="357" w:hanging="357"/>
      </w:pPr>
      <w:r>
        <w:t>Managers and executives within ACT Government directorates and entities will judge, on a case by case basis</w:t>
      </w:r>
      <w:r w:rsidR="00562071">
        <w:t xml:space="preserve"> (except in the event of a notifiable incident)</w:t>
      </w:r>
      <w:r>
        <w:t>,</w:t>
      </w:r>
      <w:r w:rsidR="00D219C0">
        <w:t xml:space="preserve"> whether</w:t>
      </w:r>
      <w:r w:rsidR="003A6E79">
        <w:t xml:space="preserve"> an </w:t>
      </w:r>
      <w:r>
        <w:t>accid</w:t>
      </w:r>
      <w:r w:rsidR="003A6E79">
        <w:t xml:space="preserve">ent or incident involving a person who is not considered to be an ACT Government </w:t>
      </w:r>
      <w:r w:rsidR="00047D74">
        <w:t>employee</w:t>
      </w:r>
      <w:r w:rsidR="00562071">
        <w:t xml:space="preserve"> warrants</w:t>
      </w:r>
      <w:r>
        <w:t xml:space="preserve"> </w:t>
      </w:r>
      <w:r w:rsidR="00D219C0">
        <w:t xml:space="preserve">further </w:t>
      </w:r>
      <w:r>
        <w:t>reporting and/or local remedial action to protect individuals from further harm.</w:t>
      </w:r>
    </w:p>
    <w:p w:rsidR="00BC00E2" w:rsidRDefault="00BC00E2" w:rsidP="00BC00E2">
      <w:pPr>
        <w:numPr>
          <w:ilvl w:val="0"/>
          <w:numId w:val="2"/>
        </w:numPr>
        <w:ind w:left="357" w:hanging="357"/>
      </w:pPr>
      <w:r>
        <w:t xml:space="preserve">The information collected by directorates and entities for the purposes of responding to workplace accident/incidents will not be used for any other purpose than that which has been disclosed in this policy. </w:t>
      </w:r>
    </w:p>
    <w:p w:rsidR="00BC00E2" w:rsidRPr="00BC00E2" w:rsidRDefault="00BC00E2" w:rsidP="00BC00E2">
      <w:pPr>
        <w:numPr>
          <w:ilvl w:val="0"/>
          <w:numId w:val="2"/>
        </w:numPr>
        <w:ind w:left="357" w:hanging="357"/>
      </w:pPr>
      <w:r>
        <w:t>Storage, handling and disposal of documentation associated with the response to workplace accidents/incidents must be undertaken by directorates and entities in line with the Territory Privacy Principles (see legislative reference at Section 4 of this policy)</w:t>
      </w:r>
      <w:r w:rsidRPr="00BC00E2">
        <w:t xml:space="preserve">. </w:t>
      </w:r>
    </w:p>
    <w:p w:rsidR="00BC00E2" w:rsidRDefault="00BC00E2" w:rsidP="00BC00E2">
      <w:pPr>
        <w:numPr>
          <w:ilvl w:val="0"/>
          <w:numId w:val="2"/>
        </w:numPr>
        <w:spacing w:after="240"/>
        <w:ind w:left="357" w:hanging="357"/>
      </w:pPr>
      <w:r w:rsidRPr="009A79CD">
        <w:t xml:space="preserve">Health and Safety Representatives (HSRs) </w:t>
      </w:r>
      <w:r>
        <w:t>must</w:t>
      </w:r>
      <w:r w:rsidRPr="009A79CD">
        <w:t xml:space="preserve"> not be provided with a copy of the personal information associated with an accident/incident report without the written permission of the person to whom the report relates.</w:t>
      </w:r>
    </w:p>
    <w:p w:rsidR="00971957" w:rsidRDefault="00BC6BC3" w:rsidP="0001685F">
      <w:pPr>
        <w:pStyle w:val="Heading1"/>
      </w:pPr>
      <w:bookmarkStart w:id="6" w:name="_Toc415042780"/>
      <w:r>
        <w:t>R</w:t>
      </w:r>
      <w:r w:rsidR="00522B89">
        <w:t xml:space="preserve">esponsibilities </w:t>
      </w:r>
      <w:bookmarkEnd w:id="6"/>
      <w:r>
        <w:t xml:space="preserve"> </w:t>
      </w:r>
    </w:p>
    <w:p w:rsidR="00DF2237" w:rsidRPr="00DF2237" w:rsidRDefault="00DF2237" w:rsidP="00DF2237">
      <w:pPr>
        <w:pStyle w:val="Default"/>
        <w:spacing w:after="120"/>
        <w:rPr>
          <w:b/>
        </w:rPr>
      </w:pPr>
      <w:r w:rsidRPr="00DF2237">
        <w:rPr>
          <w:b/>
        </w:rPr>
        <w:t xml:space="preserve">Workers have a responsibility to ensure that they: </w:t>
      </w:r>
    </w:p>
    <w:p w:rsidR="00DF2237" w:rsidRPr="009A79CD" w:rsidRDefault="00DF2237" w:rsidP="00625F88">
      <w:pPr>
        <w:pStyle w:val="Default"/>
        <w:numPr>
          <w:ilvl w:val="0"/>
          <w:numId w:val="4"/>
        </w:numPr>
        <w:ind w:left="357" w:hanging="357"/>
      </w:pPr>
      <w:r w:rsidRPr="009A79CD">
        <w:t xml:space="preserve">understand and comply with workplace safety policy, practice and procedure; </w:t>
      </w:r>
    </w:p>
    <w:p w:rsidR="00DF2237" w:rsidRPr="009A79CD" w:rsidRDefault="00DF2237" w:rsidP="00625F88">
      <w:pPr>
        <w:pStyle w:val="Default"/>
        <w:numPr>
          <w:ilvl w:val="0"/>
          <w:numId w:val="4"/>
        </w:numPr>
        <w:ind w:left="357" w:hanging="357"/>
      </w:pPr>
      <w:r w:rsidRPr="009A79CD">
        <w:t>report any incident or accident including identif</w:t>
      </w:r>
      <w:r w:rsidR="000F63B6">
        <w:t>ying and notifying</w:t>
      </w:r>
      <w:r w:rsidRPr="009A79CD">
        <w:t xml:space="preserve"> of potential significant risks of accident or injury as per legislation and this policy; </w:t>
      </w:r>
    </w:p>
    <w:p w:rsidR="00DF2237" w:rsidRPr="009A79CD" w:rsidRDefault="00DF2237" w:rsidP="00625F88">
      <w:pPr>
        <w:pStyle w:val="Default"/>
        <w:numPr>
          <w:ilvl w:val="0"/>
          <w:numId w:val="4"/>
        </w:numPr>
        <w:ind w:left="357" w:hanging="357"/>
      </w:pPr>
      <w:r w:rsidRPr="009A79CD">
        <w:t>report notifiable incidents to WorkSafe ACT if they are the workplace supervisor/ manager at the time and location the notifiable incident occurs; and</w:t>
      </w:r>
    </w:p>
    <w:p w:rsidR="00DF2237" w:rsidRPr="009E45C8" w:rsidRDefault="00DF2237" w:rsidP="000F63B6">
      <w:pPr>
        <w:pStyle w:val="Default"/>
        <w:numPr>
          <w:ilvl w:val="0"/>
          <w:numId w:val="4"/>
        </w:numPr>
        <w:spacing w:after="120"/>
        <w:ind w:left="357" w:hanging="357"/>
        <w:rPr>
          <w:rFonts w:cs="Arial"/>
          <w:b/>
          <w:sz w:val="28"/>
        </w:rPr>
      </w:pPr>
      <w:r w:rsidRPr="009A79CD">
        <w:t xml:space="preserve">assist with any investigations of, or response to, accidents/incidents in which they were involved. </w:t>
      </w:r>
    </w:p>
    <w:p w:rsidR="00DF2237" w:rsidRPr="00DF2237" w:rsidRDefault="0019501D" w:rsidP="00DF2237">
      <w:pPr>
        <w:pStyle w:val="Heading2"/>
        <w:keepNext w:val="0"/>
        <w:numPr>
          <w:ilvl w:val="1"/>
          <w:numId w:val="0"/>
        </w:numPr>
        <w:spacing w:after="120"/>
        <w:ind w:left="426" w:right="-18" w:hanging="426"/>
        <w:contextualSpacing/>
        <w:rPr>
          <w:b/>
          <w:sz w:val="24"/>
          <w:szCs w:val="24"/>
        </w:rPr>
      </w:pPr>
      <w:r>
        <w:rPr>
          <w:b/>
          <w:sz w:val="24"/>
          <w:szCs w:val="24"/>
        </w:rPr>
        <w:br w:type="page"/>
      </w:r>
      <w:r w:rsidR="00DF2237" w:rsidRPr="00DF2237">
        <w:rPr>
          <w:b/>
          <w:sz w:val="24"/>
          <w:szCs w:val="24"/>
        </w:rPr>
        <w:lastRenderedPageBreak/>
        <w:t>Directors-General</w:t>
      </w:r>
    </w:p>
    <w:p w:rsidR="00DF2237" w:rsidRDefault="00DF2237" w:rsidP="00DF2237">
      <w:pPr>
        <w:spacing w:after="120"/>
      </w:pPr>
      <w:r w:rsidRPr="009A79CD">
        <w:t xml:space="preserve">Directors-General have primary responsibility for the implementation of this policy at all levels in their organisations, and for ensuring that procedures are in place for accident/incident reporting, investigation and response. </w:t>
      </w:r>
    </w:p>
    <w:p w:rsidR="00DF2237" w:rsidRPr="00DF2237" w:rsidRDefault="00DF2237" w:rsidP="00DF2237">
      <w:pPr>
        <w:pStyle w:val="Heading2"/>
        <w:keepNext w:val="0"/>
        <w:numPr>
          <w:ilvl w:val="1"/>
          <w:numId w:val="0"/>
        </w:numPr>
        <w:spacing w:after="120"/>
        <w:ind w:left="426" w:right="-18" w:hanging="426"/>
        <w:contextualSpacing/>
        <w:rPr>
          <w:b/>
          <w:sz w:val="24"/>
          <w:szCs w:val="24"/>
        </w:rPr>
      </w:pPr>
      <w:r w:rsidRPr="00DF2237">
        <w:rPr>
          <w:b/>
          <w:sz w:val="24"/>
          <w:szCs w:val="24"/>
        </w:rPr>
        <w:t>Executives/business managers</w:t>
      </w:r>
    </w:p>
    <w:p w:rsidR="00DF2237" w:rsidRPr="009A79CD" w:rsidRDefault="00DF2237" w:rsidP="00DF2237">
      <w:pPr>
        <w:pStyle w:val="Default"/>
        <w:spacing w:after="120"/>
      </w:pPr>
      <w:r w:rsidRPr="009A79CD">
        <w:t>I</w:t>
      </w:r>
      <w:r w:rsidR="00D03ED2">
        <w:t>t is the responsibility of the e</w:t>
      </w:r>
      <w:r w:rsidRPr="009A79CD">
        <w:t xml:space="preserve">xecutive/business/workplace managers, within their own areas of responsibility, to: </w:t>
      </w:r>
    </w:p>
    <w:p w:rsidR="00DF2237" w:rsidRPr="009A79CD" w:rsidRDefault="00DF2237" w:rsidP="00625F88">
      <w:pPr>
        <w:pStyle w:val="Default"/>
        <w:numPr>
          <w:ilvl w:val="0"/>
          <w:numId w:val="4"/>
        </w:numPr>
        <w:ind w:left="357" w:hanging="357"/>
      </w:pPr>
      <w:r w:rsidRPr="009A79CD">
        <w:t xml:space="preserve">ensure all accidents/incidents are reported appropriately as per this policy and legislation; </w:t>
      </w:r>
    </w:p>
    <w:p w:rsidR="00DF2237" w:rsidRPr="009A79CD" w:rsidRDefault="00DF2237" w:rsidP="00625F88">
      <w:pPr>
        <w:pStyle w:val="Default"/>
        <w:numPr>
          <w:ilvl w:val="0"/>
          <w:numId w:val="4"/>
        </w:numPr>
        <w:ind w:left="357" w:hanging="357"/>
      </w:pPr>
      <w:r w:rsidRPr="009A79CD">
        <w:t xml:space="preserve">ensure that all accidents/incidents are reviewed and investigated where required; </w:t>
      </w:r>
    </w:p>
    <w:p w:rsidR="00DF2237" w:rsidRPr="009A79CD" w:rsidRDefault="00DF2237" w:rsidP="00625F88">
      <w:pPr>
        <w:pStyle w:val="Default"/>
        <w:numPr>
          <w:ilvl w:val="0"/>
          <w:numId w:val="4"/>
        </w:numPr>
        <w:ind w:left="357" w:hanging="357"/>
      </w:pPr>
      <w:r w:rsidRPr="009A79CD">
        <w:t xml:space="preserve">identify, implement and monitor appropriate risk and hazard control measures; </w:t>
      </w:r>
    </w:p>
    <w:p w:rsidR="00DF2237" w:rsidRPr="009A79CD" w:rsidRDefault="00DF2237" w:rsidP="00625F88">
      <w:pPr>
        <w:pStyle w:val="Default"/>
        <w:numPr>
          <w:ilvl w:val="0"/>
          <w:numId w:val="4"/>
        </w:numPr>
        <w:ind w:left="357" w:hanging="357"/>
      </w:pPr>
      <w:r w:rsidRPr="009A79CD">
        <w:t>ensure, as far as possible, that all workers in their area of responsibility are aware of the workplace’s safety and accident/incident reporting expectations;</w:t>
      </w:r>
    </w:p>
    <w:p w:rsidR="00DF2237" w:rsidRPr="009A79CD" w:rsidRDefault="00DF2237" w:rsidP="00625F88">
      <w:pPr>
        <w:pStyle w:val="Default"/>
        <w:numPr>
          <w:ilvl w:val="0"/>
          <w:numId w:val="4"/>
        </w:numPr>
        <w:ind w:left="357" w:hanging="357"/>
      </w:pPr>
      <w:r w:rsidRPr="009A79CD">
        <w:t xml:space="preserve">regularly inform workers of reporting requirements and outcomes of investigations; and </w:t>
      </w:r>
    </w:p>
    <w:p w:rsidR="00DF2237" w:rsidRPr="009A79CD" w:rsidRDefault="00DF2237" w:rsidP="000F63B6">
      <w:pPr>
        <w:pStyle w:val="Default"/>
        <w:numPr>
          <w:ilvl w:val="0"/>
          <w:numId w:val="4"/>
        </w:numPr>
        <w:spacing w:after="120"/>
        <w:ind w:left="357" w:hanging="357"/>
      </w:pPr>
      <w:r w:rsidRPr="009A79CD">
        <w:t xml:space="preserve">ensure that records of all accidents/incidents and the records of investigations are completed and held securely. </w:t>
      </w:r>
    </w:p>
    <w:p w:rsidR="00DF2237" w:rsidRPr="00DF2237" w:rsidRDefault="00DF2237" w:rsidP="00DF2237">
      <w:pPr>
        <w:pStyle w:val="Heading2"/>
        <w:keepNext w:val="0"/>
        <w:numPr>
          <w:ilvl w:val="1"/>
          <w:numId w:val="0"/>
        </w:numPr>
        <w:spacing w:after="120"/>
        <w:ind w:left="426" w:right="-18" w:hanging="426"/>
        <w:contextualSpacing/>
        <w:rPr>
          <w:b/>
          <w:sz w:val="24"/>
          <w:szCs w:val="24"/>
        </w:rPr>
      </w:pPr>
      <w:r w:rsidRPr="00DF2237">
        <w:rPr>
          <w:b/>
          <w:sz w:val="24"/>
          <w:szCs w:val="24"/>
        </w:rPr>
        <w:t xml:space="preserve">Workplace </w:t>
      </w:r>
      <w:r w:rsidR="0019501D">
        <w:rPr>
          <w:b/>
          <w:sz w:val="24"/>
          <w:szCs w:val="24"/>
        </w:rPr>
        <w:t>s</w:t>
      </w:r>
      <w:r w:rsidRPr="00DF2237">
        <w:rPr>
          <w:b/>
          <w:sz w:val="24"/>
          <w:szCs w:val="24"/>
        </w:rPr>
        <w:t>upe</w:t>
      </w:r>
      <w:r w:rsidR="000F63B6">
        <w:rPr>
          <w:b/>
          <w:sz w:val="24"/>
          <w:szCs w:val="24"/>
        </w:rPr>
        <w:t>rvisors/</w:t>
      </w:r>
      <w:r w:rsidR="0019501D">
        <w:rPr>
          <w:b/>
          <w:sz w:val="24"/>
          <w:szCs w:val="24"/>
        </w:rPr>
        <w:t>m</w:t>
      </w:r>
      <w:r w:rsidRPr="00DF2237">
        <w:rPr>
          <w:b/>
          <w:sz w:val="24"/>
          <w:szCs w:val="24"/>
        </w:rPr>
        <w:t>anagers</w:t>
      </w:r>
      <w:r>
        <w:rPr>
          <w:b/>
          <w:sz w:val="24"/>
          <w:szCs w:val="24"/>
        </w:rPr>
        <w:t xml:space="preserve"> are responsible for:</w:t>
      </w:r>
    </w:p>
    <w:p w:rsidR="00DF2237" w:rsidRDefault="00DF2237" w:rsidP="00625F88">
      <w:pPr>
        <w:pStyle w:val="Default"/>
        <w:numPr>
          <w:ilvl w:val="0"/>
          <w:numId w:val="4"/>
        </w:numPr>
        <w:ind w:left="357" w:hanging="357"/>
      </w:pPr>
      <w:r w:rsidRPr="009A79CD">
        <w:t xml:space="preserve">ensuring that the workplace is rendered safe to prevent further immediate injury pending investigation; </w:t>
      </w:r>
    </w:p>
    <w:p w:rsidR="00694640" w:rsidRPr="009A79CD" w:rsidRDefault="000C0B7A" w:rsidP="00694640">
      <w:pPr>
        <w:pStyle w:val="Default"/>
        <w:numPr>
          <w:ilvl w:val="0"/>
          <w:numId w:val="4"/>
        </w:numPr>
        <w:ind w:left="357" w:hanging="357"/>
      </w:pPr>
      <w:r>
        <w:t>ensuring appropriate first aid is rendered to any injured person/s;</w:t>
      </w:r>
    </w:p>
    <w:p w:rsidR="00DF2237" w:rsidRPr="009A79CD" w:rsidRDefault="00DF2237" w:rsidP="00625F88">
      <w:pPr>
        <w:pStyle w:val="Default"/>
        <w:numPr>
          <w:ilvl w:val="0"/>
          <w:numId w:val="4"/>
        </w:numPr>
        <w:ind w:left="357" w:hanging="357"/>
      </w:pPr>
      <w:r w:rsidRPr="009A79CD">
        <w:t xml:space="preserve">ensuring that the incident is reported appropriately (as per </w:t>
      </w:r>
      <w:r w:rsidR="00C84038">
        <w:t>Annex</w:t>
      </w:r>
      <w:r w:rsidR="00D03ED2">
        <w:t>e</w:t>
      </w:r>
      <w:r w:rsidR="00C84038">
        <w:t xml:space="preserve"> B</w:t>
      </w:r>
      <w:r w:rsidR="00D03ED2">
        <w:t>)</w:t>
      </w:r>
      <w:r w:rsidRPr="009A79CD">
        <w:t xml:space="preserve">; </w:t>
      </w:r>
    </w:p>
    <w:p w:rsidR="00DF2237" w:rsidRPr="009A79CD" w:rsidRDefault="00DF2237" w:rsidP="00625F88">
      <w:pPr>
        <w:pStyle w:val="Default"/>
        <w:numPr>
          <w:ilvl w:val="0"/>
          <w:numId w:val="4"/>
        </w:numPr>
        <w:ind w:left="357" w:hanging="357"/>
      </w:pPr>
      <w:r w:rsidRPr="009A79CD">
        <w:t>p</w:t>
      </w:r>
      <w:r w:rsidR="00FD6D33">
        <w:t xml:space="preserve">reserving the work area </w:t>
      </w:r>
      <w:r w:rsidRPr="009A79CD">
        <w:t>of</w:t>
      </w:r>
      <w:r w:rsidR="00FD6D33">
        <w:t xml:space="preserve"> a notifiable incident</w:t>
      </w:r>
      <w:r w:rsidRPr="009A79CD">
        <w:t xml:space="preserve"> which require</w:t>
      </w:r>
      <w:r w:rsidR="00FD6D33">
        <w:t>s</w:t>
      </w:r>
      <w:r w:rsidRPr="009A79CD">
        <w:t xml:space="preserve"> investigation by WorkSafe ACT and/or other official personnel;</w:t>
      </w:r>
    </w:p>
    <w:p w:rsidR="00DF2237" w:rsidRPr="009A79CD" w:rsidRDefault="00DF2237" w:rsidP="00625F88">
      <w:pPr>
        <w:pStyle w:val="Default"/>
        <w:numPr>
          <w:ilvl w:val="0"/>
          <w:numId w:val="4"/>
        </w:numPr>
        <w:ind w:left="357" w:hanging="357"/>
      </w:pPr>
      <w:r w:rsidRPr="009A79CD">
        <w:t xml:space="preserve">ensuring that workers and witnesses, where applicable, participate as appropriate in the reporting of workplace accidents/incidents; and </w:t>
      </w:r>
    </w:p>
    <w:p w:rsidR="00DF2237" w:rsidRPr="009A79CD" w:rsidRDefault="00DF2237" w:rsidP="00FD6D33">
      <w:pPr>
        <w:pStyle w:val="Default"/>
        <w:numPr>
          <w:ilvl w:val="0"/>
          <w:numId w:val="4"/>
        </w:numPr>
        <w:spacing w:after="120"/>
        <w:ind w:left="357" w:hanging="357"/>
      </w:pPr>
      <w:r w:rsidRPr="009A79CD">
        <w:t>ensuring that injured workers are provided with ongoing care and support.</w:t>
      </w:r>
    </w:p>
    <w:p w:rsidR="00DF2237" w:rsidRPr="00DF2237" w:rsidRDefault="00DF2237" w:rsidP="00DF2237">
      <w:pPr>
        <w:pStyle w:val="Heading2"/>
        <w:keepNext w:val="0"/>
        <w:numPr>
          <w:ilvl w:val="1"/>
          <w:numId w:val="0"/>
        </w:numPr>
        <w:spacing w:after="120"/>
        <w:ind w:left="426" w:right="-18" w:hanging="426"/>
        <w:contextualSpacing/>
        <w:rPr>
          <w:b/>
          <w:sz w:val="24"/>
          <w:szCs w:val="24"/>
        </w:rPr>
      </w:pPr>
      <w:r w:rsidRPr="00DF2237">
        <w:rPr>
          <w:b/>
          <w:sz w:val="24"/>
          <w:szCs w:val="24"/>
        </w:rPr>
        <w:t>Health &amp; Safety Representative</w:t>
      </w:r>
      <w:r w:rsidR="0019501D">
        <w:rPr>
          <w:b/>
          <w:sz w:val="24"/>
          <w:szCs w:val="24"/>
        </w:rPr>
        <w:t>s</w:t>
      </w:r>
      <w:r w:rsidRPr="00DF2237">
        <w:rPr>
          <w:b/>
          <w:sz w:val="24"/>
          <w:szCs w:val="24"/>
        </w:rPr>
        <w:t xml:space="preserve"> (HSR)</w:t>
      </w:r>
    </w:p>
    <w:p w:rsidR="00D5130D" w:rsidRPr="009A79CD" w:rsidRDefault="00DF2237" w:rsidP="00D5130D">
      <w:pPr>
        <w:pStyle w:val="Default"/>
        <w:spacing w:after="120"/>
      </w:pPr>
      <w:r w:rsidRPr="009A79CD">
        <w:t xml:space="preserve">HSR powers and functions </w:t>
      </w:r>
      <w:r w:rsidR="00D5130D">
        <w:t>are clearly set out in</w:t>
      </w:r>
      <w:r w:rsidRPr="009A79CD">
        <w:t xml:space="preserve"> Section 68 of the Act.</w:t>
      </w:r>
      <w:r w:rsidR="00D5130D">
        <w:t xml:space="preserve"> The core functions relate to HSRs representing their designated work group and inquiring into/investigating matters that are raised as health and safety concerns by any member of their work group.</w:t>
      </w:r>
      <w:r w:rsidRPr="009A79CD">
        <w:t xml:space="preserve"> Additionally, their responsibilities are the same as those which apply to all workers as detailed above.</w:t>
      </w:r>
      <w:r w:rsidR="00D5130D">
        <w:t>                 </w:t>
      </w:r>
    </w:p>
    <w:p w:rsidR="00DF2237" w:rsidRPr="00DF2237" w:rsidRDefault="00DF2237" w:rsidP="00DF2237">
      <w:pPr>
        <w:pStyle w:val="Heading2"/>
        <w:keepNext w:val="0"/>
        <w:numPr>
          <w:ilvl w:val="1"/>
          <w:numId w:val="0"/>
        </w:numPr>
        <w:spacing w:after="120"/>
        <w:ind w:left="426" w:right="-18" w:hanging="426"/>
        <w:contextualSpacing/>
        <w:rPr>
          <w:b/>
          <w:sz w:val="24"/>
          <w:szCs w:val="24"/>
        </w:rPr>
      </w:pPr>
      <w:r w:rsidRPr="00DF2237">
        <w:rPr>
          <w:b/>
          <w:sz w:val="24"/>
          <w:szCs w:val="24"/>
        </w:rPr>
        <w:t>Work Health and Safety Team</w:t>
      </w:r>
    </w:p>
    <w:p w:rsidR="00DF2237" w:rsidRPr="009A79CD" w:rsidRDefault="00DF2237" w:rsidP="00DF2237">
      <w:pPr>
        <w:pStyle w:val="Default"/>
        <w:spacing w:after="120"/>
      </w:pPr>
      <w:r w:rsidRPr="009A79CD">
        <w:t xml:space="preserve">Directorate/entity WHS teams (or HR teams within some entities) are responsible for: </w:t>
      </w:r>
    </w:p>
    <w:p w:rsidR="00DF2237" w:rsidRPr="009A79CD" w:rsidRDefault="00DF2237" w:rsidP="00625F88">
      <w:pPr>
        <w:pStyle w:val="Default"/>
        <w:numPr>
          <w:ilvl w:val="0"/>
          <w:numId w:val="4"/>
        </w:numPr>
        <w:ind w:left="357" w:hanging="357"/>
      </w:pPr>
      <w:r w:rsidRPr="009A79CD">
        <w:t xml:space="preserve">advising and supporting  the </w:t>
      </w:r>
      <w:r>
        <w:t>supervisor/</w:t>
      </w:r>
      <w:r w:rsidR="0019501D">
        <w:t>manager to report an incident</w:t>
      </w:r>
      <w:r w:rsidRPr="009A79CD">
        <w:t xml:space="preserve"> to WorkSafe ACT</w:t>
      </w:r>
      <w:r w:rsidR="0019501D">
        <w:t xml:space="preserve"> (where required)</w:t>
      </w:r>
      <w:r w:rsidRPr="009A79CD">
        <w:t xml:space="preserve"> and other parties within the timeframes required by law and this policy; </w:t>
      </w:r>
    </w:p>
    <w:p w:rsidR="00DF2237" w:rsidRPr="009A79CD" w:rsidRDefault="00DF2237" w:rsidP="00625F88">
      <w:pPr>
        <w:pStyle w:val="Default"/>
        <w:numPr>
          <w:ilvl w:val="0"/>
          <w:numId w:val="4"/>
        </w:numPr>
        <w:ind w:left="357" w:hanging="357"/>
      </w:pPr>
      <w:r w:rsidRPr="009A79CD">
        <w:t xml:space="preserve">advising and supporting the supervisor of a worker involved in accidents or incidents to ensure they have the skills/information to </w:t>
      </w:r>
      <w:r w:rsidR="000C0B7A">
        <w:t>assist</w:t>
      </w:r>
      <w:r w:rsidRPr="009A79CD">
        <w:t xml:space="preserve"> the worker; </w:t>
      </w:r>
    </w:p>
    <w:p w:rsidR="00DF2237" w:rsidRPr="009A79CD" w:rsidRDefault="00DF2237" w:rsidP="00625F88">
      <w:pPr>
        <w:pStyle w:val="Default"/>
        <w:numPr>
          <w:ilvl w:val="0"/>
          <w:numId w:val="4"/>
        </w:numPr>
        <w:ind w:left="357" w:hanging="357"/>
      </w:pPr>
      <w:r w:rsidRPr="009A79CD">
        <w:lastRenderedPageBreak/>
        <w:t xml:space="preserve">following up with work area supervisors to ensure that any recommended actions following incident investigations have been documented and also implemented; </w:t>
      </w:r>
    </w:p>
    <w:p w:rsidR="00DF2237" w:rsidRPr="009A79CD" w:rsidRDefault="00DF2237" w:rsidP="00625F88">
      <w:pPr>
        <w:pStyle w:val="Default"/>
        <w:numPr>
          <w:ilvl w:val="0"/>
          <w:numId w:val="4"/>
        </w:numPr>
        <w:ind w:left="357" w:hanging="357"/>
      </w:pPr>
      <w:r w:rsidRPr="009A79CD">
        <w:t xml:space="preserve">providing appropriate briefing on workplace accidents and incidents to the HR Director and/or relevant executives with their organisation; and </w:t>
      </w:r>
    </w:p>
    <w:p w:rsidR="00DF2237" w:rsidRPr="009A79CD" w:rsidRDefault="00DF2237" w:rsidP="00FD6D33">
      <w:pPr>
        <w:pStyle w:val="Default"/>
        <w:numPr>
          <w:ilvl w:val="0"/>
          <w:numId w:val="4"/>
        </w:numPr>
        <w:spacing w:after="120"/>
        <w:ind w:left="357" w:hanging="357"/>
      </w:pPr>
      <w:r w:rsidRPr="009A79CD">
        <w:t xml:space="preserve">working independently or in collaboration with the Safety Support Team to ensure that accident/incident reports are reviewed and risk </w:t>
      </w:r>
      <w:r w:rsidR="004A4A98">
        <w:t>assessed</w:t>
      </w:r>
      <w:r w:rsidRPr="009A79CD">
        <w:t xml:space="preserve">, and that appropriate investigation is undertaken. </w:t>
      </w:r>
    </w:p>
    <w:p w:rsidR="00DF2237" w:rsidRPr="009A79CD" w:rsidRDefault="00DF2237" w:rsidP="00DF2237">
      <w:pPr>
        <w:pStyle w:val="Default"/>
        <w:spacing w:after="120"/>
      </w:pPr>
      <w:r w:rsidRPr="009A79CD">
        <w:rPr>
          <w:b/>
          <w:bCs/>
        </w:rPr>
        <w:t>CMTEDD Workplace Injury Performance (WIP) Team</w:t>
      </w:r>
    </w:p>
    <w:p w:rsidR="00DF2237" w:rsidRPr="009A79CD" w:rsidRDefault="00DF2237" w:rsidP="00DF2237">
      <w:pPr>
        <w:pStyle w:val="Default"/>
        <w:spacing w:after="120"/>
      </w:pPr>
      <w:r w:rsidRPr="009A79CD">
        <w:t xml:space="preserve">The WIP team is responsible for developing whole of Government policies and initiatives to improve injury prevention and injury management across the ACT Public Service. The WIP team is responsible for: </w:t>
      </w:r>
    </w:p>
    <w:p w:rsidR="00DF2237" w:rsidRPr="009A79CD" w:rsidRDefault="00DF2237" w:rsidP="00625F88">
      <w:pPr>
        <w:pStyle w:val="Default"/>
        <w:numPr>
          <w:ilvl w:val="0"/>
          <w:numId w:val="4"/>
        </w:numPr>
        <w:ind w:left="357" w:hanging="357"/>
      </w:pPr>
      <w:r w:rsidRPr="009A79CD">
        <w:t xml:space="preserve">secure and confidential maintenance of the whole of Government accident/incident data and </w:t>
      </w:r>
      <w:r w:rsidR="002F3B25">
        <w:t>electronic reporting</w:t>
      </w:r>
      <w:r w:rsidRPr="009A79CD">
        <w:t xml:space="preserve"> system</w:t>
      </w:r>
      <w:r w:rsidR="002F3B25">
        <w:t xml:space="preserve"> (RiskMan)</w:t>
      </w:r>
      <w:r w:rsidRPr="009A79CD">
        <w:t>; and</w:t>
      </w:r>
    </w:p>
    <w:p w:rsidR="00DF2237" w:rsidRPr="009A79CD" w:rsidRDefault="00DF2237" w:rsidP="00FD6D33">
      <w:pPr>
        <w:pStyle w:val="Default"/>
        <w:numPr>
          <w:ilvl w:val="0"/>
          <w:numId w:val="4"/>
        </w:numPr>
        <w:spacing w:after="120"/>
        <w:ind w:left="357" w:hanging="357"/>
      </w:pPr>
      <w:r w:rsidRPr="009A79CD">
        <w:t xml:space="preserve">statistical reporting to relevant business managers and executives and national datasets. </w:t>
      </w:r>
      <w:r w:rsidRPr="00DF2237">
        <w:t xml:space="preserve"> </w:t>
      </w:r>
    </w:p>
    <w:p w:rsidR="00DF2237" w:rsidRPr="00DF2237" w:rsidRDefault="00F83390" w:rsidP="00DF2237">
      <w:pPr>
        <w:pStyle w:val="Heading2"/>
        <w:keepNext w:val="0"/>
        <w:numPr>
          <w:ilvl w:val="1"/>
          <w:numId w:val="0"/>
        </w:numPr>
        <w:spacing w:after="120"/>
        <w:ind w:left="426" w:right="-18" w:hanging="426"/>
        <w:contextualSpacing/>
        <w:rPr>
          <w:b/>
          <w:sz w:val="24"/>
          <w:szCs w:val="24"/>
        </w:rPr>
      </w:pPr>
      <w:r>
        <w:rPr>
          <w:b/>
          <w:sz w:val="24"/>
          <w:szCs w:val="24"/>
        </w:rPr>
        <w:t xml:space="preserve">CMTEDD </w:t>
      </w:r>
      <w:r w:rsidR="00DF2237" w:rsidRPr="00DF2237">
        <w:rPr>
          <w:b/>
          <w:sz w:val="24"/>
          <w:szCs w:val="24"/>
        </w:rPr>
        <w:t>Safety Support Team</w:t>
      </w:r>
    </w:p>
    <w:p w:rsidR="00DF2237" w:rsidRPr="009A79CD" w:rsidRDefault="00DF2237" w:rsidP="00DF2237">
      <w:pPr>
        <w:pStyle w:val="Default"/>
        <w:spacing w:after="120"/>
      </w:pPr>
      <w:r w:rsidRPr="009A79CD">
        <w:t xml:space="preserve">The Safety Support team work with ACTPS directorates and entities to: </w:t>
      </w:r>
    </w:p>
    <w:p w:rsidR="00DF2237" w:rsidRPr="009A79CD" w:rsidRDefault="00DF2237" w:rsidP="00625F88">
      <w:pPr>
        <w:pStyle w:val="Default"/>
        <w:numPr>
          <w:ilvl w:val="0"/>
          <w:numId w:val="4"/>
        </w:numPr>
        <w:ind w:left="357" w:hanging="357"/>
      </w:pPr>
      <w:r w:rsidRPr="009A79CD">
        <w:t xml:space="preserve">provide advice and guidance in relation to work health and safety matters;  </w:t>
      </w:r>
    </w:p>
    <w:p w:rsidR="00DF2237" w:rsidRPr="009A79CD" w:rsidRDefault="00DF2237" w:rsidP="00625F88">
      <w:pPr>
        <w:pStyle w:val="Default"/>
        <w:numPr>
          <w:ilvl w:val="0"/>
          <w:numId w:val="4"/>
        </w:numPr>
        <w:ind w:left="357" w:hanging="357"/>
      </w:pPr>
      <w:r w:rsidRPr="009A79CD">
        <w:t xml:space="preserve">provide direct injury prevention support to certain ACTPS directorates/entities; </w:t>
      </w:r>
    </w:p>
    <w:p w:rsidR="00DF2237" w:rsidRPr="009A79CD" w:rsidRDefault="00DF2237" w:rsidP="00625F88">
      <w:pPr>
        <w:pStyle w:val="Default"/>
        <w:numPr>
          <w:ilvl w:val="0"/>
          <w:numId w:val="4"/>
        </w:numPr>
        <w:ind w:left="357" w:hanging="357"/>
      </w:pPr>
      <w:r w:rsidRPr="009A79CD">
        <w:t>assist directorates/entities with accident/incident investigations when requested; and</w:t>
      </w:r>
    </w:p>
    <w:p w:rsidR="00DF2237" w:rsidRPr="009A79CD" w:rsidRDefault="00DF2237" w:rsidP="00FD6D33">
      <w:pPr>
        <w:pStyle w:val="Default"/>
        <w:numPr>
          <w:ilvl w:val="0"/>
          <w:numId w:val="4"/>
        </w:numPr>
        <w:spacing w:after="120"/>
        <w:ind w:left="357" w:hanging="357"/>
      </w:pPr>
      <w:r w:rsidRPr="009A79CD">
        <w:t xml:space="preserve">as agreed on an individual basis with directorates or entities, review and risk rate accident/incident reports and assist in the development of corrective action plans. </w:t>
      </w:r>
    </w:p>
    <w:p w:rsidR="00DF2237" w:rsidRPr="00DF2237" w:rsidRDefault="00DF2237" w:rsidP="00DF2237">
      <w:pPr>
        <w:pStyle w:val="Heading2"/>
        <w:keepNext w:val="0"/>
        <w:numPr>
          <w:ilvl w:val="1"/>
          <w:numId w:val="0"/>
        </w:numPr>
        <w:spacing w:after="120"/>
        <w:ind w:left="426" w:right="-18" w:hanging="426"/>
        <w:contextualSpacing/>
        <w:rPr>
          <w:b/>
          <w:sz w:val="24"/>
          <w:szCs w:val="24"/>
        </w:rPr>
      </w:pPr>
      <w:r w:rsidRPr="00DF2237">
        <w:rPr>
          <w:b/>
          <w:sz w:val="24"/>
          <w:szCs w:val="24"/>
        </w:rPr>
        <w:t>WorkSafe ACT</w:t>
      </w:r>
    </w:p>
    <w:p w:rsidR="00971957" w:rsidRPr="00DF2237" w:rsidRDefault="00DF2237" w:rsidP="00DF2237">
      <w:pPr>
        <w:pStyle w:val="Default"/>
        <w:spacing w:after="120"/>
      </w:pPr>
      <w:r w:rsidRPr="009A79CD">
        <w:t xml:space="preserve">WorkSafe ACT has responsibility for the administration, regulation and enforcement of the </w:t>
      </w:r>
      <w:r w:rsidRPr="009A79CD">
        <w:rPr>
          <w:i/>
          <w:iCs/>
        </w:rPr>
        <w:t>Work Health Safety Act 2011</w:t>
      </w:r>
      <w:r w:rsidRPr="009A79CD">
        <w:rPr>
          <w:iCs/>
        </w:rPr>
        <w:t xml:space="preserve"> (ACT)</w:t>
      </w:r>
      <w:r w:rsidRPr="009A79CD">
        <w:rPr>
          <w:i/>
          <w:iCs/>
        </w:rPr>
        <w:t xml:space="preserve">. </w:t>
      </w:r>
    </w:p>
    <w:p w:rsidR="00971957" w:rsidRDefault="00522B89" w:rsidP="0001685F">
      <w:pPr>
        <w:pStyle w:val="Heading1"/>
      </w:pPr>
      <w:bookmarkStart w:id="7" w:name="_Toc415042781"/>
      <w:r>
        <w:t>Legislative Reference</w:t>
      </w:r>
      <w:bookmarkEnd w:id="7"/>
    </w:p>
    <w:p w:rsidR="00546B4E" w:rsidRDefault="00546B4E" w:rsidP="00546B4E">
      <w:pPr>
        <w:spacing w:after="120"/>
        <w:rPr>
          <w:rFonts w:eastAsia="Calibri" w:cs="Calibri"/>
          <w:lang w:eastAsia="en-AU"/>
        </w:rPr>
      </w:pPr>
      <w:r>
        <w:rPr>
          <w:rFonts w:eastAsia="Calibri" w:cs="Calibri"/>
          <w:lang w:eastAsia="en-AU"/>
        </w:rPr>
        <w:t>This policy is aligned with:</w:t>
      </w:r>
    </w:p>
    <w:p w:rsidR="00546B4E" w:rsidRDefault="00546B4E" w:rsidP="00625F88">
      <w:pPr>
        <w:pStyle w:val="ColorfulList-Accent11"/>
        <w:numPr>
          <w:ilvl w:val="0"/>
          <w:numId w:val="3"/>
        </w:numPr>
        <w:spacing w:after="240"/>
        <w:rPr>
          <w:rFonts w:ascii="Calibri" w:eastAsia="Calibri" w:hAnsi="Calibri" w:cs="Calibri"/>
          <w:lang w:eastAsia="en-AU"/>
        </w:rPr>
      </w:pPr>
      <w:r>
        <w:rPr>
          <w:rFonts w:ascii="Calibri" w:eastAsia="Calibri" w:hAnsi="Calibri" w:cs="Calibri"/>
          <w:lang w:eastAsia="en-AU"/>
        </w:rPr>
        <w:t xml:space="preserve">The </w:t>
      </w:r>
      <w:r w:rsidRPr="00346529">
        <w:rPr>
          <w:rFonts w:ascii="Calibri" w:eastAsia="Calibri" w:hAnsi="Calibri" w:cs="Calibri"/>
          <w:i/>
          <w:lang w:eastAsia="en-AU"/>
        </w:rPr>
        <w:t xml:space="preserve">Work Health Safety Act 2011 </w:t>
      </w:r>
      <w:r w:rsidRPr="00814928">
        <w:rPr>
          <w:rFonts w:ascii="Calibri" w:eastAsia="Calibri" w:hAnsi="Calibri" w:cs="Calibri"/>
          <w:lang w:eastAsia="en-AU"/>
        </w:rPr>
        <w:t>(ACT)</w:t>
      </w:r>
      <w:r>
        <w:rPr>
          <w:rFonts w:ascii="Calibri" w:eastAsia="Calibri" w:hAnsi="Calibri" w:cs="Calibri"/>
          <w:lang w:eastAsia="en-AU"/>
        </w:rPr>
        <w:t xml:space="preserve"> (</w:t>
      </w:r>
      <w:r w:rsidRPr="00E52A7B">
        <w:rPr>
          <w:rFonts w:ascii="Calibri" w:eastAsia="Calibri" w:hAnsi="Calibri" w:cs="Calibri"/>
          <w:lang w:eastAsia="en-AU"/>
        </w:rPr>
        <w:t xml:space="preserve">the </w:t>
      </w:r>
      <w:r>
        <w:rPr>
          <w:rFonts w:ascii="Calibri" w:eastAsia="Calibri" w:hAnsi="Calibri" w:cs="Calibri"/>
          <w:lang w:eastAsia="en-AU"/>
        </w:rPr>
        <w:t xml:space="preserve">WHS </w:t>
      </w:r>
      <w:r w:rsidRPr="00E52A7B">
        <w:rPr>
          <w:rFonts w:ascii="Calibri" w:eastAsia="Calibri" w:hAnsi="Calibri" w:cs="Calibri"/>
          <w:lang w:eastAsia="en-AU"/>
        </w:rPr>
        <w:t>Act</w:t>
      </w:r>
      <w:r>
        <w:rPr>
          <w:rFonts w:ascii="Calibri" w:eastAsia="Calibri" w:hAnsi="Calibri" w:cs="Calibri"/>
          <w:lang w:eastAsia="en-AU"/>
        </w:rPr>
        <w:t>);</w:t>
      </w:r>
    </w:p>
    <w:p w:rsidR="00546B4E" w:rsidRDefault="00546B4E" w:rsidP="00625F88">
      <w:pPr>
        <w:pStyle w:val="ColorfulList-Accent11"/>
        <w:numPr>
          <w:ilvl w:val="0"/>
          <w:numId w:val="3"/>
        </w:numPr>
        <w:spacing w:after="240"/>
        <w:rPr>
          <w:rFonts w:ascii="Calibri" w:hAnsi="Calibri" w:cs="Arial"/>
        </w:rPr>
      </w:pPr>
      <w:r w:rsidRPr="00D419DB">
        <w:rPr>
          <w:rFonts w:ascii="Calibri" w:eastAsia="Calibri" w:hAnsi="Calibri" w:cs="Calibri"/>
          <w:lang w:eastAsia="en-AU"/>
        </w:rPr>
        <w:t xml:space="preserve">The </w:t>
      </w:r>
      <w:r w:rsidRPr="00D419DB">
        <w:rPr>
          <w:rFonts w:ascii="Calibri" w:eastAsia="Calibri" w:hAnsi="Calibri" w:cs="Calibri"/>
          <w:i/>
          <w:lang w:eastAsia="en-AU"/>
        </w:rPr>
        <w:t>Information Privacy Act 2014</w:t>
      </w:r>
      <w:r w:rsidRPr="00D419DB">
        <w:rPr>
          <w:rFonts w:ascii="Calibri" w:eastAsia="Calibri" w:hAnsi="Calibri" w:cs="Calibri"/>
          <w:lang w:eastAsia="en-AU"/>
        </w:rPr>
        <w:t xml:space="preserve"> (ACT) (the Privacy Act)</w:t>
      </w:r>
      <w:r>
        <w:rPr>
          <w:rFonts w:ascii="Calibri" w:eastAsia="Calibri" w:hAnsi="Calibri" w:cs="Calibri"/>
          <w:lang w:eastAsia="en-AU"/>
        </w:rPr>
        <w:t>;</w:t>
      </w:r>
      <w:r w:rsidRPr="00D419DB">
        <w:rPr>
          <w:rFonts w:ascii="Calibri" w:eastAsia="Calibri" w:hAnsi="Calibri" w:cs="Calibri"/>
          <w:lang w:eastAsia="en-AU"/>
        </w:rPr>
        <w:t xml:space="preserve"> </w:t>
      </w:r>
    </w:p>
    <w:p w:rsidR="002F3B25" w:rsidRDefault="00546B4E" w:rsidP="00625F88">
      <w:pPr>
        <w:pStyle w:val="ColorfulList-Accent11"/>
        <w:numPr>
          <w:ilvl w:val="0"/>
          <w:numId w:val="3"/>
        </w:numPr>
        <w:spacing w:after="240"/>
        <w:rPr>
          <w:rFonts w:ascii="Calibri" w:hAnsi="Calibri" w:cs="Arial"/>
        </w:rPr>
      </w:pPr>
      <w:r w:rsidRPr="00D419DB">
        <w:rPr>
          <w:rFonts w:ascii="Calibri" w:hAnsi="Calibri" w:cs="Arial"/>
        </w:rPr>
        <w:t xml:space="preserve">The </w:t>
      </w:r>
      <w:r w:rsidRPr="00D419DB">
        <w:rPr>
          <w:rFonts w:ascii="Calibri" w:hAnsi="Calibri" w:cs="Arial"/>
          <w:i/>
        </w:rPr>
        <w:t>Territory Records Act 2002</w:t>
      </w:r>
      <w:r w:rsidR="002F3B25">
        <w:rPr>
          <w:rFonts w:ascii="Calibri" w:hAnsi="Calibri" w:cs="Arial"/>
        </w:rPr>
        <w:t>.</w:t>
      </w:r>
    </w:p>
    <w:p w:rsidR="00971957" w:rsidRPr="00721A97" w:rsidRDefault="002F3B25" w:rsidP="005B2B7D">
      <w:pPr>
        <w:pStyle w:val="ColorfulList-Accent11"/>
        <w:spacing w:after="240"/>
        <w:ind w:left="0"/>
      </w:pPr>
      <w:r>
        <w:rPr>
          <w:rFonts w:ascii="Calibri" w:hAnsi="Calibri" w:cs="Arial"/>
        </w:rPr>
        <w:br/>
      </w:r>
    </w:p>
    <w:tbl>
      <w:tblPr>
        <w:tblW w:w="0" w:type="auto"/>
        <w:tblLook w:val="04A0"/>
      </w:tblPr>
      <w:tblGrid>
        <w:gridCol w:w="4621"/>
      </w:tblGrid>
      <w:tr w:rsidR="006B69FC" w:rsidRPr="004B162E" w:rsidTr="00971957">
        <w:tc>
          <w:tcPr>
            <w:tcW w:w="4621" w:type="dxa"/>
          </w:tcPr>
          <w:p w:rsidR="006B69FC" w:rsidRPr="004B162E" w:rsidRDefault="006B69FC" w:rsidP="0001685F">
            <w:pPr>
              <w:rPr>
                <w:rFonts w:cs="Arial"/>
                <w:b/>
                <w:sz w:val="28"/>
              </w:rPr>
            </w:pPr>
            <w:r w:rsidRPr="004B162E">
              <w:rPr>
                <w:rFonts w:cs="Arial"/>
                <w:b/>
                <w:sz w:val="28"/>
              </w:rPr>
              <w:t>……………………………………………</w:t>
            </w:r>
          </w:p>
        </w:tc>
      </w:tr>
      <w:tr w:rsidR="006B69FC" w:rsidRPr="004B162E" w:rsidTr="00971957">
        <w:tc>
          <w:tcPr>
            <w:tcW w:w="4621" w:type="dxa"/>
          </w:tcPr>
          <w:p w:rsidR="006B69FC" w:rsidRDefault="006B69FC" w:rsidP="006B69FC">
            <w:pPr>
              <w:shd w:val="clear" w:color="auto" w:fill="FFFFFF"/>
              <w:rPr>
                <w:rFonts w:cs="Arial"/>
              </w:rPr>
            </w:pPr>
            <w:r>
              <w:rPr>
                <w:rFonts w:cs="Arial"/>
              </w:rPr>
              <w:t>Bronwen Overton-Clarke</w:t>
            </w:r>
          </w:p>
          <w:p w:rsidR="006B69FC" w:rsidRDefault="006B69FC" w:rsidP="006B69FC">
            <w:pPr>
              <w:shd w:val="clear" w:color="auto" w:fill="FFFFFF"/>
              <w:rPr>
                <w:rFonts w:cs="Arial"/>
              </w:rPr>
            </w:pPr>
            <w:r w:rsidRPr="004B162E">
              <w:rPr>
                <w:rFonts w:cs="Arial"/>
              </w:rPr>
              <w:t>Commissioner for Public Administration</w:t>
            </w:r>
          </w:p>
          <w:p w:rsidR="006B69FC" w:rsidRDefault="006B69FC" w:rsidP="006B69FC">
            <w:pPr>
              <w:shd w:val="clear" w:color="auto" w:fill="FFFFFF"/>
            </w:pPr>
            <w:r>
              <w:t>on behalf of</w:t>
            </w:r>
          </w:p>
          <w:p w:rsidR="006B69FC" w:rsidRDefault="006B69FC" w:rsidP="006B69FC">
            <w:pPr>
              <w:tabs>
                <w:tab w:val="left" w:pos="6946"/>
              </w:tabs>
              <w:ind w:rightChars="-18" w:right="-43"/>
            </w:pPr>
            <w:r>
              <w:t>Kathy Leigh</w:t>
            </w:r>
          </w:p>
          <w:p w:rsidR="002F3B25" w:rsidRDefault="006B69FC" w:rsidP="002F3B25">
            <w:pPr>
              <w:tabs>
                <w:tab w:val="left" w:pos="6946"/>
              </w:tabs>
              <w:ind w:rightChars="-18" w:right="-43"/>
            </w:pPr>
            <w:r>
              <w:t>Head of Service</w:t>
            </w:r>
            <w:r w:rsidR="002F3B25">
              <w:t xml:space="preserve"> </w:t>
            </w:r>
          </w:p>
          <w:p w:rsidR="006B69FC" w:rsidRPr="004B162E" w:rsidRDefault="00971CB9" w:rsidP="002F3B25">
            <w:pPr>
              <w:tabs>
                <w:tab w:val="left" w:pos="6946"/>
              </w:tabs>
              <w:ind w:rightChars="-18" w:right="-43"/>
              <w:rPr>
                <w:rFonts w:cs="Arial"/>
                <w:b/>
                <w:sz w:val="28"/>
              </w:rPr>
            </w:pPr>
            <w:r>
              <w:t>22 June</w:t>
            </w:r>
            <w:r w:rsidR="006B69FC">
              <w:rPr>
                <w:rFonts w:cs="Arial"/>
              </w:rPr>
              <w:t xml:space="preserve"> 2016</w:t>
            </w:r>
          </w:p>
        </w:tc>
      </w:tr>
    </w:tbl>
    <w:p w:rsidR="00D52614" w:rsidRDefault="00D52614" w:rsidP="0001685F">
      <w:pPr>
        <w:tabs>
          <w:tab w:val="left" w:pos="6946"/>
        </w:tabs>
        <w:ind w:rightChars="-18" w:right="-43"/>
        <w:sectPr w:rsidR="00D52614" w:rsidSect="00D52614">
          <w:headerReference w:type="default" r:id="rId7"/>
          <w:footerReference w:type="default" r:id="rId8"/>
          <w:headerReference w:type="first" r:id="rId9"/>
          <w:footerReference w:type="first" r:id="rId10"/>
          <w:pgSz w:w="11907" w:h="16840" w:code="9"/>
          <w:pgMar w:top="855" w:right="1440" w:bottom="1440" w:left="1440" w:header="568" w:footer="851" w:gutter="0"/>
          <w:pgNumType w:start="1"/>
          <w:cols w:space="720"/>
          <w:titlePg/>
          <w:docGrid w:linePitch="326"/>
        </w:sectPr>
      </w:pPr>
    </w:p>
    <w:p w:rsidR="00D52614" w:rsidRPr="00D52614" w:rsidRDefault="00D52614" w:rsidP="0001685F">
      <w:pPr>
        <w:tabs>
          <w:tab w:val="left" w:pos="6946"/>
        </w:tabs>
        <w:ind w:rightChars="-18" w:right="-43"/>
        <w:rPr>
          <w:b/>
          <w:sz w:val="28"/>
          <w:szCs w:val="28"/>
        </w:rPr>
      </w:pPr>
      <w:r w:rsidRPr="00D52614">
        <w:rPr>
          <w:b/>
          <w:sz w:val="28"/>
          <w:szCs w:val="28"/>
        </w:rPr>
        <w:lastRenderedPageBreak/>
        <w:t>ANNEXE A – Conducting internal investigations into accidents/incidents</w:t>
      </w:r>
    </w:p>
    <w:p w:rsidR="00D52614" w:rsidRDefault="00D52614" w:rsidP="0001685F">
      <w:pPr>
        <w:tabs>
          <w:tab w:val="left" w:pos="6946"/>
        </w:tabs>
        <w:ind w:rightChars="-18" w:right="-43"/>
      </w:pPr>
    </w:p>
    <w:p w:rsidR="00D52614" w:rsidRDefault="00D52614" w:rsidP="00D52614">
      <w:r w:rsidRPr="00356A11">
        <w:t>Procedure for conducting a formal internal workplace accident/incident investigation (the investigation) when a notifiable incident has occurred within an ACT Government workplace</w:t>
      </w:r>
      <w:r>
        <w:t>:</w:t>
      </w:r>
    </w:p>
    <w:p w:rsidR="00D52614" w:rsidRPr="00E52A7B" w:rsidRDefault="00D52614" w:rsidP="00D52614">
      <w:pPr>
        <w:pStyle w:val="ColorfulList-Accent11"/>
        <w:numPr>
          <w:ilvl w:val="0"/>
          <w:numId w:val="6"/>
        </w:numPr>
        <w:spacing w:after="120"/>
        <w:rPr>
          <w:rFonts w:ascii="Calibri" w:hAnsi="Calibri" w:cs="Arial"/>
        </w:rPr>
      </w:pPr>
      <w:r>
        <w:rPr>
          <w:rFonts w:ascii="Calibri" w:hAnsi="Calibri" w:cs="Arial"/>
        </w:rPr>
        <w:t>form a</w:t>
      </w:r>
      <w:r w:rsidRPr="00F01610">
        <w:rPr>
          <w:rFonts w:ascii="Calibri" w:hAnsi="Calibri" w:cs="Arial"/>
        </w:rPr>
        <w:t xml:space="preserve"> </w:t>
      </w:r>
      <w:r>
        <w:rPr>
          <w:rFonts w:ascii="Calibri" w:hAnsi="Calibri" w:cs="Arial"/>
        </w:rPr>
        <w:t>team to conduct the investigation. It is preferable the team include a worker HSR, but where an HSR is not on the investigation team they must be consulted as part of the investigation process;</w:t>
      </w:r>
      <w:r w:rsidRPr="00F01610">
        <w:rPr>
          <w:rFonts w:ascii="Calibri" w:hAnsi="Calibri" w:cs="Arial"/>
        </w:rPr>
        <w:t xml:space="preserve"> </w:t>
      </w:r>
    </w:p>
    <w:p w:rsidR="00D52614" w:rsidRDefault="00D52614" w:rsidP="00D52614">
      <w:pPr>
        <w:pStyle w:val="ColorfulList-Accent11"/>
        <w:numPr>
          <w:ilvl w:val="0"/>
          <w:numId w:val="6"/>
        </w:numPr>
        <w:spacing w:after="120"/>
        <w:rPr>
          <w:rFonts w:ascii="Calibri" w:hAnsi="Calibri" w:cs="Arial"/>
        </w:rPr>
      </w:pPr>
      <w:r w:rsidRPr="00F01610">
        <w:rPr>
          <w:rFonts w:ascii="Calibri" w:hAnsi="Calibri" w:cs="Arial"/>
        </w:rPr>
        <w:t xml:space="preserve">undertake the </w:t>
      </w:r>
      <w:r>
        <w:rPr>
          <w:rFonts w:ascii="Calibri" w:hAnsi="Calibri" w:cs="Arial"/>
        </w:rPr>
        <w:t>investigation process</w:t>
      </w:r>
      <w:r w:rsidRPr="00F01610">
        <w:rPr>
          <w:rFonts w:ascii="Calibri" w:hAnsi="Calibri" w:cs="Arial"/>
        </w:rPr>
        <w:t xml:space="preserve"> i</w:t>
      </w:r>
      <w:r>
        <w:rPr>
          <w:rFonts w:ascii="Calibri" w:hAnsi="Calibri" w:cs="Arial"/>
        </w:rPr>
        <w:t xml:space="preserve">n a timely and efficient manner; </w:t>
      </w:r>
    </w:p>
    <w:p w:rsidR="00D52614" w:rsidRDefault="00D52614" w:rsidP="00D52614">
      <w:pPr>
        <w:pStyle w:val="ColorfulList-Accent11"/>
        <w:numPr>
          <w:ilvl w:val="0"/>
          <w:numId w:val="6"/>
        </w:numPr>
        <w:spacing w:after="120"/>
        <w:rPr>
          <w:rFonts w:ascii="Calibri" w:hAnsi="Calibri" w:cs="Arial"/>
        </w:rPr>
      </w:pPr>
      <w:r>
        <w:rPr>
          <w:rFonts w:ascii="Calibri" w:hAnsi="Calibri" w:cs="Arial"/>
        </w:rPr>
        <w:t>ensure the investigation is conducted in accordance with the ACTPS values and behaviours and Code of Conduct;</w:t>
      </w:r>
    </w:p>
    <w:p w:rsidR="00D52614" w:rsidRPr="00E52A7B" w:rsidRDefault="00D52614" w:rsidP="00D52614">
      <w:pPr>
        <w:pStyle w:val="ColorfulList-Accent11"/>
        <w:numPr>
          <w:ilvl w:val="0"/>
          <w:numId w:val="6"/>
        </w:numPr>
        <w:spacing w:after="120"/>
        <w:rPr>
          <w:rFonts w:ascii="Calibri" w:hAnsi="Calibri" w:cs="Arial"/>
        </w:rPr>
      </w:pPr>
      <w:r>
        <w:rPr>
          <w:rFonts w:ascii="Calibri" w:hAnsi="Calibri" w:cs="Arial"/>
        </w:rPr>
        <w:t>liaise effectively with WorkSafe ACT and/or other relevant organisations and not hinder or influence any concurrent, separate, investigation into the notifiable incident;</w:t>
      </w:r>
    </w:p>
    <w:p w:rsidR="00D52614" w:rsidRDefault="00D52614" w:rsidP="00D52614">
      <w:pPr>
        <w:pStyle w:val="ColorfulList-Accent11"/>
        <w:numPr>
          <w:ilvl w:val="0"/>
          <w:numId w:val="6"/>
        </w:numPr>
        <w:spacing w:after="120"/>
        <w:rPr>
          <w:rFonts w:ascii="Calibri" w:hAnsi="Calibri" w:cs="Arial"/>
        </w:rPr>
      </w:pPr>
      <w:r w:rsidRPr="00F01610">
        <w:rPr>
          <w:rFonts w:ascii="Calibri" w:hAnsi="Calibri" w:cs="Arial"/>
        </w:rPr>
        <w:t>create a report</w:t>
      </w:r>
      <w:r>
        <w:rPr>
          <w:rFonts w:ascii="Calibri" w:hAnsi="Calibri" w:cs="Arial"/>
        </w:rPr>
        <w:t xml:space="preserve"> summarising the</w:t>
      </w:r>
      <w:r w:rsidRPr="00F01610">
        <w:rPr>
          <w:rFonts w:ascii="Calibri" w:hAnsi="Calibri" w:cs="Arial"/>
        </w:rPr>
        <w:t xml:space="preserve"> findings</w:t>
      </w:r>
      <w:r>
        <w:rPr>
          <w:rFonts w:ascii="Calibri" w:hAnsi="Calibri" w:cs="Arial"/>
        </w:rPr>
        <w:t xml:space="preserve"> of the investigation and </w:t>
      </w:r>
      <w:r w:rsidRPr="00F01610">
        <w:rPr>
          <w:rFonts w:ascii="Calibri" w:hAnsi="Calibri" w:cs="Arial"/>
        </w:rPr>
        <w:t>accur</w:t>
      </w:r>
      <w:r>
        <w:rPr>
          <w:rFonts w:ascii="Calibri" w:hAnsi="Calibri" w:cs="Arial"/>
        </w:rPr>
        <w:t>ately keep records pertaining to it;</w:t>
      </w:r>
      <w:r w:rsidRPr="00F01610">
        <w:rPr>
          <w:rFonts w:ascii="Calibri" w:hAnsi="Calibri" w:cs="Arial"/>
        </w:rPr>
        <w:t xml:space="preserve"> </w:t>
      </w:r>
    </w:p>
    <w:p w:rsidR="00D52614" w:rsidRDefault="00D52614" w:rsidP="00D52614">
      <w:pPr>
        <w:pStyle w:val="ColorfulList-Accent11"/>
        <w:numPr>
          <w:ilvl w:val="0"/>
          <w:numId w:val="6"/>
        </w:numPr>
        <w:spacing w:after="120"/>
        <w:rPr>
          <w:rFonts w:ascii="Calibri" w:hAnsi="Calibri" w:cs="Arial"/>
        </w:rPr>
      </w:pPr>
      <w:r>
        <w:rPr>
          <w:rFonts w:ascii="Calibri" w:hAnsi="Calibri" w:cs="Arial"/>
        </w:rPr>
        <w:t>create an action plan containing the following information:</w:t>
      </w:r>
    </w:p>
    <w:p w:rsidR="00D52614" w:rsidRPr="009A79CD" w:rsidRDefault="00D52614" w:rsidP="00D52614">
      <w:pPr>
        <w:pStyle w:val="ColorfulList-Accent11"/>
        <w:numPr>
          <w:ilvl w:val="1"/>
          <w:numId w:val="6"/>
        </w:numPr>
        <w:spacing w:after="120"/>
        <w:ind w:left="867" w:hanging="357"/>
        <w:rPr>
          <w:rFonts w:ascii="Calibri" w:hAnsi="Calibri"/>
        </w:rPr>
      </w:pPr>
      <w:r>
        <w:rPr>
          <w:rFonts w:ascii="Calibri" w:hAnsi="Calibri"/>
        </w:rPr>
        <w:t>a</w:t>
      </w:r>
      <w:r w:rsidRPr="009A79CD">
        <w:rPr>
          <w:rFonts w:ascii="Calibri" w:hAnsi="Calibri"/>
        </w:rPr>
        <w:t>n assessment of the likelihood of the accident/incident recurring AND the magnitude of the threat to health and safety if it did (a risk rating);</w:t>
      </w:r>
    </w:p>
    <w:p w:rsidR="00D52614" w:rsidRDefault="00D52614" w:rsidP="00D52614">
      <w:pPr>
        <w:pStyle w:val="ColorfulList-Accent11"/>
        <w:numPr>
          <w:ilvl w:val="1"/>
          <w:numId w:val="6"/>
        </w:numPr>
        <w:spacing w:after="120"/>
        <w:ind w:left="867" w:hanging="357"/>
        <w:rPr>
          <w:rFonts w:ascii="Calibri" w:hAnsi="Calibri"/>
        </w:rPr>
      </w:pPr>
      <w:r w:rsidRPr="009A79CD">
        <w:rPr>
          <w:rFonts w:ascii="Calibri" w:hAnsi="Calibri"/>
        </w:rPr>
        <w:t>details of what control measures, such as changes to work practices, will be introduced and an indication of when those controls have been/will be applied;</w:t>
      </w:r>
    </w:p>
    <w:p w:rsidR="00D52614" w:rsidRPr="009A79CD" w:rsidRDefault="00D52614" w:rsidP="00D52614">
      <w:pPr>
        <w:pStyle w:val="ColorfulList-Accent11"/>
        <w:numPr>
          <w:ilvl w:val="1"/>
          <w:numId w:val="6"/>
        </w:numPr>
        <w:spacing w:after="120"/>
        <w:ind w:left="867" w:hanging="357"/>
        <w:rPr>
          <w:rFonts w:ascii="Calibri" w:hAnsi="Calibri"/>
        </w:rPr>
      </w:pPr>
      <w:r>
        <w:rPr>
          <w:rFonts w:ascii="Calibri" w:hAnsi="Calibri"/>
        </w:rPr>
        <w:t>a risk rating post-application of controls;</w:t>
      </w:r>
    </w:p>
    <w:p w:rsidR="00D52614" w:rsidRPr="009A79CD" w:rsidRDefault="00D52614" w:rsidP="00D52614">
      <w:pPr>
        <w:pStyle w:val="ColorfulList-Accent11"/>
        <w:numPr>
          <w:ilvl w:val="1"/>
          <w:numId w:val="6"/>
        </w:numPr>
        <w:spacing w:after="120"/>
        <w:ind w:left="867" w:hanging="357"/>
        <w:rPr>
          <w:rFonts w:ascii="Calibri" w:hAnsi="Calibri"/>
        </w:rPr>
      </w:pPr>
      <w:r w:rsidRPr="009A79CD">
        <w:rPr>
          <w:rFonts w:ascii="Calibri" w:hAnsi="Calibri"/>
        </w:rPr>
        <w:t>indication of any recommendations made (or anticipated) by Worksafe ACT; and</w:t>
      </w:r>
    </w:p>
    <w:p w:rsidR="00D52614" w:rsidRPr="00A22B40" w:rsidRDefault="00D52614" w:rsidP="00D52614">
      <w:pPr>
        <w:pStyle w:val="ColorfulList-Accent11"/>
        <w:numPr>
          <w:ilvl w:val="1"/>
          <w:numId w:val="6"/>
        </w:numPr>
        <w:spacing w:after="120"/>
        <w:ind w:left="867" w:hanging="357"/>
        <w:rPr>
          <w:rFonts w:ascii="Calibri" w:hAnsi="Calibri"/>
        </w:rPr>
      </w:pPr>
      <w:r w:rsidRPr="009A79CD">
        <w:rPr>
          <w:rFonts w:ascii="Calibri" w:hAnsi="Calibri"/>
        </w:rPr>
        <w:t>a review date when the action taken to eliminate</w:t>
      </w:r>
      <w:r>
        <w:rPr>
          <w:rFonts w:ascii="Calibri" w:hAnsi="Calibri"/>
        </w:rPr>
        <w:t>/control</w:t>
      </w:r>
      <w:r w:rsidRPr="009A79CD">
        <w:rPr>
          <w:rFonts w:ascii="Calibri" w:hAnsi="Calibri"/>
        </w:rPr>
        <w:t xml:space="preserve"> the risk of the accident or incident recurring will be evaluated.</w:t>
      </w:r>
    </w:p>
    <w:p w:rsidR="00D52614" w:rsidRDefault="00D52614" w:rsidP="00D52614">
      <w:pPr>
        <w:pStyle w:val="ColorfulList-Accent11"/>
        <w:numPr>
          <w:ilvl w:val="0"/>
          <w:numId w:val="6"/>
        </w:numPr>
        <w:spacing w:after="120"/>
        <w:rPr>
          <w:rFonts w:ascii="Calibri" w:hAnsi="Calibri" w:cs="Arial"/>
        </w:rPr>
      </w:pPr>
      <w:r w:rsidRPr="00F01610">
        <w:rPr>
          <w:rFonts w:ascii="Calibri" w:hAnsi="Calibri" w:cs="Arial"/>
        </w:rPr>
        <w:t>provide a w</w:t>
      </w:r>
      <w:r>
        <w:rPr>
          <w:rFonts w:ascii="Calibri" w:hAnsi="Calibri" w:cs="Arial"/>
        </w:rPr>
        <w:t>ritten copy of the investigation</w:t>
      </w:r>
      <w:r w:rsidRPr="00F01610">
        <w:rPr>
          <w:rFonts w:ascii="Calibri" w:hAnsi="Calibri" w:cs="Arial"/>
        </w:rPr>
        <w:t xml:space="preserve"> documentation to WorkSafe ACT</w:t>
      </w:r>
      <w:r>
        <w:rPr>
          <w:rFonts w:ascii="Calibri" w:hAnsi="Calibri" w:cs="Arial"/>
        </w:rPr>
        <w:t xml:space="preserve"> if requested;</w:t>
      </w:r>
    </w:p>
    <w:p w:rsidR="00D52614" w:rsidRDefault="00D52614" w:rsidP="00D52614">
      <w:pPr>
        <w:pStyle w:val="ColorfulList-Accent11"/>
        <w:numPr>
          <w:ilvl w:val="0"/>
          <w:numId w:val="6"/>
        </w:numPr>
        <w:spacing w:after="120"/>
        <w:rPr>
          <w:rFonts w:ascii="Calibri" w:hAnsi="Calibri" w:cs="Arial"/>
        </w:rPr>
      </w:pPr>
      <w:r w:rsidRPr="00F01610">
        <w:rPr>
          <w:rFonts w:ascii="Calibri" w:hAnsi="Calibri" w:cs="Arial"/>
        </w:rPr>
        <w:t xml:space="preserve">collect, use and store any information associated with the </w:t>
      </w:r>
      <w:r>
        <w:rPr>
          <w:rFonts w:ascii="Calibri" w:hAnsi="Calibri" w:cs="Arial"/>
        </w:rPr>
        <w:t>investigation</w:t>
      </w:r>
      <w:r w:rsidRPr="00F01610">
        <w:rPr>
          <w:rFonts w:ascii="Calibri" w:hAnsi="Calibri" w:cs="Arial"/>
        </w:rPr>
        <w:t xml:space="preserve"> in line with privacy principles</w:t>
      </w:r>
      <w:r>
        <w:rPr>
          <w:rStyle w:val="FootnoteReference"/>
          <w:rFonts w:ascii="Calibri" w:hAnsi="Calibri" w:cs="Arial"/>
        </w:rPr>
        <w:footnoteReference w:id="1"/>
      </w:r>
      <w:r>
        <w:rPr>
          <w:rFonts w:ascii="Calibri" w:hAnsi="Calibri" w:cs="Arial"/>
        </w:rPr>
        <w:t>; and</w:t>
      </w:r>
    </w:p>
    <w:p w:rsidR="00D52614" w:rsidRPr="00A22B40" w:rsidRDefault="00D52614" w:rsidP="00D52614">
      <w:pPr>
        <w:pStyle w:val="ColorfulList-Accent11"/>
        <w:numPr>
          <w:ilvl w:val="0"/>
          <w:numId w:val="6"/>
        </w:numPr>
        <w:spacing w:after="120"/>
        <w:rPr>
          <w:rFonts w:ascii="Calibri" w:hAnsi="Calibri" w:cs="Arial"/>
        </w:rPr>
      </w:pPr>
      <w:r w:rsidRPr="00356A11">
        <w:rPr>
          <w:rFonts w:ascii="Calibri" w:hAnsi="Calibri" w:cs="Arial"/>
        </w:rPr>
        <w:t>consult with relevant workers regarding the results of the investigation and any proposed changes to policies, practices or procedures which affect them</w:t>
      </w:r>
      <w:r>
        <w:t>.</w:t>
      </w:r>
    </w:p>
    <w:p w:rsidR="00D52614" w:rsidRPr="00A22B40" w:rsidRDefault="00D52614" w:rsidP="00D52614">
      <w:r w:rsidRPr="00A22B40">
        <w:t>Directorates and entities may choose to undertake a formal internal workplace accident/incident investigation when a non-notifiable incident has occurred, however, in this situation, would not be required to provide WorkSafe ACT with any documentation pertaining to that assessment.</w:t>
      </w:r>
    </w:p>
    <w:p w:rsidR="00D52614" w:rsidRPr="00356A11" w:rsidRDefault="00D52614" w:rsidP="00D52614">
      <w:pPr>
        <w:rPr>
          <w:rFonts w:cs="Arial"/>
        </w:rPr>
      </w:pPr>
      <w:r w:rsidRPr="004B398A">
        <w:t>Information and assistance</w:t>
      </w:r>
      <w:r w:rsidR="000C0B7A">
        <w:t xml:space="preserve"> for directorates/other entities</w:t>
      </w:r>
      <w:r w:rsidRPr="004B398A">
        <w:t xml:space="preserve"> on work health and safety risk management may be obtained through the Workplace Health and Safety Management System or requested from the Safety Support Team, CMTEDD.</w:t>
      </w:r>
    </w:p>
    <w:p w:rsidR="00D52614" w:rsidRDefault="00D52614" w:rsidP="0001685F">
      <w:pPr>
        <w:tabs>
          <w:tab w:val="left" w:pos="6946"/>
        </w:tabs>
        <w:ind w:rightChars="-18" w:right="-43"/>
        <w:sectPr w:rsidR="00D52614" w:rsidSect="0000397C">
          <w:headerReference w:type="first" r:id="rId11"/>
          <w:pgSz w:w="11907" w:h="16840" w:code="9"/>
          <w:pgMar w:top="855" w:right="1440" w:bottom="1440" w:left="1440" w:header="568" w:footer="851" w:gutter="0"/>
          <w:cols w:space="720"/>
          <w:titlePg/>
          <w:docGrid w:linePitch="326"/>
        </w:sectPr>
      </w:pPr>
    </w:p>
    <w:p w:rsidR="00FF5840" w:rsidRDefault="0084369C" w:rsidP="00FF5840">
      <w:pPr>
        <w:tabs>
          <w:tab w:val="left" w:pos="6946"/>
        </w:tabs>
        <w:spacing w:after="120"/>
        <w:ind w:rightChars="-18" w:right="-43"/>
        <w:rPr>
          <w:rFonts w:cs="Arial"/>
        </w:rPr>
        <w:sectPr w:rsidR="00FF5840" w:rsidSect="0000397C">
          <w:headerReference w:type="first" r:id="rId12"/>
          <w:type w:val="continuous"/>
          <w:pgSz w:w="16840" w:h="11907" w:orient="landscape" w:code="9"/>
          <w:pgMar w:top="1440" w:right="856" w:bottom="1440" w:left="1440" w:header="567" w:footer="454" w:gutter="0"/>
          <w:cols w:space="720"/>
          <w:titlePg/>
          <w:docGrid w:linePitch="326"/>
        </w:sectPr>
      </w:pPr>
      <w:r w:rsidRPr="0084369C">
        <w:rPr>
          <w:b/>
          <w:sz w:val="26"/>
          <w:szCs w:val="26"/>
        </w:rPr>
        <w:lastRenderedPageBreak/>
        <w:t>Annexe B – Who to report an accident/incident to</w:t>
      </w:r>
    </w:p>
    <w:tbl>
      <w:tblPr>
        <w:tblW w:w="14885" w:type="dxa"/>
        <w:jc w:val="center"/>
        <w:tblBorders>
          <w:top w:val="single" w:sz="8" w:space="0" w:color="000000"/>
          <w:left w:val="single" w:sz="8" w:space="0" w:color="000000"/>
          <w:bottom w:val="single" w:sz="8" w:space="0" w:color="000000"/>
          <w:right w:val="single" w:sz="8" w:space="0" w:color="000000"/>
        </w:tblBorders>
        <w:tblLook w:val="04A0"/>
      </w:tblPr>
      <w:tblGrid>
        <w:gridCol w:w="3120"/>
        <w:gridCol w:w="3685"/>
        <w:gridCol w:w="5245"/>
        <w:gridCol w:w="2835"/>
      </w:tblGrid>
      <w:tr w:rsidR="00FF5840" w:rsidRPr="007D7C64" w:rsidTr="00E35D04">
        <w:trPr>
          <w:jc w:val="center"/>
        </w:trPr>
        <w:tc>
          <w:tcPr>
            <w:tcW w:w="3120" w:type="dxa"/>
            <w:shd w:val="clear" w:color="auto" w:fill="000000"/>
          </w:tcPr>
          <w:p w:rsidR="00FF5840" w:rsidRPr="00E35D04" w:rsidRDefault="00FF5840" w:rsidP="00E35D04">
            <w:pPr>
              <w:jc w:val="center"/>
              <w:rPr>
                <w:rFonts w:cs="Arial"/>
                <w:b/>
                <w:bCs/>
                <w:color w:val="FFFFFF"/>
              </w:rPr>
            </w:pPr>
            <w:r w:rsidRPr="00E35D04">
              <w:rPr>
                <w:rFonts w:cs="Arial"/>
                <w:b/>
                <w:bCs/>
                <w:color w:val="FFFFFF"/>
              </w:rPr>
              <w:lastRenderedPageBreak/>
              <w:t>Type of incident</w:t>
            </w:r>
          </w:p>
        </w:tc>
        <w:tc>
          <w:tcPr>
            <w:tcW w:w="3685" w:type="dxa"/>
            <w:shd w:val="clear" w:color="auto" w:fill="000000"/>
          </w:tcPr>
          <w:p w:rsidR="00FF5840" w:rsidRPr="00E35D04" w:rsidRDefault="00FF5840" w:rsidP="00E35D04">
            <w:pPr>
              <w:jc w:val="center"/>
              <w:rPr>
                <w:rFonts w:cs="Arial"/>
                <w:b/>
                <w:bCs/>
                <w:color w:val="FFFFFF"/>
              </w:rPr>
            </w:pPr>
            <w:r w:rsidRPr="00E35D04">
              <w:rPr>
                <w:rFonts w:cs="Arial"/>
                <w:b/>
                <w:bCs/>
                <w:color w:val="FFFFFF"/>
              </w:rPr>
              <w:t>Report to</w:t>
            </w:r>
          </w:p>
        </w:tc>
        <w:tc>
          <w:tcPr>
            <w:tcW w:w="5245" w:type="dxa"/>
            <w:shd w:val="clear" w:color="auto" w:fill="000000"/>
          </w:tcPr>
          <w:p w:rsidR="00FF5840" w:rsidRPr="00E35D04" w:rsidRDefault="00FF5840" w:rsidP="00E35D04">
            <w:pPr>
              <w:jc w:val="center"/>
              <w:rPr>
                <w:rFonts w:cs="Arial"/>
                <w:b/>
                <w:bCs/>
                <w:color w:val="FFFFFF"/>
              </w:rPr>
            </w:pPr>
            <w:r w:rsidRPr="00E35D04">
              <w:rPr>
                <w:rFonts w:cs="Arial"/>
                <w:b/>
                <w:bCs/>
                <w:color w:val="FFFFFF"/>
              </w:rPr>
              <w:t>When</w:t>
            </w:r>
          </w:p>
        </w:tc>
        <w:tc>
          <w:tcPr>
            <w:tcW w:w="2835" w:type="dxa"/>
            <w:shd w:val="clear" w:color="auto" w:fill="000000"/>
          </w:tcPr>
          <w:p w:rsidR="00FF5840" w:rsidRPr="00E35D04" w:rsidRDefault="00FF5840" w:rsidP="00E35D04">
            <w:pPr>
              <w:jc w:val="center"/>
              <w:rPr>
                <w:rFonts w:cs="Arial"/>
                <w:b/>
                <w:bCs/>
                <w:color w:val="FFFFFF"/>
              </w:rPr>
            </w:pPr>
            <w:r w:rsidRPr="00E35D04">
              <w:rPr>
                <w:rFonts w:cs="Arial"/>
                <w:b/>
                <w:bCs/>
                <w:color w:val="FFFFFF"/>
              </w:rPr>
              <w:t>Also consider notifying</w:t>
            </w:r>
          </w:p>
        </w:tc>
      </w:tr>
      <w:tr w:rsidR="0084369C" w:rsidRPr="007D7C64" w:rsidTr="00E35D04">
        <w:trPr>
          <w:jc w:val="center"/>
        </w:trPr>
        <w:tc>
          <w:tcPr>
            <w:tcW w:w="3120" w:type="dxa"/>
            <w:tcBorders>
              <w:top w:val="single" w:sz="8" w:space="0" w:color="000000"/>
              <w:left w:val="single" w:sz="8" w:space="0" w:color="000000"/>
              <w:bottom w:val="single" w:sz="8" w:space="0" w:color="000000"/>
            </w:tcBorders>
          </w:tcPr>
          <w:p w:rsidR="0084369C" w:rsidRPr="00E35D04" w:rsidRDefault="0084369C" w:rsidP="0057357E">
            <w:pPr>
              <w:rPr>
                <w:rFonts w:cs="Arial"/>
                <w:b/>
                <w:bCs/>
              </w:rPr>
            </w:pPr>
            <w:r w:rsidRPr="00E35D04">
              <w:rPr>
                <w:rFonts w:cs="Arial"/>
                <w:b/>
                <w:bCs/>
              </w:rPr>
              <w:t xml:space="preserve">Notifiable Incident (NI): </w:t>
            </w:r>
          </w:p>
          <w:p w:rsidR="0084369C" w:rsidRPr="00E35D04" w:rsidRDefault="0084369C" w:rsidP="00E35D04">
            <w:pPr>
              <w:pStyle w:val="ColorfulList-Accent11"/>
              <w:numPr>
                <w:ilvl w:val="0"/>
                <w:numId w:val="7"/>
              </w:numPr>
              <w:ind w:left="284" w:hanging="284"/>
              <w:rPr>
                <w:rFonts w:ascii="Calibri" w:hAnsi="Calibri" w:cs="Arial"/>
                <w:b/>
                <w:bCs/>
                <w:sz w:val="22"/>
                <w:szCs w:val="22"/>
              </w:rPr>
            </w:pPr>
            <w:r w:rsidRPr="00E35D04">
              <w:rPr>
                <w:rFonts w:ascii="Calibri" w:hAnsi="Calibri" w:cs="Arial"/>
                <w:b/>
                <w:bCs/>
                <w:sz w:val="22"/>
                <w:szCs w:val="22"/>
              </w:rPr>
              <w:t>Death of a person;</w:t>
            </w:r>
          </w:p>
          <w:p w:rsidR="0084369C" w:rsidRPr="00E35D04" w:rsidRDefault="0084369C" w:rsidP="00E35D04">
            <w:pPr>
              <w:pStyle w:val="ColorfulList-Accent11"/>
              <w:numPr>
                <w:ilvl w:val="0"/>
                <w:numId w:val="7"/>
              </w:numPr>
              <w:ind w:left="284" w:hanging="284"/>
              <w:rPr>
                <w:rFonts w:ascii="Calibri" w:hAnsi="Calibri" w:cs="Arial"/>
                <w:b/>
                <w:bCs/>
                <w:sz w:val="22"/>
                <w:szCs w:val="22"/>
              </w:rPr>
            </w:pPr>
            <w:r w:rsidRPr="00E35D04">
              <w:rPr>
                <w:rFonts w:ascii="Calibri" w:hAnsi="Calibri" w:cs="Arial"/>
                <w:b/>
                <w:bCs/>
                <w:sz w:val="22"/>
                <w:szCs w:val="22"/>
              </w:rPr>
              <w:t>Serious illness/injury; OR</w:t>
            </w:r>
          </w:p>
          <w:p w:rsidR="0084369C" w:rsidRPr="00E35D04" w:rsidRDefault="0084369C" w:rsidP="00E35D04">
            <w:pPr>
              <w:pStyle w:val="ColorfulList-Accent11"/>
              <w:numPr>
                <w:ilvl w:val="0"/>
                <w:numId w:val="7"/>
              </w:numPr>
              <w:ind w:left="284" w:hanging="284"/>
              <w:rPr>
                <w:rFonts w:ascii="Calibri" w:hAnsi="Calibri" w:cs="Arial"/>
                <w:b/>
                <w:bCs/>
                <w:sz w:val="22"/>
                <w:szCs w:val="22"/>
              </w:rPr>
            </w:pPr>
            <w:r w:rsidRPr="00E35D04">
              <w:rPr>
                <w:rFonts w:ascii="Calibri" w:hAnsi="Calibri" w:cs="Arial"/>
                <w:b/>
                <w:bCs/>
                <w:sz w:val="22"/>
                <w:szCs w:val="22"/>
              </w:rPr>
              <w:t>Dangerous Incident</w:t>
            </w:r>
          </w:p>
          <w:p w:rsidR="0084369C" w:rsidRPr="00E35D04" w:rsidRDefault="0084369C" w:rsidP="00E35D04">
            <w:pPr>
              <w:pStyle w:val="ColorfulList-Accent11"/>
              <w:ind w:left="284"/>
              <w:rPr>
                <w:rFonts w:ascii="Calibri" w:hAnsi="Calibri" w:cs="Arial"/>
                <w:b/>
                <w:bCs/>
                <w:sz w:val="22"/>
                <w:szCs w:val="22"/>
              </w:rPr>
            </w:pPr>
          </w:p>
          <w:p w:rsidR="0084369C" w:rsidRPr="00E35D04" w:rsidRDefault="0084369C" w:rsidP="00E35D04">
            <w:pPr>
              <w:pStyle w:val="ColorfulList-Accent11"/>
              <w:ind w:left="0"/>
              <w:rPr>
                <w:rFonts w:ascii="Calibri" w:hAnsi="Calibri" w:cs="Arial"/>
                <w:b/>
                <w:bCs/>
                <w:sz w:val="22"/>
                <w:szCs w:val="22"/>
              </w:rPr>
            </w:pPr>
            <w:r w:rsidRPr="00E35D04">
              <w:rPr>
                <w:rFonts w:ascii="Calibri" w:hAnsi="Calibri" w:cs="Arial"/>
                <w:b/>
                <w:bCs/>
                <w:sz w:val="22"/>
                <w:szCs w:val="22"/>
              </w:rPr>
              <w:t xml:space="preserve">The above terms are defined in the </w:t>
            </w:r>
            <w:r w:rsidRPr="00E35D04">
              <w:rPr>
                <w:rFonts w:ascii="Calibri" w:hAnsi="Calibri" w:cs="Arial"/>
                <w:b/>
                <w:bCs/>
                <w:i/>
                <w:sz w:val="22"/>
                <w:szCs w:val="22"/>
              </w:rPr>
              <w:t>Work Health Safety Act 2011</w:t>
            </w:r>
          </w:p>
        </w:tc>
        <w:tc>
          <w:tcPr>
            <w:tcW w:w="3685" w:type="dxa"/>
            <w:tcBorders>
              <w:top w:val="single" w:sz="8" w:space="0" w:color="000000"/>
              <w:bottom w:val="single" w:sz="8" w:space="0" w:color="000000"/>
            </w:tcBorders>
          </w:tcPr>
          <w:p w:rsidR="0084369C" w:rsidRPr="00E35D04" w:rsidRDefault="0084369C" w:rsidP="00E35D04">
            <w:pPr>
              <w:spacing w:after="120"/>
              <w:rPr>
                <w:rFonts w:cs="Arial"/>
                <w:sz w:val="22"/>
                <w:szCs w:val="22"/>
              </w:rPr>
            </w:pPr>
            <w:r w:rsidRPr="00E35D04">
              <w:rPr>
                <w:rFonts w:cs="Arial"/>
                <w:sz w:val="22"/>
                <w:szCs w:val="22"/>
              </w:rPr>
              <w:t xml:space="preserve">1. Workplace supervisor/manager </w:t>
            </w:r>
          </w:p>
          <w:p w:rsidR="0084369C" w:rsidRPr="00E35D04" w:rsidRDefault="0084369C" w:rsidP="00E35D04">
            <w:pPr>
              <w:spacing w:after="120"/>
              <w:rPr>
                <w:rFonts w:cs="Arial"/>
                <w:sz w:val="22"/>
                <w:szCs w:val="22"/>
              </w:rPr>
            </w:pPr>
            <w:r w:rsidRPr="00E35D04">
              <w:rPr>
                <w:rFonts w:cs="Arial"/>
                <w:sz w:val="22"/>
                <w:szCs w:val="22"/>
              </w:rPr>
              <w:t>2. WorkSafe ACT (report to be made by the workplace supervisor/manager)</w:t>
            </w:r>
          </w:p>
          <w:p w:rsidR="0084369C" w:rsidRPr="00E35D04" w:rsidRDefault="004426C2" w:rsidP="00E35D04">
            <w:pPr>
              <w:spacing w:after="120"/>
              <w:rPr>
                <w:rFonts w:cs="Arial"/>
                <w:sz w:val="22"/>
                <w:szCs w:val="22"/>
              </w:rPr>
            </w:pPr>
            <w:r w:rsidRPr="00E35D04">
              <w:rPr>
                <w:rFonts w:cs="Arial"/>
                <w:sz w:val="22"/>
                <w:szCs w:val="22"/>
              </w:rPr>
              <w:t>3. Directorate WHS area</w:t>
            </w:r>
            <w:bookmarkStart w:id="8" w:name="_Ref450307691"/>
            <w:r w:rsidR="00FF5840" w:rsidRPr="00E35D04">
              <w:rPr>
                <w:rStyle w:val="FootnoteReference"/>
                <w:rFonts w:cs="Arial"/>
                <w:sz w:val="22"/>
                <w:szCs w:val="22"/>
              </w:rPr>
              <w:footnoteReference w:id="2"/>
            </w:r>
            <w:bookmarkEnd w:id="8"/>
            <w:r w:rsidR="0084369C" w:rsidRPr="00E35D04">
              <w:rPr>
                <w:rFonts w:cs="Arial"/>
                <w:sz w:val="22"/>
                <w:szCs w:val="22"/>
              </w:rPr>
              <w:t>/Safety Support team</w:t>
            </w:r>
          </w:p>
          <w:p w:rsidR="0084369C" w:rsidRPr="00E35D04" w:rsidRDefault="0084369C" w:rsidP="00E35D04">
            <w:pPr>
              <w:spacing w:after="120"/>
              <w:rPr>
                <w:rFonts w:cs="Arial"/>
                <w:sz w:val="22"/>
                <w:szCs w:val="22"/>
              </w:rPr>
            </w:pPr>
            <w:r w:rsidRPr="00E35D04">
              <w:rPr>
                <w:rFonts w:cs="Arial"/>
                <w:sz w:val="22"/>
                <w:szCs w:val="22"/>
              </w:rPr>
              <w:t>4. ACTIA (if appropriate)</w:t>
            </w:r>
          </w:p>
          <w:p w:rsidR="0084369C" w:rsidRPr="00E35D04" w:rsidRDefault="0084369C" w:rsidP="00E35D04">
            <w:pPr>
              <w:spacing w:after="120"/>
              <w:rPr>
                <w:sz w:val="22"/>
                <w:szCs w:val="22"/>
              </w:rPr>
            </w:pPr>
            <w:r w:rsidRPr="00E35D04">
              <w:rPr>
                <w:rFonts w:cs="Arial"/>
                <w:sz w:val="22"/>
                <w:szCs w:val="22"/>
              </w:rPr>
              <w:t>5. CMTEDD</w:t>
            </w:r>
            <w:r w:rsidR="00FF5840" w:rsidRPr="00E35D04">
              <w:rPr>
                <w:rFonts w:cs="Arial"/>
                <w:sz w:val="22"/>
                <w:szCs w:val="22"/>
                <w:vertAlign w:val="superscript"/>
              </w:rPr>
              <w:t>1</w:t>
            </w:r>
          </w:p>
        </w:tc>
        <w:tc>
          <w:tcPr>
            <w:tcW w:w="5245" w:type="dxa"/>
            <w:tcBorders>
              <w:top w:val="single" w:sz="8" w:space="0" w:color="000000"/>
              <w:bottom w:val="single" w:sz="8" w:space="0" w:color="000000"/>
            </w:tcBorders>
          </w:tcPr>
          <w:p w:rsidR="0084369C" w:rsidRPr="00E35D04" w:rsidRDefault="0084369C" w:rsidP="00E35D04">
            <w:pPr>
              <w:spacing w:after="120"/>
              <w:rPr>
                <w:rFonts w:cs="Arial"/>
                <w:sz w:val="22"/>
                <w:szCs w:val="22"/>
              </w:rPr>
            </w:pPr>
            <w:r w:rsidRPr="00E35D04">
              <w:rPr>
                <w:rFonts w:cs="Arial"/>
                <w:sz w:val="22"/>
                <w:szCs w:val="22"/>
              </w:rPr>
              <w:t>1. Immediately</w:t>
            </w:r>
          </w:p>
          <w:p w:rsidR="0084369C" w:rsidRPr="00E35D04" w:rsidRDefault="0084369C" w:rsidP="00E35D04">
            <w:pPr>
              <w:spacing w:after="120"/>
              <w:rPr>
                <w:rFonts w:cs="Arial"/>
                <w:sz w:val="22"/>
                <w:szCs w:val="22"/>
              </w:rPr>
            </w:pPr>
            <w:r w:rsidRPr="00E35D04">
              <w:rPr>
                <w:rFonts w:cs="Arial"/>
                <w:sz w:val="22"/>
                <w:szCs w:val="22"/>
              </w:rPr>
              <w:t>2. Immediately after becoming aware that a notifiable incident has occurred and by the fastest possible means (AND a written report</w:t>
            </w:r>
            <w:r w:rsidR="002F3B25" w:rsidRPr="00E35D04">
              <w:rPr>
                <w:rFonts w:cs="Arial"/>
                <w:sz w:val="22"/>
                <w:szCs w:val="22"/>
              </w:rPr>
              <w:t xml:space="preserve"> to be provided within 48 hours</w:t>
            </w:r>
            <w:r w:rsidR="002F3B25" w:rsidRPr="00E35D04">
              <w:rPr>
                <w:rStyle w:val="FootnoteReference"/>
                <w:rFonts w:cs="Arial"/>
                <w:sz w:val="22"/>
                <w:szCs w:val="22"/>
              </w:rPr>
              <w:footnoteReference w:id="3"/>
            </w:r>
            <w:r w:rsidRPr="00E35D04">
              <w:rPr>
                <w:rFonts w:cs="Arial"/>
                <w:sz w:val="22"/>
                <w:szCs w:val="22"/>
              </w:rPr>
              <w:t>)</w:t>
            </w:r>
          </w:p>
          <w:p w:rsidR="0084369C" w:rsidRPr="00E35D04" w:rsidRDefault="0084369C" w:rsidP="00E35D04">
            <w:pPr>
              <w:spacing w:after="120"/>
              <w:rPr>
                <w:rFonts w:cs="Arial"/>
                <w:sz w:val="22"/>
                <w:szCs w:val="22"/>
              </w:rPr>
            </w:pPr>
            <w:r w:rsidRPr="00E35D04">
              <w:rPr>
                <w:rFonts w:cs="Arial"/>
                <w:sz w:val="22"/>
                <w:szCs w:val="22"/>
              </w:rPr>
              <w:t>3. As soon as practicable after the NI has occurred and in writing within 48 hours</w:t>
            </w:r>
          </w:p>
          <w:p w:rsidR="0084369C" w:rsidRPr="00E35D04" w:rsidRDefault="0084369C" w:rsidP="00E35D04">
            <w:pPr>
              <w:spacing w:after="120"/>
              <w:rPr>
                <w:rFonts w:cs="Arial"/>
                <w:sz w:val="22"/>
                <w:szCs w:val="22"/>
              </w:rPr>
            </w:pPr>
            <w:r w:rsidRPr="00E35D04">
              <w:rPr>
                <w:rFonts w:cs="Arial"/>
                <w:sz w:val="22"/>
                <w:szCs w:val="22"/>
              </w:rPr>
              <w:t>4. Within 10 work days</w:t>
            </w:r>
          </w:p>
          <w:p w:rsidR="0084369C" w:rsidRPr="00E35D04" w:rsidRDefault="0084369C" w:rsidP="00E35D04">
            <w:pPr>
              <w:spacing w:after="120"/>
              <w:rPr>
                <w:rFonts w:cs="Arial"/>
                <w:sz w:val="22"/>
                <w:szCs w:val="22"/>
              </w:rPr>
            </w:pPr>
            <w:r w:rsidRPr="00E35D04">
              <w:rPr>
                <w:rFonts w:cs="Arial"/>
                <w:sz w:val="22"/>
                <w:szCs w:val="22"/>
              </w:rPr>
              <w:t>5. Within 48 hours</w:t>
            </w:r>
          </w:p>
        </w:tc>
        <w:tc>
          <w:tcPr>
            <w:tcW w:w="2835" w:type="dxa"/>
            <w:vMerge w:val="restart"/>
            <w:tcBorders>
              <w:top w:val="single" w:sz="8" w:space="0" w:color="000000"/>
              <w:bottom w:val="single" w:sz="8" w:space="0" w:color="000000"/>
              <w:right w:val="single" w:sz="8" w:space="0" w:color="000000"/>
            </w:tcBorders>
          </w:tcPr>
          <w:p w:rsidR="0084369C" w:rsidRPr="00E35D04" w:rsidRDefault="0084369C" w:rsidP="00E35D04">
            <w:pPr>
              <w:spacing w:after="120"/>
              <w:rPr>
                <w:rFonts w:cs="Arial"/>
                <w:sz w:val="22"/>
              </w:rPr>
            </w:pPr>
            <w:r w:rsidRPr="00E35D04">
              <w:rPr>
                <w:rFonts w:cs="Arial"/>
                <w:sz w:val="22"/>
              </w:rPr>
              <w:t>HR Director</w:t>
            </w:r>
          </w:p>
          <w:p w:rsidR="0084369C" w:rsidRPr="00E35D04" w:rsidRDefault="0084369C" w:rsidP="00E35D04">
            <w:pPr>
              <w:spacing w:after="120"/>
              <w:rPr>
                <w:rFonts w:cs="Arial"/>
                <w:sz w:val="22"/>
              </w:rPr>
            </w:pPr>
            <w:r w:rsidRPr="00E35D04">
              <w:rPr>
                <w:rFonts w:cs="Arial"/>
                <w:sz w:val="22"/>
              </w:rPr>
              <w:t xml:space="preserve">Health and Safety </w:t>
            </w:r>
          </w:p>
          <w:p w:rsidR="0084369C" w:rsidRPr="00E35D04" w:rsidRDefault="0084369C" w:rsidP="00E35D04">
            <w:pPr>
              <w:spacing w:after="120"/>
              <w:rPr>
                <w:rFonts w:cs="Arial"/>
                <w:sz w:val="22"/>
              </w:rPr>
            </w:pPr>
            <w:r w:rsidRPr="00E35D04">
              <w:rPr>
                <w:rFonts w:cs="Arial"/>
                <w:sz w:val="22"/>
              </w:rPr>
              <w:t>Head of Service and Director-General of the directorate or entity (in the even</w:t>
            </w:r>
            <w:r w:rsidR="002F3B25" w:rsidRPr="00E35D04">
              <w:rPr>
                <w:rFonts w:cs="Arial"/>
                <w:sz w:val="22"/>
              </w:rPr>
              <w:t>t of a workplace fatality the Ho</w:t>
            </w:r>
            <w:r w:rsidRPr="00E35D04">
              <w:rPr>
                <w:rFonts w:cs="Arial"/>
                <w:sz w:val="22"/>
              </w:rPr>
              <w:t>S and DG will be informed automatically).</w:t>
            </w:r>
          </w:p>
          <w:p w:rsidR="0084369C" w:rsidRPr="00E35D04" w:rsidRDefault="0084369C" w:rsidP="00E35D04">
            <w:pPr>
              <w:spacing w:after="120"/>
              <w:rPr>
                <w:rFonts w:cs="Arial"/>
              </w:rPr>
            </w:pPr>
            <w:r w:rsidRPr="00E35D04">
              <w:rPr>
                <w:rFonts w:cs="Arial"/>
                <w:sz w:val="22"/>
              </w:rPr>
              <w:t>Health and Safety Representative (HSR) for relevant work group (noting point 14 of this policy)</w:t>
            </w:r>
          </w:p>
        </w:tc>
      </w:tr>
      <w:tr w:rsidR="0084369C" w:rsidRPr="007D7C64" w:rsidTr="00E35D04">
        <w:trPr>
          <w:trHeight w:val="1705"/>
          <w:jc w:val="center"/>
        </w:trPr>
        <w:tc>
          <w:tcPr>
            <w:tcW w:w="3120" w:type="dxa"/>
          </w:tcPr>
          <w:p w:rsidR="0084369C" w:rsidRPr="00E35D04" w:rsidRDefault="0084369C" w:rsidP="0057357E">
            <w:pPr>
              <w:rPr>
                <w:rFonts w:cs="Arial"/>
                <w:b/>
                <w:bCs/>
              </w:rPr>
            </w:pPr>
            <w:r w:rsidRPr="00E35D04">
              <w:rPr>
                <w:rFonts w:cs="Arial"/>
                <w:b/>
                <w:bCs/>
              </w:rPr>
              <w:t>Non-notifiable accidents/ incidents involving ACTPS employees</w:t>
            </w:r>
          </w:p>
        </w:tc>
        <w:tc>
          <w:tcPr>
            <w:tcW w:w="3685" w:type="dxa"/>
          </w:tcPr>
          <w:p w:rsidR="0084369C" w:rsidRPr="00E35D04" w:rsidRDefault="00FF5840" w:rsidP="00E35D04">
            <w:pPr>
              <w:spacing w:after="120"/>
              <w:rPr>
                <w:rFonts w:cs="Arial"/>
                <w:sz w:val="22"/>
                <w:szCs w:val="22"/>
              </w:rPr>
            </w:pPr>
            <w:r w:rsidRPr="00E35D04">
              <w:rPr>
                <w:rFonts w:cs="Arial"/>
                <w:sz w:val="22"/>
                <w:szCs w:val="22"/>
              </w:rPr>
              <w:t>1. Supervisor</w:t>
            </w:r>
          </w:p>
          <w:p w:rsidR="0084369C" w:rsidRPr="00E35D04" w:rsidRDefault="00FF5840" w:rsidP="00E35D04">
            <w:pPr>
              <w:spacing w:after="120"/>
              <w:rPr>
                <w:rFonts w:cs="Arial"/>
                <w:sz w:val="22"/>
                <w:szCs w:val="22"/>
              </w:rPr>
            </w:pPr>
            <w:r w:rsidRPr="00E35D04">
              <w:rPr>
                <w:rFonts w:cs="Arial"/>
                <w:sz w:val="22"/>
                <w:szCs w:val="22"/>
              </w:rPr>
              <w:t>2. Directorate WHS area</w:t>
            </w:r>
            <w:r w:rsidRPr="00E35D04">
              <w:rPr>
                <w:rFonts w:cs="Arial"/>
                <w:sz w:val="22"/>
                <w:szCs w:val="22"/>
                <w:vertAlign w:val="superscript"/>
              </w:rPr>
              <w:t>1</w:t>
            </w:r>
            <w:r w:rsidR="0084369C" w:rsidRPr="00E35D04">
              <w:rPr>
                <w:rFonts w:cs="Arial"/>
                <w:sz w:val="22"/>
                <w:szCs w:val="22"/>
              </w:rPr>
              <w:t>/Safety Support team</w:t>
            </w:r>
            <w:r w:rsidRPr="00E35D04">
              <w:rPr>
                <w:rFonts w:cs="Arial"/>
                <w:sz w:val="22"/>
                <w:szCs w:val="22"/>
              </w:rPr>
              <w:fldChar w:fldCharType="begin"/>
            </w:r>
            <w:r w:rsidRPr="00E35D04">
              <w:rPr>
                <w:rFonts w:cs="Arial"/>
                <w:sz w:val="22"/>
                <w:szCs w:val="22"/>
              </w:rPr>
              <w:instrText xml:space="preserve"> NOTEREF _Ref450307691 \f \h </w:instrText>
            </w:r>
            <w:r w:rsidRPr="00E35D04">
              <w:rPr>
                <w:rFonts w:cs="Arial"/>
                <w:sz w:val="22"/>
                <w:szCs w:val="22"/>
              </w:rPr>
            </w:r>
            <w:r w:rsidR="009D56F5" w:rsidRPr="00E35D04">
              <w:rPr>
                <w:rFonts w:cs="Arial"/>
                <w:sz w:val="22"/>
                <w:szCs w:val="22"/>
              </w:rPr>
              <w:instrText xml:space="preserve"> \* MERGEFORMAT </w:instrText>
            </w:r>
            <w:r w:rsidRPr="00E35D04">
              <w:rPr>
                <w:rFonts w:cs="Arial"/>
                <w:sz w:val="22"/>
                <w:szCs w:val="22"/>
              </w:rPr>
              <w:fldChar w:fldCharType="separate"/>
            </w:r>
            <w:r w:rsidR="0049092D" w:rsidRPr="0049092D">
              <w:rPr>
                <w:rStyle w:val="FootnoteReference"/>
                <w:sz w:val="22"/>
                <w:szCs w:val="22"/>
              </w:rPr>
              <w:t>1</w:t>
            </w:r>
            <w:r w:rsidRPr="00E35D04">
              <w:rPr>
                <w:rFonts w:cs="Arial"/>
                <w:sz w:val="22"/>
                <w:szCs w:val="22"/>
              </w:rPr>
              <w:fldChar w:fldCharType="end"/>
            </w:r>
          </w:p>
          <w:p w:rsidR="0084369C" w:rsidRPr="00E35D04" w:rsidRDefault="0084369C" w:rsidP="00E35D04">
            <w:pPr>
              <w:spacing w:after="120"/>
              <w:rPr>
                <w:rFonts w:cs="Arial"/>
                <w:sz w:val="22"/>
                <w:szCs w:val="22"/>
              </w:rPr>
            </w:pPr>
            <w:r w:rsidRPr="00E35D04">
              <w:rPr>
                <w:rFonts w:cs="Arial"/>
                <w:sz w:val="22"/>
                <w:szCs w:val="22"/>
              </w:rPr>
              <w:t>3. CMTEDD</w:t>
            </w:r>
            <w:r w:rsidR="00FF5840" w:rsidRPr="00E35D04">
              <w:rPr>
                <w:rFonts w:cs="Arial"/>
                <w:sz w:val="22"/>
                <w:szCs w:val="22"/>
                <w:vertAlign w:val="superscript"/>
              </w:rPr>
              <w:t>1</w:t>
            </w:r>
          </w:p>
        </w:tc>
        <w:tc>
          <w:tcPr>
            <w:tcW w:w="5245" w:type="dxa"/>
          </w:tcPr>
          <w:p w:rsidR="0084369C" w:rsidRPr="00E35D04" w:rsidRDefault="0084369C" w:rsidP="00E35D04">
            <w:pPr>
              <w:spacing w:after="120"/>
              <w:rPr>
                <w:rFonts w:cs="Arial"/>
                <w:sz w:val="22"/>
                <w:szCs w:val="22"/>
              </w:rPr>
            </w:pPr>
            <w:r w:rsidRPr="00E35D04">
              <w:rPr>
                <w:rFonts w:cs="Arial"/>
                <w:sz w:val="22"/>
                <w:szCs w:val="22"/>
              </w:rPr>
              <w:t xml:space="preserve"> 1. As soon as practicable</w:t>
            </w:r>
          </w:p>
          <w:p w:rsidR="0084369C" w:rsidRPr="00E35D04" w:rsidRDefault="0084369C" w:rsidP="00E35D04">
            <w:pPr>
              <w:spacing w:after="120"/>
              <w:rPr>
                <w:rFonts w:cs="Arial"/>
                <w:sz w:val="22"/>
                <w:szCs w:val="22"/>
              </w:rPr>
            </w:pPr>
            <w:r w:rsidRPr="00E35D04">
              <w:rPr>
                <w:rFonts w:cs="Arial"/>
                <w:sz w:val="22"/>
                <w:szCs w:val="22"/>
              </w:rPr>
              <w:t>2. Within 2 work days</w:t>
            </w:r>
          </w:p>
          <w:p w:rsidR="0084369C" w:rsidRPr="00E35D04" w:rsidRDefault="0084369C" w:rsidP="00E35D04">
            <w:pPr>
              <w:spacing w:after="120"/>
              <w:rPr>
                <w:rFonts w:cs="Arial"/>
                <w:sz w:val="22"/>
                <w:szCs w:val="22"/>
              </w:rPr>
            </w:pPr>
            <w:r w:rsidRPr="00E35D04">
              <w:rPr>
                <w:rFonts w:cs="Arial"/>
                <w:sz w:val="22"/>
                <w:szCs w:val="22"/>
              </w:rPr>
              <w:t xml:space="preserve">3. Within </w:t>
            </w:r>
            <w:bookmarkStart w:id="9" w:name="_GoBack"/>
            <w:bookmarkEnd w:id="9"/>
            <w:r w:rsidRPr="00E35D04">
              <w:rPr>
                <w:rFonts w:cs="Arial"/>
                <w:sz w:val="22"/>
                <w:szCs w:val="22"/>
              </w:rPr>
              <w:t>2 work days</w:t>
            </w:r>
          </w:p>
        </w:tc>
        <w:tc>
          <w:tcPr>
            <w:tcW w:w="2835" w:type="dxa"/>
            <w:vMerge/>
          </w:tcPr>
          <w:p w:rsidR="0084369C" w:rsidRPr="00E35D04" w:rsidRDefault="0084369C" w:rsidP="0057357E">
            <w:pPr>
              <w:rPr>
                <w:rFonts w:cs="Arial"/>
              </w:rPr>
            </w:pPr>
          </w:p>
        </w:tc>
      </w:tr>
      <w:tr w:rsidR="0084369C" w:rsidRPr="007D7C64" w:rsidTr="00E35D04">
        <w:trPr>
          <w:trHeight w:val="1003"/>
          <w:jc w:val="center"/>
        </w:trPr>
        <w:tc>
          <w:tcPr>
            <w:tcW w:w="3120" w:type="dxa"/>
            <w:tcBorders>
              <w:top w:val="single" w:sz="8" w:space="0" w:color="000000"/>
              <w:left w:val="single" w:sz="8" w:space="0" w:color="000000"/>
              <w:bottom w:val="single" w:sz="8" w:space="0" w:color="000000"/>
            </w:tcBorders>
          </w:tcPr>
          <w:p w:rsidR="0084369C" w:rsidRPr="00E35D04" w:rsidRDefault="0084369C" w:rsidP="0057357E">
            <w:pPr>
              <w:rPr>
                <w:rFonts w:cs="Arial"/>
                <w:b/>
                <w:bCs/>
              </w:rPr>
            </w:pPr>
            <w:r w:rsidRPr="00E35D04">
              <w:rPr>
                <w:rFonts w:cs="Arial"/>
                <w:b/>
                <w:bCs/>
              </w:rPr>
              <w:t>Non-notifiable accidents/incidents involving people who are not ACTPS employees</w:t>
            </w:r>
          </w:p>
        </w:tc>
        <w:tc>
          <w:tcPr>
            <w:tcW w:w="3685" w:type="dxa"/>
            <w:tcBorders>
              <w:top w:val="single" w:sz="8" w:space="0" w:color="000000"/>
              <w:bottom w:val="single" w:sz="8" w:space="0" w:color="000000"/>
            </w:tcBorders>
          </w:tcPr>
          <w:p w:rsidR="0084369C" w:rsidRPr="00E35D04" w:rsidRDefault="0084369C" w:rsidP="00E35D04">
            <w:pPr>
              <w:spacing w:after="120"/>
              <w:rPr>
                <w:rFonts w:cs="Arial"/>
                <w:sz w:val="22"/>
                <w:szCs w:val="22"/>
              </w:rPr>
            </w:pPr>
            <w:r w:rsidRPr="00E35D04">
              <w:rPr>
                <w:rFonts w:cs="Arial"/>
                <w:sz w:val="22"/>
                <w:szCs w:val="22"/>
              </w:rPr>
              <w:t>1. ACTIA (if the accident or incident may give rise to a claim)</w:t>
            </w:r>
          </w:p>
        </w:tc>
        <w:tc>
          <w:tcPr>
            <w:tcW w:w="5245" w:type="dxa"/>
            <w:tcBorders>
              <w:top w:val="single" w:sz="8" w:space="0" w:color="000000"/>
              <w:bottom w:val="single" w:sz="8" w:space="0" w:color="000000"/>
            </w:tcBorders>
          </w:tcPr>
          <w:p w:rsidR="0084369C" w:rsidRPr="00E35D04" w:rsidRDefault="0084369C" w:rsidP="00E35D04">
            <w:pPr>
              <w:spacing w:after="120"/>
              <w:rPr>
                <w:rFonts w:cs="Arial"/>
                <w:sz w:val="22"/>
                <w:szCs w:val="22"/>
              </w:rPr>
            </w:pPr>
            <w:r w:rsidRPr="00E35D04">
              <w:rPr>
                <w:rFonts w:cs="Arial"/>
                <w:sz w:val="22"/>
                <w:szCs w:val="22"/>
              </w:rPr>
              <w:t>1. Within 10 work days</w:t>
            </w:r>
          </w:p>
        </w:tc>
        <w:tc>
          <w:tcPr>
            <w:tcW w:w="2835" w:type="dxa"/>
            <w:vMerge/>
            <w:tcBorders>
              <w:top w:val="single" w:sz="8" w:space="0" w:color="000000"/>
              <w:bottom w:val="single" w:sz="8" w:space="0" w:color="000000"/>
              <w:right w:val="single" w:sz="8" w:space="0" w:color="000000"/>
            </w:tcBorders>
          </w:tcPr>
          <w:p w:rsidR="0084369C" w:rsidRPr="00E35D04" w:rsidRDefault="0084369C" w:rsidP="0057357E">
            <w:pPr>
              <w:rPr>
                <w:rFonts w:cs="Arial"/>
              </w:rPr>
            </w:pPr>
          </w:p>
        </w:tc>
      </w:tr>
    </w:tbl>
    <w:p w:rsidR="00D52614" w:rsidRDefault="0084369C" w:rsidP="009D56F5">
      <w:pPr>
        <w:spacing w:before="120"/>
      </w:pPr>
      <w:r w:rsidRPr="009D56F5">
        <w:rPr>
          <w:b/>
        </w:rPr>
        <w:t>Note:</w:t>
      </w:r>
      <w:r w:rsidRPr="009A79CD">
        <w:t xml:space="preserve"> Incidents are also notifiable to other appropriate regulatory bodies if they involve gas, electricity, water, sewage or storm.</w:t>
      </w:r>
      <w:r>
        <w:t xml:space="preserve"> </w:t>
      </w:r>
      <w:r w:rsidRPr="009A79CD">
        <w:t>ActewAGL should be contacted for further information in these circumstances.</w:t>
      </w:r>
    </w:p>
    <w:sectPr w:rsidR="00D52614" w:rsidSect="009D56F5">
      <w:footnotePr>
        <w:numRestart w:val="eachSect"/>
      </w:footnotePr>
      <w:type w:val="continuous"/>
      <w:pgSz w:w="16840" w:h="11907" w:orient="landscape" w:code="9"/>
      <w:pgMar w:top="1440" w:right="856" w:bottom="1440" w:left="1440" w:header="567" w:footer="454"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293" w:rsidRDefault="007F1293" w:rsidP="0023737F">
      <w:r>
        <w:separator/>
      </w:r>
    </w:p>
  </w:endnote>
  <w:endnote w:type="continuationSeparator" w:id="0">
    <w:p w:rsidR="007F1293" w:rsidRDefault="007F1293" w:rsidP="002373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D04" w:rsidRPr="000D6817" w:rsidRDefault="00E35D04" w:rsidP="00E35D04">
    <w:pPr>
      <w:pStyle w:val="Footer"/>
      <w:jc w:val="right"/>
    </w:pPr>
    <w:r w:rsidRPr="000D6817">
      <w:t xml:space="preserve">Page </w:t>
    </w:r>
    <w:fldSimple w:instr=" PAGE   \* MERGEFORMAT ">
      <w:r w:rsidR="0049092D">
        <w:rPr>
          <w:noProof/>
        </w:rPr>
        <w:t>4</w:t>
      </w:r>
    </w:fldSimple>
    <w:r>
      <w:t xml:space="preserve"> </w:t>
    </w:r>
    <w:r w:rsidRPr="000D6817">
      <w:t xml:space="preserve">of </w:t>
    </w:r>
    <w:fldSimple w:instr=" NUMPAGES  ">
      <w:r w:rsidR="0049092D">
        <w:rPr>
          <w:noProof/>
        </w:rPr>
        <w:t>6</w:t>
      </w:r>
    </w:fldSimple>
  </w:p>
  <w:p w:rsidR="00E35D04" w:rsidRDefault="00E35D04" w:rsidP="00D06693">
    <w:pPr>
      <w:pStyle w:val="Footer"/>
      <w:tabs>
        <w:tab w:val="clear" w:pos="4320"/>
        <w:tab w:val="clear" w:pos="8640"/>
        <w:tab w:val="left" w:pos="1327"/>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D04" w:rsidRPr="000D6817" w:rsidRDefault="0000397C" w:rsidP="0000397C">
    <w:pPr>
      <w:pStyle w:val="Footer"/>
      <w:jc w:val="right"/>
    </w:pPr>
    <w:r w:rsidRPr="000D6817">
      <w:t xml:space="preserve">Page </w:t>
    </w:r>
    <w:fldSimple w:instr=" PAGE   \* MERGEFORMAT ">
      <w:r w:rsidR="0049092D">
        <w:rPr>
          <w:noProof/>
        </w:rPr>
        <w:t>1</w:t>
      </w:r>
    </w:fldSimple>
    <w:r>
      <w:t xml:space="preserve"> </w:t>
    </w:r>
    <w:r w:rsidRPr="000D6817">
      <w:t xml:space="preserve">of </w:t>
    </w:r>
    <w:fldSimple w:instr=" NUMPAGES  ">
      <w:r w:rsidR="0049092D">
        <w:rPr>
          <w:noProof/>
        </w:rPr>
        <w:t>6</w:t>
      </w:r>
    </w:fldSimple>
  </w:p>
  <w:p w:rsidR="00E35D04" w:rsidRDefault="00E35D04" w:rsidP="00F3000D">
    <w:pPr>
      <w:pStyle w:val="Footer"/>
      <w:jc w:val="right"/>
      <w:rPr>
        <w:spacing w:val="10"/>
        <w:sz w:val="24"/>
        <w:lang w:val="en-A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293" w:rsidRDefault="007F1293" w:rsidP="0023737F">
      <w:r>
        <w:separator/>
      </w:r>
    </w:p>
  </w:footnote>
  <w:footnote w:type="continuationSeparator" w:id="0">
    <w:p w:rsidR="007F1293" w:rsidRDefault="007F1293" w:rsidP="0023737F">
      <w:r>
        <w:continuationSeparator/>
      </w:r>
    </w:p>
  </w:footnote>
  <w:footnote w:id="1">
    <w:p w:rsidR="00E35D04" w:rsidRDefault="00E35D04" w:rsidP="00D52614">
      <w:pPr>
        <w:pStyle w:val="FootnoteText"/>
      </w:pPr>
      <w:r>
        <w:rPr>
          <w:rStyle w:val="FootnoteReference"/>
        </w:rPr>
        <w:footnoteRef/>
      </w:r>
      <w:r>
        <w:t xml:space="preserve"> </w:t>
      </w:r>
      <w:r w:rsidRPr="006D2370">
        <w:rPr>
          <w:sz w:val="22"/>
          <w:szCs w:val="22"/>
        </w:rPr>
        <w:t xml:space="preserve">As </w:t>
      </w:r>
      <w:r>
        <w:rPr>
          <w:sz w:val="22"/>
          <w:szCs w:val="22"/>
        </w:rPr>
        <w:t>detailed</w:t>
      </w:r>
      <w:r w:rsidRPr="006D2370">
        <w:rPr>
          <w:sz w:val="22"/>
          <w:szCs w:val="22"/>
        </w:rPr>
        <w:t xml:space="preserve"> in the </w:t>
      </w:r>
      <w:r w:rsidRPr="00F01610">
        <w:rPr>
          <w:i/>
          <w:sz w:val="22"/>
          <w:szCs w:val="22"/>
          <w:lang w:val="en-US" w:eastAsia="en-AU"/>
        </w:rPr>
        <w:t>The Information Privacy Act 2014</w:t>
      </w:r>
    </w:p>
  </w:footnote>
  <w:footnote w:id="2">
    <w:p w:rsidR="00E35D04" w:rsidRDefault="00E35D04" w:rsidP="00FF5840">
      <w:pPr>
        <w:pStyle w:val="FootnoteText"/>
      </w:pPr>
      <w:r>
        <w:rPr>
          <w:rStyle w:val="FootnoteReference"/>
        </w:rPr>
        <w:footnoteRef/>
      </w:r>
      <w:r>
        <w:t xml:space="preserve"> </w:t>
      </w:r>
      <w:r>
        <w:rPr>
          <w:rFonts w:cs="Arial"/>
        </w:rPr>
        <w:t>This organisation/team/person will automatically be notified in writing by lodging an accident/incident report in RiskMan.</w:t>
      </w:r>
    </w:p>
  </w:footnote>
  <w:footnote w:id="3">
    <w:p w:rsidR="00E35D04" w:rsidRDefault="00E35D04">
      <w:pPr>
        <w:pStyle w:val="FootnoteText"/>
      </w:pPr>
      <w:r>
        <w:rPr>
          <w:rStyle w:val="FootnoteReference"/>
        </w:rPr>
        <w:footnoteRef/>
      </w:r>
      <w:r>
        <w:t xml:space="preserve"> For all Public Ser</w:t>
      </w:r>
      <w:r w:rsidR="0000397C">
        <w:t>vice</w:t>
      </w:r>
      <w:r>
        <w:t xml:space="preserve"> </w:t>
      </w:r>
      <w:r w:rsidR="0000397C">
        <w:t>directorates/</w:t>
      </w:r>
      <w:r>
        <w:t xml:space="preserve">agencies </w:t>
      </w:r>
      <w:r>
        <w:rPr>
          <w:b/>
        </w:rPr>
        <w:t xml:space="preserve">except </w:t>
      </w:r>
      <w:r w:rsidRPr="00FF5840">
        <w:t>ACT Health</w:t>
      </w:r>
      <w:r>
        <w:t>,</w:t>
      </w:r>
      <w:r>
        <w:rPr>
          <w:b/>
        </w:rPr>
        <w:t xml:space="preserve"> </w:t>
      </w:r>
      <w:r w:rsidR="00DB6A77" w:rsidRPr="00DB6A77">
        <w:t>automatic written notification will be sent to</w:t>
      </w:r>
      <w:r w:rsidR="00DB6A77">
        <w:rPr>
          <w:b/>
        </w:rPr>
        <w:t xml:space="preserve"> </w:t>
      </w:r>
      <w:r w:rsidR="00DB6A77">
        <w:t>WorkSafe ACT</w:t>
      </w:r>
      <w:r>
        <w:t xml:space="preserve"> when a notifiable incident is </w:t>
      </w:r>
      <w:r w:rsidR="0000397C">
        <w:t>reported</w:t>
      </w:r>
      <w:r>
        <w:t xml:space="preserve"> in RiskMan.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D04" w:rsidRDefault="00E35D04" w:rsidP="00F3000D">
    <w:pPr>
      <w:framePr w:hSpace="180" w:wrap="auto" w:vAnchor="page" w:hAnchor="page" w:x="6913" w:y="721"/>
    </w:pPr>
    <w:r>
      <w:fldChar w:fldCharType="begin"/>
    </w:r>
    <w:r>
      <w:instrText xml:space="preserve"> INCLUDEPICTURE "C:\\Users\\apps\\07\\Templates\\CMD\\Common\\!CMD.TIF" \* MERGEFORMAT \d </w:instrText>
    </w:r>
    <w:r>
      <w:fldChar w:fldCharType="end"/>
    </w:r>
  </w:p>
  <w:tbl>
    <w:tblPr>
      <w:tblW w:w="0" w:type="auto"/>
      <w:tblLook w:val="04A0"/>
    </w:tblPr>
    <w:tblGrid>
      <w:gridCol w:w="4621"/>
      <w:gridCol w:w="4622"/>
    </w:tblGrid>
    <w:tr w:rsidR="00E35D04" w:rsidRPr="00D52614" w:rsidTr="00AF213A">
      <w:tc>
        <w:tcPr>
          <w:tcW w:w="4621" w:type="dxa"/>
        </w:tcPr>
        <w:p w:rsidR="00E35D04" w:rsidRPr="00173399" w:rsidRDefault="0049092D" w:rsidP="00AF213A">
          <w:pPr>
            <w:pStyle w:val="Header"/>
            <w:tabs>
              <w:tab w:val="clear" w:pos="4320"/>
              <w:tab w:val="clear" w:pos="8640"/>
              <w:tab w:val="left" w:pos="7325"/>
            </w:tabs>
            <w:rPr>
              <w:rFonts w:ascii="Bookman Old Style" w:hAnsi="Bookman Old Style"/>
              <w:sz w:val="24"/>
              <w:lang w:val="en-AU"/>
            </w:rPr>
          </w:pPr>
          <w:r>
            <w:rPr>
              <w:rFonts w:ascii="Bookman Old Style" w:hAnsi="Bookman Old Style"/>
              <w:noProof/>
              <w:sz w:val="24"/>
              <w:lang w:val="en-AU" w:eastAsia="en-AU"/>
            </w:rPr>
            <w:drawing>
              <wp:inline distT="0" distB="0" distL="0" distR="0">
                <wp:extent cx="1400175" cy="714375"/>
                <wp:effectExtent l="19050" t="0" r="9525" b="0"/>
                <wp:docPr id="1" name="Picture 1" descr="ACT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pic:cNvPicPr>
                          <a:picLocks noChangeAspect="1" noChangeArrowheads="1"/>
                        </pic:cNvPicPr>
                      </pic:nvPicPr>
                      <pic:blipFill>
                        <a:blip r:embed="rId1"/>
                        <a:srcRect/>
                        <a:stretch>
                          <a:fillRect/>
                        </a:stretch>
                      </pic:blipFill>
                      <pic:spPr bwMode="auto">
                        <a:xfrm>
                          <a:off x="0" y="0"/>
                          <a:ext cx="1400175" cy="714375"/>
                        </a:xfrm>
                        <a:prstGeom prst="rect">
                          <a:avLst/>
                        </a:prstGeom>
                        <a:noFill/>
                        <a:ln w="9525">
                          <a:noFill/>
                          <a:miter lim="800000"/>
                          <a:headEnd/>
                          <a:tailEnd/>
                        </a:ln>
                      </pic:spPr>
                    </pic:pic>
                  </a:graphicData>
                </a:graphic>
              </wp:inline>
            </w:drawing>
          </w:r>
        </w:p>
      </w:tc>
      <w:tc>
        <w:tcPr>
          <w:tcW w:w="4622" w:type="dxa"/>
        </w:tcPr>
        <w:p w:rsidR="00E35D04" w:rsidRPr="00D52614" w:rsidRDefault="00E35D04" w:rsidP="00D52614">
          <w:pPr>
            <w:pStyle w:val="Header"/>
            <w:tabs>
              <w:tab w:val="clear" w:pos="4320"/>
              <w:tab w:val="clear" w:pos="8640"/>
              <w:tab w:val="left" w:pos="7325"/>
            </w:tabs>
            <w:spacing w:after="120"/>
            <w:jc w:val="right"/>
            <w:rPr>
              <w:b/>
              <w:sz w:val="28"/>
              <w:szCs w:val="28"/>
              <w:lang w:val="en-AU"/>
            </w:rPr>
          </w:pPr>
          <w:r w:rsidRPr="00D52614">
            <w:rPr>
              <w:b/>
              <w:sz w:val="28"/>
              <w:szCs w:val="28"/>
              <w:lang w:val="en-AU"/>
            </w:rPr>
            <w:t>ACT Public Sector Policy</w:t>
          </w:r>
        </w:p>
        <w:p w:rsidR="00E35D04" w:rsidRPr="00D52614" w:rsidRDefault="00E35D04" w:rsidP="00D52614">
          <w:pPr>
            <w:pStyle w:val="Header"/>
            <w:tabs>
              <w:tab w:val="clear" w:pos="4320"/>
              <w:tab w:val="clear" w:pos="8640"/>
              <w:tab w:val="left" w:pos="7325"/>
            </w:tabs>
            <w:jc w:val="right"/>
            <w:rPr>
              <w:b/>
              <w:color w:val="17365D"/>
              <w:sz w:val="24"/>
              <w:lang w:val="en-AU"/>
            </w:rPr>
          </w:pPr>
          <w:r w:rsidRPr="00D52614">
            <w:rPr>
              <w:b/>
              <w:sz w:val="28"/>
              <w:szCs w:val="28"/>
              <w:lang w:val="en-AU"/>
            </w:rPr>
            <w:t>Responding to workplace accidents/incidents</w:t>
          </w:r>
        </w:p>
      </w:tc>
    </w:tr>
  </w:tbl>
  <w:p w:rsidR="00E35D04" w:rsidRPr="00F3000D" w:rsidRDefault="00E35D04" w:rsidP="00F300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D04" w:rsidRDefault="00E35D04">
    <w:pPr>
      <w:framePr w:hSpace="180" w:wrap="auto" w:vAnchor="page" w:hAnchor="page" w:x="6913" w:y="721"/>
    </w:pPr>
    <w:r>
      <w:fldChar w:fldCharType="begin"/>
    </w:r>
    <w:r>
      <w:instrText xml:space="preserve"> INCLUDEPICTURE "C:\\Users\\apps\\07\\Templates\\CMD\\Common\\!CMD.TIF" \* MERGEFORMAT \d </w:instrText>
    </w:r>
    <w:r>
      <w:fldChar w:fldCharType="end"/>
    </w:r>
  </w:p>
  <w:tbl>
    <w:tblPr>
      <w:tblW w:w="0" w:type="auto"/>
      <w:tblLook w:val="04A0"/>
    </w:tblPr>
    <w:tblGrid>
      <w:gridCol w:w="4621"/>
      <w:gridCol w:w="4622"/>
    </w:tblGrid>
    <w:tr w:rsidR="00E35D04" w:rsidRPr="00173399" w:rsidTr="00F64E27">
      <w:tc>
        <w:tcPr>
          <w:tcW w:w="4621" w:type="dxa"/>
        </w:tcPr>
        <w:p w:rsidR="00E35D04" w:rsidRPr="00173399" w:rsidRDefault="0049092D" w:rsidP="00173399">
          <w:pPr>
            <w:pStyle w:val="Header"/>
            <w:tabs>
              <w:tab w:val="clear" w:pos="4320"/>
              <w:tab w:val="clear" w:pos="8640"/>
              <w:tab w:val="left" w:pos="7325"/>
            </w:tabs>
            <w:rPr>
              <w:rFonts w:ascii="Bookman Old Style" w:hAnsi="Bookman Old Style"/>
              <w:sz w:val="24"/>
              <w:lang w:val="en-AU"/>
            </w:rPr>
          </w:pPr>
          <w:r>
            <w:rPr>
              <w:rFonts w:ascii="Bookman Old Style" w:hAnsi="Bookman Old Style"/>
              <w:noProof/>
              <w:sz w:val="24"/>
              <w:lang w:val="en-AU" w:eastAsia="en-AU"/>
            </w:rPr>
            <w:drawing>
              <wp:inline distT="0" distB="0" distL="0" distR="0">
                <wp:extent cx="1400175" cy="714375"/>
                <wp:effectExtent l="19050" t="0" r="9525" b="0"/>
                <wp:docPr id="2" name="Picture 2" descr="ACT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Government"/>
                        <pic:cNvPicPr>
                          <a:picLocks noChangeAspect="1" noChangeArrowheads="1"/>
                        </pic:cNvPicPr>
                      </pic:nvPicPr>
                      <pic:blipFill>
                        <a:blip r:embed="rId1"/>
                        <a:srcRect/>
                        <a:stretch>
                          <a:fillRect/>
                        </a:stretch>
                      </pic:blipFill>
                      <pic:spPr bwMode="auto">
                        <a:xfrm>
                          <a:off x="0" y="0"/>
                          <a:ext cx="1400175" cy="714375"/>
                        </a:xfrm>
                        <a:prstGeom prst="rect">
                          <a:avLst/>
                        </a:prstGeom>
                        <a:noFill/>
                        <a:ln w="9525">
                          <a:noFill/>
                          <a:miter lim="800000"/>
                          <a:headEnd/>
                          <a:tailEnd/>
                        </a:ln>
                      </pic:spPr>
                    </pic:pic>
                  </a:graphicData>
                </a:graphic>
              </wp:inline>
            </w:drawing>
          </w:r>
        </w:p>
      </w:tc>
      <w:tc>
        <w:tcPr>
          <w:tcW w:w="4622" w:type="dxa"/>
        </w:tcPr>
        <w:p w:rsidR="00E35D04" w:rsidRPr="00173399" w:rsidRDefault="00E35D04" w:rsidP="00F64E27">
          <w:pPr>
            <w:pStyle w:val="Header"/>
            <w:tabs>
              <w:tab w:val="clear" w:pos="4320"/>
              <w:tab w:val="clear" w:pos="8640"/>
              <w:tab w:val="left" w:pos="7325"/>
            </w:tabs>
            <w:jc w:val="right"/>
            <w:rPr>
              <w:b/>
              <w:color w:val="0150A7"/>
              <w:sz w:val="24"/>
              <w:lang w:val="en-AU"/>
            </w:rPr>
          </w:pPr>
        </w:p>
      </w:tc>
    </w:tr>
  </w:tbl>
  <w:p w:rsidR="00E35D04" w:rsidRDefault="00E35D04" w:rsidP="00173399">
    <w:pPr>
      <w:pStyle w:val="Header"/>
      <w:tabs>
        <w:tab w:val="clear" w:pos="4320"/>
        <w:tab w:val="clear" w:pos="8640"/>
        <w:tab w:val="left" w:pos="7325"/>
      </w:tabs>
      <w:rPr>
        <w:rFonts w:ascii="Bookman Old Style" w:hAnsi="Bookman Old Style"/>
        <w:sz w:val="24"/>
        <w:lang w:val="en-AU"/>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D04" w:rsidRDefault="00E35D04">
    <w:pPr>
      <w:framePr w:hSpace="180" w:wrap="auto" w:vAnchor="page" w:hAnchor="page" w:x="6913" w:y="721"/>
    </w:pPr>
    <w:r>
      <w:fldChar w:fldCharType="begin"/>
    </w:r>
    <w:r>
      <w:instrText xml:space="preserve"> INCLUDEPICTURE "C:\\Users\\apps\\07\\Templates\\CMD\\Common\\!CMD.TIF" \* MERGEFORMAT \d </w:instrText>
    </w:r>
    <w:r>
      <w:fldChar w:fldCharType="end"/>
    </w:r>
  </w:p>
  <w:tbl>
    <w:tblPr>
      <w:tblW w:w="0" w:type="auto"/>
      <w:tblLook w:val="04A0"/>
    </w:tblPr>
    <w:tblGrid>
      <w:gridCol w:w="4621"/>
      <w:gridCol w:w="4622"/>
    </w:tblGrid>
    <w:tr w:rsidR="00E35D04" w:rsidRPr="00173399" w:rsidTr="00F64E27">
      <w:tc>
        <w:tcPr>
          <w:tcW w:w="4621" w:type="dxa"/>
        </w:tcPr>
        <w:p w:rsidR="00E35D04" w:rsidRPr="00173399" w:rsidRDefault="0049092D" w:rsidP="00173399">
          <w:pPr>
            <w:pStyle w:val="Header"/>
            <w:tabs>
              <w:tab w:val="clear" w:pos="4320"/>
              <w:tab w:val="clear" w:pos="8640"/>
              <w:tab w:val="left" w:pos="7325"/>
            </w:tabs>
            <w:rPr>
              <w:rFonts w:ascii="Bookman Old Style" w:hAnsi="Bookman Old Style"/>
              <w:sz w:val="24"/>
              <w:lang w:val="en-AU"/>
            </w:rPr>
          </w:pPr>
          <w:r>
            <w:rPr>
              <w:rFonts w:ascii="Bookman Old Style" w:hAnsi="Bookman Old Style"/>
              <w:noProof/>
              <w:sz w:val="24"/>
              <w:lang w:val="en-AU" w:eastAsia="en-AU"/>
            </w:rPr>
            <w:drawing>
              <wp:inline distT="0" distB="0" distL="0" distR="0">
                <wp:extent cx="1400175" cy="714375"/>
                <wp:effectExtent l="19050" t="0" r="9525" b="0"/>
                <wp:docPr id="3" name="Picture 3" descr="ACT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Government"/>
                        <pic:cNvPicPr>
                          <a:picLocks noChangeAspect="1" noChangeArrowheads="1"/>
                        </pic:cNvPicPr>
                      </pic:nvPicPr>
                      <pic:blipFill>
                        <a:blip r:embed="rId1"/>
                        <a:srcRect/>
                        <a:stretch>
                          <a:fillRect/>
                        </a:stretch>
                      </pic:blipFill>
                      <pic:spPr bwMode="auto">
                        <a:xfrm>
                          <a:off x="0" y="0"/>
                          <a:ext cx="1400175" cy="714375"/>
                        </a:xfrm>
                        <a:prstGeom prst="rect">
                          <a:avLst/>
                        </a:prstGeom>
                        <a:noFill/>
                        <a:ln w="9525">
                          <a:noFill/>
                          <a:miter lim="800000"/>
                          <a:headEnd/>
                          <a:tailEnd/>
                        </a:ln>
                      </pic:spPr>
                    </pic:pic>
                  </a:graphicData>
                </a:graphic>
              </wp:inline>
            </w:drawing>
          </w:r>
        </w:p>
      </w:tc>
      <w:tc>
        <w:tcPr>
          <w:tcW w:w="4622" w:type="dxa"/>
        </w:tcPr>
        <w:p w:rsidR="00E35D04" w:rsidRDefault="00E35D04" w:rsidP="00D52614">
          <w:pPr>
            <w:pStyle w:val="Title"/>
            <w:spacing w:before="120" w:after="0" w:line="240" w:lineRule="auto"/>
            <w:jc w:val="right"/>
            <w:rPr>
              <w:sz w:val="32"/>
            </w:rPr>
          </w:pPr>
          <w:r w:rsidRPr="00A22B40">
            <w:rPr>
              <w:sz w:val="32"/>
            </w:rPr>
            <w:t>ANNEXE A</w:t>
          </w:r>
        </w:p>
        <w:p w:rsidR="00E35D04" w:rsidRDefault="00E35D04" w:rsidP="00D52614">
          <w:pPr>
            <w:pStyle w:val="Header"/>
            <w:tabs>
              <w:tab w:val="clear" w:pos="4320"/>
              <w:tab w:val="clear" w:pos="8640"/>
              <w:tab w:val="left" w:pos="7325"/>
            </w:tabs>
            <w:jc w:val="right"/>
            <w:rPr>
              <w:b/>
              <w:sz w:val="24"/>
              <w:lang w:val="en-AU"/>
            </w:rPr>
          </w:pPr>
        </w:p>
        <w:p w:rsidR="00E35D04" w:rsidRPr="00D52614" w:rsidRDefault="00E35D04" w:rsidP="00D52614">
          <w:pPr>
            <w:pStyle w:val="Header"/>
            <w:tabs>
              <w:tab w:val="clear" w:pos="4320"/>
              <w:tab w:val="clear" w:pos="8640"/>
              <w:tab w:val="left" w:pos="7325"/>
            </w:tabs>
            <w:spacing w:after="120"/>
            <w:jc w:val="right"/>
            <w:rPr>
              <w:b/>
              <w:sz w:val="28"/>
              <w:szCs w:val="28"/>
              <w:lang w:val="en-AU"/>
            </w:rPr>
          </w:pPr>
          <w:r w:rsidRPr="00D52614">
            <w:rPr>
              <w:b/>
              <w:sz w:val="28"/>
              <w:szCs w:val="28"/>
              <w:lang w:val="en-AU"/>
            </w:rPr>
            <w:t>ACT Public Sector Policy</w:t>
          </w:r>
        </w:p>
        <w:p w:rsidR="00E35D04" w:rsidRPr="00D52614" w:rsidRDefault="00E35D04" w:rsidP="00D52614">
          <w:pPr>
            <w:pStyle w:val="Header"/>
            <w:tabs>
              <w:tab w:val="clear" w:pos="4320"/>
              <w:tab w:val="clear" w:pos="8640"/>
              <w:tab w:val="left" w:pos="7325"/>
            </w:tabs>
            <w:jc w:val="right"/>
            <w:rPr>
              <w:sz w:val="32"/>
            </w:rPr>
          </w:pPr>
          <w:r w:rsidRPr="00D52614">
            <w:rPr>
              <w:b/>
              <w:sz w:val="28"/>
              <w:szCs w:val="28"/>
              <w:lang w:val="en-AU"/>
            </w:rPr>
            <w:t>Responding to workplace accidents/incidents</w:t>
          </w:r>
        </w:p>
      </w:tc>
    </w:tr>
  </w:tbl>
  <w:p w:rsidR="00E35D04" w:rsidRDefault="00E35D04" w:rsidP="00173399">
    <w:pPr>
      <w:pStyle w:val="Header"/>
      <w:tabs>
        <w:tab w:val="clear" w:pos="4320"/>
        <w:tab w:val="clear" w:pos="8640"/>
        <w:tab w:val="left" w:pos="7325"/>
      </w:tabs>
      <w:rPr>
        <w:rFonts w:ascii="Bookman Old Style" w:hAnsi="Bookman Old Style"/>
        <w:sz w:val="24"/>
        <w:lang w:val="en-AU"/>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D04" w:rsidRDefault="00E35D04">
    <w:pPr>
      <w:framePr w:hSpace="180" w:wrap="auto" w:vAnchor="page" w:hAnchor="page" w:x="6913" w:y="721"/>
    </w:pPr>
    <w:r>
      <w:fldChar w:fldCharType="begin"/>
    </w:r>
    <w:r>
      <w:instrText xml:space="preserve"> INCLUDEPICTURE "C:\\Users\\apps\\07\\Templates\\CMD\\Common\\!CMD.TIF" \* MERGEFORMAT \d </w:instrText>
    </w:r>
    <w:r>
      <w:fldChar w:fldCharType="end"/>
    </w:r>
  </w:p>
  <w:tbl>
    <w:tblPr>
      <w:tblW w:w="0" w:type="auto"/>
      <w:jc w:val="center"/>
      <w:tblLook w:val="04A0"/>
    </w:tblPr>
    <w:tblGrid>
      <w:gridCol w:w="4621"/>
      <w:gridCol w:w="9379"/>
    </w:tblGrid>
    <w:tr w:rsidR="00E35D04" w:rsidRPr="00173399" w:rsidTr="009D56F5">
      <w:trPr>
        <w:jc w:val="center"/>
      </w:trPr>
      <w:tc>
        <w:tcPr>
          <w:tcW w:w="4621" w:type="dxa"/>
        </w:tcPr>
        <w:p w:rsidR="00E35D04" w:rsidRPr="00173399" w:rsidRDefault="0049092D" w:rsidP="00173399">
          <w:pPr>
            <w:pStyle w:val="Header"/>
            <w:tabs>
              <w:tab w:val="clear" w:pos="4320"/>
              <w:tab w:val="clear" w:pos="8640"/>
              <w:tab w:val="left" w:pos="7325"/>
            </w:tabs>
            <w:rPr>
              <w:rFonts w:ascii="Bookman Old Style" w:hAnsi="Bookman Old Style"/>
              <w:sz w:val="24"/>
              <w:lang w:val="en-AU"/>
            </w:rPr>
          </w:pPr>
          <w:r>
            <w:rPr>
              <w:rFonts w:ascii="Bookman Old Style" w:hAnsi="Bookman Old Style"/>
              <w:noProof/>
              <w:sz w:val="24"/>
              <w:lang w:val="en-AU" w:eastAsia="en-AU"/>
            </w:rPr>
            <w:drawing>
              <wp:inline distT="0" distB="0" distL="0" distR="0">
                <wp:extent cx="1400175" cy="714375"/>
                <wp:effectExtent l="19050" t="0" r="9525" b="0"/>
                <wp:docPr id="4" name="Picture 4" descr="ACT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 Government"/>
                        <pic:cNvPicPr>
                          <a:picLocks noChangeAspect="1" noChangeArrowheads="1"/>
                        </pic:cNvPicPr>
                      </pic:nvPicPr>
                      <pic:blipFill>
                        <a:blip r:embed="rId1"/>
                        <a:srcRect/>
                        <a:stretch>
                          <a:fillRect/>
                        </a:stretch>
                      </pic:blipFill>
                      <pic:spPr bwMode="auto">
                        <a:xfrm>
                          <a:off x="0" y="0"/>
                          <a:ext cx="1400175" cy="714375"/>
                        </a:xfrm>
                        <a:prstGeom prst="rect">
                          <a:avLst/>
                        </a:prstGeom>
                        <a:noFill/>
                        <a:ln w="9525">
                          <a:noFill/>
                          <a:miter lim="800000"/>
                          <a:headEnd/>
                          <a:tailEnd/>
                        </a:ln>
                      </pic:spPr>
                    </pic:pic>
                  </a:graphicData>
                </a:graphic>
              </wp:inline>
            </w:drawing>
          </w:r>
        </w:p>
      </w:tc>
      <w:tc>
        <w:tcPr>
          <w:tcW w:w="9379" w:type="dxa"/>
        </w:tcPr>
        <w:p w:rsidR="00E35D04" w:rsidRPr="0084369C" w:rsidRDefault="00E35D04" w:rsidP="0084369C">
          <w:pPr>
            <w:pStyle w:val="Title"/>
            <w:spacing w:before="0" w:after="120" w:line="240" w:lineRule="auto"/>
            <w:jc w:val="right"/>
            <w:rPr>
              <w:sz w:val="32"/>
            </w:rPr>
          </w:pPr>
          <w:r w:rsidRPr="00A22B40">
            <w:rPr>
              <w:sz w:val="32"/>
            </w:rPr>
            <w:t xml:space="preserve">ANNEXE </w:t>
          </w:r>
          <w:r>
            <w:rPr>
              <w:sz w:val="32"/>
            </w:rPr>
            <w:t>B</w:t>
          </w:r>
        </w:p>
        <w:p w:rsidR="00E35D04" w:rsidRPr="00D52614" w:rsidRDefault="00E35D04" w:rsidP="0084369C">
          <w:pPr>
            <w:pStyle w:val="Header"/>
            <w:tabs>
              <w:tab w:val="clear" w:pos="4320"/>
              <w:tab w:val="clear" w:pos="8640"/>
              <w:tab w:val="left" w:pos="7325"/>
            </w:tabs>
            <w:spacing w:after="120"/>
            <w:jc w:val="right"/>
            <w:rPr>
              <w:b/>
              <w:sz w:val="28"/>
              <w:szCs w:val="28"/>
              <w:lang w:val="en-AU"/>
            </w:rPr>
          </w:pPr>
          <w:r w:rsidRPr="00D52614">
            <w:rPr>
              <w:b/>
              <w:sz w:val="28"/>
              <w:szCs w:val="28"/>
              <w:lang w:val="en-AU"/>
            </w:rPr>
            <w:t>ACT Public Sector Policy</w:t>
          </w:r>
        </w:p>
        <w:p w:rsidR="00E35D04" w:rsidRPr="00173399" w:rsidRDefault="00E35D04" w:rsidP="0084369C">
          <w:pPr>
            <w:pStyle w:val="Header"/>
            <w:tabs>
              <w:tab w:val="clear" w:pos="4320"/>
              <w:tab w:val="clear" w:pos="8640"/>
              <w:tab w:val="left" w:pos="7325"/>
            </w:tabs>
            <w:jc w:val="right"/>
            <w:rPr>
              <w:b/>
              <w:color w:val="0150A7"/>
              <w:sz w:val="24"/>
              <w:lang w:val="en-AU"/>
            </w:rPr>
          </w:pPr>
          <w:r w:rsidRPr="00D52614">
            <w:rPr>
              <w:b/>
              <w:sz w:val="28"/>
              <w:szCs w:val="28"/>
              <w:lang w:val="en-AU"/>
            </w:rPr>
            <w:t>Responding to workplace accidents/incidents</w:t>
          </w:r>
        </w:p>
      </w:tc>
    </w:tr>
  </w:tbl>
  <w:p w:rsidR="00E35D04" w:rsidRDefault="00E35D04" w:rsidP="00173399">
    <w:pPr>
      <w:pStyle w:val="Header"/>
      <w:tabs>
        <w:tab w:val="clear" w:pos="4320"/>
        <w:tab w:val="clear" w:pos="8640"/>
        <w:tab w:val="left" w:pos="7325"/>
      </w:tabs>
      <w:rPr>
        <w:rFonts w:ascii="Bookman Old Style" w:hAnsi="Bookman Old Style"/>
        <w:sz w:val="24"/>
        <w:lang w:val="en-A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1759"/>
    <w:multiLevelType w:val="hybridMultilevel"/>
    <w:tmpl w:val="D4C648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3263D9E"/>
    <w:multiLevelType w:val="hybridMultilevel"/>
    <w:tmpl w:val="1C705574"/>
    <w:lvl w:ilvl="0" w:tplc="96DC2122">
      <w:start w:val="1"/>
      <w:numFmt w:val="bullet"/>
      <w:pStyle w:val="Asubparabullet"/>
      <w:lvlText w:val=""/>
      <w:lvlJc w:val="left"/>
      <w:pPr>
        <w:tabs>
          <w:tab w:val="num" w:pos="2540"/>
        </w:tabs>
        <w:ind w:left="2540" w:hanging="400"/>
      </w:pPr>
      <w:rPr>
        <w:rFonts w:ascii="Symbol" w:hAnsi="Symbol" w:hint="default"/>
        <w:sz w:val="20"/>
      </w:rPr>
    </w:lvl>
    <w:lvl w:ilvl="1" w:tplc="0409000F"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8B1346"/>
    <w:multiLevelType w:val="hybridMultilevel"/>
    <w:tmpl w:val="470C22EA"/>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00B71FF"/>
    <w:multiLevelType w:val="hybridMultilevel"/>
    <w:tmpl w:val="43E86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AFD6418"/>
    <w:multiLevelType w:val="hybridMultilevel"/>
    <w:tmpl w:val="542A5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B0C1C3F"/>
    <w:multiLevelType w:val="hybridMultilevel"/>
    <w:tmpl w:val="5FF47BBC"/>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6AE7616A"/>
    <w:multiLevelType w:val="multilevel"/>
    <w:tmpl w:val="DC22AA46"/>
    <w:lvl w:ilvl="0">
      <w:start w:val="1"/>
      <w:numFmt w:val="decimal"/>
      <w:lvlText w:val="%1."/>
      <w:lvlJc w:val="left"/>
      <w:pPr>
        <w:ind w:left="720" w:hanging="360"/>
      </w:p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5"/>
  </w:num>
  <w:num w:numId="3">
    <w:abstractNumId w:val="3"/>
  </w:num>
  <w:num w:numId="4">
    <w:abstractNumId w:val="0"/>
  </w:num>
  <w:num w:numId="5">
    <w:abstractNumId w:val="6"/>
  </w:num>
  <w:num w:numId="6">
    <w:abstractNumId w:val="2"/>
  </w:num>
  <w:num w:numId="7">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295B49"/>
    <w:rsid w:val="0000397C"/>
    <w:rsid w:val="0001685F"/>
    <w:rsid w:val="0001745F"/>
    <w:rsid w:val="000331D7"/>
    <w:rsid w:val="00047D74"/>
    <w:rsid w:val="000547BF"/>
    <w:rsid w:val="00054971"/>
    <w:rsid w:val="00061A24"/>
    <w:rsid w:val="000C0B7A"/>
    <w:rsid w:val="000D6817"/>
    <w:rsid w:val="000F63B6"/>
    <w:rsid w:val="00110EC2"/>
    <w:rsid w:val="00173399"/>
    <w:rsid w:val="001824EC"/>
    <w:rsid w:val="0019501D"/>
    <w:rsid w:val="001E213C"/>
    <w:rsid w:val="001F14D5"/>
    <w:rsid w:val="002031C5"/>
    <w:rsid w:val="0022591D"/>
    <w:rsid w:val="0023737F"/>
    <w:rsid w:val="002553F1"/>
    <w:rsid w:val="00266BCB"/>
    <w:rsid w:val="0026736E"/>
    <w:rsid w:val="00277E28"/>
    <w:rsid w:val="00282114"/>
    <w:rsid w:val="00295B49"/>
    <w:rsid w:val="002B7571"/>
    <w:rsid w:val="002D5BCE"/>
    <w:rsid w:val="002E2AF1"/>
    <w:rsid w:val="002F3B25"/>
    <w:rsid w:val="003A4F1C"/>
    <w:rsid w:val="003A6E79"/>
    <w:rsid w:val="003B6369"/>
    <w:rsid w:val="00426B65"/>
    <w:rsid w:val="004426C2"/>
    <w:rsid w:val="004538F6"/>
    <w:rsid w:val="004768EE"/>
    <w:rsid w:val="0049092D"/>
    <w:rsid w:val="004A083B"/>
    <w:rsid w:val="004A4A98"/>
    <w:rsid w:val="004B162E"/>
    <w:rsid w:val="004C015C"/>
    <w:rsid w:val="004C59E4"/>
    <w:rsid w:val="004F45D5"/>
    <w:rsid w:val="005031BA"/>
    <w:rsid w:val="00507C72"/>
    <w:rsid w:val="0051155A"/>
    <w:rsid w:val="00514521"/>
    <w:rsid w:val="005217B3"/>
    <w:rsid w:val="00522B89"/>
    <w:rsid w:val="00546B4E"/>
    <w:rsid w:val="00556AF5"/>
    <w:rsid w:val="00562071"/>
    <w:rsid w:val="0057357E"/>
    <w:rsid w:val="00577C38"/>
    <w:rsid w:val="00586397"/>
    <w:rsid w:val="00590519"/>
    <w:rsid w:val="005A01C0"/>
    <w:rsid w:val="005B2B7D"/>
    <w:rsid w:val="005F0346"/>
    <w:rsid w:val="005F7FCF"/>
    <w:rsid w:val="00625F88"/>
    <w:rsid w:val="00632A89"/>
    <w:rsid w:val="006513AA"/>
    <w:rsid w:val="00681365"/>
    <w:rsid w:val="00684725"/>
    <w:rsid w:val="006928E8"/>
    <w:rsid w:val="00694640"/>
    <w:rsid w:val="006B553F"/>
    <w:rsid w:val="006B69FC"/>
    <w:rsid w:val="00710508"/>
    <w:rsid w:val="00721A97"/>
    <w:rsid w:val="0074454F"/>
    <w:rsid w:val="0074659C"/>
    <w:rsid w:val="00761BCA"/>
    <w:rsid w:val="00782086"/>
    <w:rsid w:val="00785FC3"/>
    <w:rsid w:val="00791E54"/>
    <w:rsid w:val="007A769E"/>
    <w:rsid w:val="007C7689"/>
    <w:rsid w:val="007F1293"/>
    <w:rsid w:val="007F6794"/>
    <w:rsid w:val="00802FC6"/>
    <w:rsid w:val="00803A9C"/>
    <w:rsid w:val="0084369C"/>
    <w:rsid w:val="008A7D6A"/>
    <w:rsid w:val="008C3E9D"/>
    <w:rsid w:val="008D7F54"/>
    <w:rsid w:val="008E192B"/>
    <w:rsid w:val="00934CE5"/>
    <w:rsid w:val="00971957"/>
    <w:rsid w:val="00971CB9"/>
    <w:rsid w:val="009B1C6F"/>
    <w:rsid w:val="009B359F"/>
    <w:rsid w:val="009C0E48"/>
    <w:rsid w:val="009C7B4C"/>
    <w:rsid w:val="009D56F5"/>
    <w:rsid w:val="00A07165"/>
    <w:rsid w:val="00A24E8C"/>
    <w:rsid w:val="00A2786A"/>
    <w:rsid w:val="00A62922"/>
    <w:rsid w:val="00A811B9"/>
    <w:rsid w:val="00A81B3D"/>
    <w:rsid w:val="00A87AAD"/>
    <w:rsid w:val="00A87D9F"/>
    <w:rsid w:val="00A95D08"/>
    <w:rsid w:val="00AC073E"/>
    <w:rsid w:val="00AC7A21"/>
    <w:rsid w:val="00AD3696"/>
    <w:rsid w:val="00AF213A"/>
    <w:rsid w:val="00B11EB7"/>
    <w:rsid w:val="00B2222B"/>
    <w:rsid w:val="00B255D8"/>
    <w:rsid w:val="00B458A0"/>
    <w:rsid w:val="00BB6F33"/>
    <w:rsid w:val="00BC00E2"/>
    <w:rsid w:val="00BC6BC3"/>
    <w:rsid w:val="00BD33A4"/>
    <w:rsid w:val="00BF6BAC"/>
    <w:rsid w:val="00C273CD"/>
    <w:rsid w:val="00C4118B"/>
    <w:rsid w:val="00C7493B"/>
    <w:rsid w:val="00C75A71"/>
    <w:rsid w:val="00C808DA"/>
    <w:rsid w:val="00C84038"/>
    <w:rsid w:val="00CB0F2D"/>
    <w:rsid w:val="00CC38AE"/>
    <w:rsid w:val="00CE3C03"/>
    <w:rsid w:val="00CF47EF"/>
    <w:rsid w:val="00CF4994"/>
    <w:rsid w:val="00D03ED2"/>
    <w:rsid w:val="00D06693"/>
    <w:rsid w:val="00D178BE"/>
    <w:rsid w:val="00D219C0"/>
    <w:rsid w:val="00D24620"/>
    <w:rsid w:val="00D448FF"/>
    <w:rsid w:val="00D5130D"/>
    <w:rsid w:val="00D52614"/>
    <w:rsid w:val="00D73C65"/>
    <w:rsid w:val="00DB6A77"/>
    <w:rsid w:val="00DD1908"/>
    <w:rsid w:val="00DF2237"/>
    <w:rsid w:val="00DF781B"/>
    <w:rsid w:val="00E35D04"/>
    <w:rsid w:val="00E40CFF"/>
    <w:rsid w:val="00E429CE"/>
    <w:rsid w:val="00E6461D"/>
    <w:rsid w:val="00E818FA"/>
    <w:rsid w:val="00E85E7C"/>
    <w:rsid w:val="00E97C50"/>
    <w:rsid w:val="00EA212C"/>
    <w:rsid w:val="00EA62AB"/>
    <w:rsid w:val="00EB3576"/>
    <w:rsid w:val="00EB4AA3"/>
    <w:rsid w:val="00EE5EEC"/>
    <w:rsid w:val="00F05EDA"/>
    <w:rsid w:val="00F1317D"/>
    <w:rsid w:val="00F1501D"/>
    <w:rsid w:val="00F159CA"/>
    <w:rsid w:val="00F15B51"/>
    <w:rsid w:val="00F3000D"/>
    <w:rsid w:val="00F33126"/>
    <w:rsid w:val="00F52ED5"/>
    <w:rsid w:val="00F64E27"/>
    <w:rsid w:val="00F703A5"/>
    <w:rsid w:val="00F74B8D"/>
    <w:rsid w:val="00F83390"/>
    <w:rsid w:val="00F86791"/>
    <w:rsid w:val="00FD4606"/>
    <w:rsid w:val="00FD6D33"/>
    <w:rsid w:val="00FE6A16"/>
    <w:rsid w:val="00FF584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BCB"/>
    <w:rPr>
      <w:rFonts w:eastAsia="Times New Roman"/>
      <w:sz w:val="24"/>
      <w:szCs w:val="24"/>
      <w:lang w:eastAsia="en-US"/>
    </w:rPr>
  </w:style>
  <w:style w:type="paragraph" w:styleId="Heading1">
    <w:name w:val="heading 1"/>
    <w:basedOn w:val="Normal"/>
    <w:next w:val="Normal"/>
    <w:link w:val="Heading1Char"/>
    <w:qFormat/>
    <w:rsid w:val="00266BCB"/>
    <w:pPr>
      <w:keepNext/>
      <w:outlineLvl w:val="0"/>
    </w:pPr>
    <w:rPr>
      <w:b/>
      <w:sz w:val="28"/>
      <w:szCs w:val="20"/>
      <w:lang w:val="en-US"/>
    </w:rPr>
  </w:style>
  <w:style w:type="paragraph" w:styleId="Heading2">
    <w:name w:val="heading 2"/>
    <w:basedOn w:val="Normal"/>
    <w:next w:val="Normal"/>
    <w:link w:val="Heading2Char"/>
    <w:qFormat/>
    <w:rsid w:val="009B359F"/>
    <w:pPr>
      <w:keepNext/>
      <w:outlineLvl w:val="1"/>
    </w:pPr>
    <w:rPr>
      <w:sz w:val="32"/>
      <w:szCs w:val="20"/>
      <w:lang w:val="en-US"/>
    </w:rPr>
  </w:style>
  <w:style w:type="paragraph" w:styleId="Heading4">
    <w:name w:val="heading 4"/>
    <w:basedOn w:val="Normal"/>
    <w:next w:val="Normal"/>
    <w:link w:val="Heading4Char"/>
    <w:qFormat/>
    <w:rsid w:val="009B359F"/>
    <w:pPr>
      <w:keepNext/>
      <w:outlineLvl w:val="3"/>
    </w:pPr>
    <w:rPr>
      <w:rFonts w:ascii="Arial" w:hAnsi="Arial"/>
      <w:color w:val="000080"/>
      <w:szCs w:val="20"/>
    </w:rPr>
  </w:style>
  <w:style w:type="paragraph" w:styleId="Heading6">
    <w:name w:val="heading 6"/>
    <w:basedOn w:val="Normal"/>
    <w:next w:val="Normal"/>
    <w:link w:val="Heading6Char"/>
    <w:qFormat/>
    <w:rsid w:val="009B359F"/>
    <w:pPr>
      <w:keepNext/>
      <w:ind w:right="-57"/>
      <w:outlineLvl w:val="5"/>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6BCB"/>
    <w:rPr>
      <w:rFonts w:ascii="Calibri" w:eastAsia="Times New Roman" w:hAnsi="Calibri"/>
      <w:b/>
      <w:sz w:val="28"/>
      <w:lang w:val="en-US" w:eastAsia="en-US"/>
    </w:rPr>
  </w:style>
  <w:style w:type="character" w:customStyle="1" w:styleId="Heading2Char">
    <w:name w:val="Heading 2 Char"/>
    <w:basedOn w:val="DefaultParagraphFont"/>
    <w:link w:val="Heading2"/>
    <w:rsid w:val="009B359F"/>
    <w:rPr>
      <w:rFonts w:ascii="Times New Roman" w:eastAsia="Times New Roman" w:hAnsi="Times New Roman" w:cs="Times New Roman"/>
      <w:sz w:val="32"/>
      <w:szCs w:val="20"/>
      <w:lang w:val="en-US"/>
    </w:rPr>
  </w:style>
  <w:style w:type="character" w:customStyle="1" w:styleId="Heading4Char">
    <w:name w:val="Heading 4 Char"/>
    <w:basedOn w:val="DefaultParagraphFont"/>
    <w:link w:val="Heading4"/>
    <w:rsid w:val="009B359F"/>
    <w:rPr>
      <w:rFonts w:ascii="Arial" w:eastAsia="Times New Roman" w:hAnsi="Arial" w:cs="Times New Roman"/>
      <w:color w:val="000080"/>
      <w:sz w:val="24"/>
      <w:szCs w:val="20"/>
    </w:rPr>
  </w:style>
  <w:style w:type="character" w:customStyle="1" w:styleId="Heading6Char">
    <w:name w:val="Heading 6 Char"/>
    <w:basedOn w:val="DefaultParagraphFont"/>
    <w:link w:val="Heading6"/>
    <w:rsid w:val="009B359F"/>
    <w:rPr>
      <w:rFonts w:ascii="Arial" w:eastAsia="Times New Roman" w:hAnsi="Arial" w:cs="Times New Roman"/>
      <w:b/>
      <w:sz w:val="24"/>
      <w:szCs w:val="20"/>
    </w:rPr>
  </w:style>
  <w:style w:type="paragraph" w:styleId="Header">
    <w:name w:val="header"/>
    <w:basedOn w:val="Normal"/>
    <w:link w:val="HeaderChar"/>
    <w:rsid w:val="009B359F"/>
    <w:pPr>
      <w:tabs>
        <w:tab w:val="center" w:pos="4320"/>
        <w:tab w:val="right" w:pos="8640"/>
      </w:tabs>
    </w:pPr>
    <w:rPr>
      <w:sz w:val="20"/>
      <w:szCs w:val="20"/>
      <w:lang w:val="en-US"/>
    </w:rPr>
  </w:style>
  <w:style w:type="character" w:customStyle="1" w:styleId="HeaderChar">
    <w:name w:val="Header Char"/>
    <w:basedOn w:val="DefaultParagraphFont"/>
    <w:link w:val="Header"/>
    <w:rsid w:val="009B359F"/>
    <w:rPr>
      <w:rFonts w:ascii="Times New Roman" w:eastAsia="Times New Roman" w:hAnsi="Times New Roman" w:cs="Times New Roman"/>
      <w:sz w:val="20"/>
      <w:szCs w:val="20"/>
      <w:lang w:val="en-US"/>
    </w:rPr>
  </w:style>
  <w:style w:type="paragraph" w:styleId="Footer">
    <w:name w:val="footer"/>
    <w:basedOn w:val="Normal"/>
    <w:link w:val="FooterChar"/>
    <w:uiPriority w:val="99"/>
    <w:rsid w:val="009B359F"/>
    <w:pPr>
      <w:tabs>
        <w:tab w:val="center" w:pos="4320"/>
        <w:tab w:val="right" w:pos="8640"/>
      </w:tabs>
    </w:pPr>
    <w:rPr>
      <w:sz w:val="20"/>
      <w:szCs w:val="20"/>
      <w:lang w:val="en-US"/>
    </w:rPr>
  </w:style>
  <w:style w:type="character" w:customStyle="1" w:styleId="FooterChar">
    <w:name w:val="Footer Char"/>
    <w:basedOn w:val="DefaultParagraphFont"/>
    <w:link w:val="Footer"/>
    <w:uiPriority w:val="99"/>
    <w:rsid w:val="009B359F"/>
    <w:rPr>
      <w:rFonts w:ascii="Times New Roman" w:eastAsia="Times New Roman" w:hAnsi="Times New Roman" w:cs="Times New Roman"/>
      <w:sz w:val="20"/>
      <w:szCs w:val="20"/>
      <w:lang w:val="en-US"/>
    </w:rPr>
  </w:style>
  <w:style w:type="paragraph" w:customStyle="1" w:styleId="Asubparabullet">
    <w:name w:val="A subpara bullet"/>
    <w:basedOn w:val="Normal"/>
    <w:rsid w:val="009B359F"/>
    <w:pPr>
      <w:numPr>
        <w:numId w:val="1"/>
      </w:numPr>
    </w:pPr>
  </w:style>
  <w:style w:type="character" w:styleId="Hyperlink">
    <w:name w:val="Hyperlink"/>
    <w:basedOn w:val="DefaultParagraphFont"/>
    <w:uiPriority w:val="99"/>
    <w:unhideWhenUsed/>
    <w:rsid w:val="009B359F"/>
    <w:rPr>
      <w:color w:val="414958"/>
      <w:u w:val="single"/>
    </w:rPr>
  </w:style>
  <w:style w:type="paragraph" w:styleId="BalloonText">
    <w:name w:val="Balloon Text"/>
    <w:basedOn w:val="Normal"/>
    <w:link w:val="BalloonTextChar"/>
    <w:uiPriority w:val="99"/>
    <w:semiHidden/>
    <w:unhideWhenUsed/>
    <w:rsid w:val="0023737F"/>
    <w:rPr>
      <w:rFonts w:ascii="Tahoma" w:hAnsi="Tahoma" w:cs="Tahoma"/>
      <w:sz w:val="16"/>
      <w:szCs w:val="16"/>
    </w:rPr>
  </w:style>
  <w:style w:type="character" w:customStyle="1" w:styleId="BalloonTextChar">
    <w:name w:val="Balloon Text Char"/>
    <w:basedOn w:val="DefaultParagraphFont"/>
    <w:link w:val="BalloonText"/>
    <w:uiPriority w:val="99"/>
    <w:semiHidden/>
    <w:rsid w:val="0023737F"/>
    <w:rPr>
      <w:rFonts w:ascii="Tahoma" w:eastAsia="Times New Roman" w:hAnsi="Tahoma" w:cs="Tahoma"/>
      <w:sz w:val="16"/>
      <w:szCs w:val="16"/>
    </w:rPr>
  </w:style>
  <w:style w:type="table" w:styleId="TableGrid">
    <w:name w:val="Table Grid"/>
    <w:basedOn w:val="TableNormal"/>
    <w:uiPriority w:val="59"/>
    <w:rsid w:val="00173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721A97"/>
    <w:pPr>
      <w:spacing w:before="240" w:after="60" w:line="360" w:lineRule="auto"/>
      <w:jc w:val="center"/>
      <w:outlineLvl w:val="0"/>
    </w:pPr>
    <w:rPr>
      <w:b/>
      <w:bCs/>
      <w:kern w:val="28"/>
      <w:sz w:val="48"/>
      <w:szCs w:val="32"/>
    </w:rPr>
  </w:style>
  <w:style w:type="character" w:customStyle="1" w:styleId="TitleChar">
    <w:name w:val="Title Char"/>
    <w:basedOn w:val="DefaultParagraphFont"/>
    <w:link w:val="Title"/>
    <w:uiPriority w:val="10"/>
    <w:rsid w:val="00721A97"/>
    <w:rPr>
      <w:rFonts w:eastAsia="Times New Roman"/>
      <w:b/>
      <w:bCs/>
      <w:kern w:val="28"/>
      <w:sz w:val="48"/>
      <w:szCs w:val="32"/>
      <w:lang w:eastAsia="en-US"/>
    </w:rPr>
  </w:style>
  <w:style w:type="paragraph" w:customStyle="1" w:styleId="AdviceTitle">
    <w:name w:val="Advice Title"/>
    <w:basedOn w:val="Title"/>
    <w:qFormat/>
    <w:rsid w:val="00EA212C"/>
    <w:rPr>
      <w:sz w:val="40"/>
    </w:rPr>
  </w:style>
  <w:style w:type="paragraph" w:styleId="FootnoteText">
    <w:name w:val="footnote text"/>
    <w:basedOn w:val="Normal"/>
    <w:link w:val="FootnoteTextChar"/>
    <w:uiPriority w:val="99"/>
    <w:unhideWhenUsed/>
    <w:rsid w:val="00BC6BC3"/>
    <w:rPr>
      <w:rFonts w:eastAsia="Calibri"/>
      <w:sz w:val="20"/>
      <w:szCs w:val="20"/>
    </w:rPr>
  </w:style>
  <w:style w:type="character" w:customStyle="1" w:styleId="FootnoteTextChar">
    <w:name w:val="Footnote Text Char"/>
    <w:basedOn w:val="DefaultParagraphFont"/>
    <w:link w:val="FootnoteText"/>
    <w:uiPriority w:val="99"/>
    <w:rsid w:val="00BC6BC3"/>
    <w:rPr>
      <w:lang w:eastAsia="en-US"/>
    </w:rPr>
  </w:style>
  <w:style w:type="character" w:styleId="FootnoteReference">
    <w:name w:val="footnote reference"/>
    <w:basedOn w:val="DefaultParagraphFont"/>
    <w:uiPriority w:val="99"/>
    <w:unhideWhenUsed/>
    <w:rsid w:val="00BC6BC3"/>
    <w:rPr>
      <w:vertAlign w:val="superscript"/>
    </w:rPr>
  </w:style>
  <w:style w:type="paragraph" w:styleId="ListParagraph">
    <w:name w:val="List Paragraph"/>
    <w:basedOn w:val="Normal"/>
    <w:uiPriority w:val="34"/>
    <w:qFormat/>
    <w:rsid w:val="00BC6BC3"/>
    <w:pPr>
      <w:spacing w:after="200" w:line="276" w:lineRule="auto"/>
      <w:ind w:left="720"/>
      <w:contextualSpacing/>
    </w:pPr>
    <w:rPr>
      <w:rFonts w:eastAsia="Calibri" w:cs="Arial"/>
      <w:kern w:val="2"/>
    </w:rPr>
  </w:style>
  <w:style w:type="paragraph" w:styleId="TOCHeading">
    <w:name w:val="TOC Heading"/>
    <w:basedOn w:val="Heading1"/>
    <w:next w:val="Normal"/>
    <w:uiPriority w:val="39"/>
    <w:unhideWhenUsed/>
    <w:qFormat/>
    <w:rsid w:val="00721A97"/>
    <w:pPr>
      <w:keepLines/>
      <w:spacing w:before="480" w:line="276" w:lineRule="auto"/>
      <w:outlineLvl w:val="9"/>
    </w:pPr>
    <w:rPr>
      <w:rFonts w:ascii="Cambria" w:hAnsi="Cambria"/>
      <w:bCs/>
      <w:color w:val="365F91"/>
      <w:szCs w:val="28"/>
    </w:rPr>
  </w:style>
  <w:style w:type="paragraph" w:styleId="TOC1">
    <w:name w:val="toc 1"/>
    <w:basedOn w:val="Normal"/>
    <w:next w:val="Normal"/>
    <w:autoRedefine/>
    <w:uiPriority w:val="39"/>
    <w:unhideWhenUsed/>
    <w:rsid w:val="00721A97"/>
  </w:style>
  <w:style w:type="paragraph" w:customStyle="1" w:styleId="ColorfulList-Accent11">
    <w:name w:val="Colorful List - Accent 11"/>
    <w:basedOn w:val="Normal"/>
    <w:uiPriority w:val="34"/>
    <w:qFormat/>
    <w:rsid w:val="00546B4E"/>
    <w:pPr>
      <w:ind w:left="720"/>
      <w:contextualSpacing/>
    </w:pPr>
    <w:rPr>
      <w:rFonts w:ascii="Times New Roman" w:hAnsi="Times New Roman"/>
    </w:rPr>
  </w:style>
  <w:style w:type="paragraph" w:customStyle="1" w:styleId="Default">
    <w:name w:val="Default"/>
    <w:rsid w:val="00DF2237"/>
    <w:pPr>
      <w:autoSpaceDE w:val="0"/>
      <w:autoSpaceDN w:val="0"/>
      <w:adjustRightInd w:val="0"/>
    </w:pPr>
    <w:rPr>
      <w:rFonts w:cs="Calibri"/>
      <w:color w:val="000000"/>
      <w:sz w:val="24"/>
      <w:szCs w:val="24"/>
    </w:rPr>
  </w:style>
  <w:style w:type="character" w:styleId="CommentReference">
    <w:name w:val="annotation reference"/>
    <w:basedOn w:val="DefaultParagraphFont"/>
    <w:uiPriority w:val="99"/>
    <w:semiHidden/>
    <w:unhideWhenUsed/>
    <w:rsid w:val="000F63B6"/>
    <w:rPr>
      <w:sz w:val="16"/>
      <w:szCs w:val="16"/>
    </w:rPr>
  </w:style>
  <w:style w:type="paragraph" w:styleId="CommentText">
    <w:name w:val="annotation text"/>
    <w:basedOn w:val="Normal"/>
    <w:link w:val="CommentTextChar"/>
    <w:uiPriority w:val="99"/>
    <w:semiHidden/>
    <w:unhideWhenUsed/>
    <w:rsid w:val="000F63B6"/>
    <w:rPr>
      <w:sz w:val="20"/>
      <w:szCs w:val="20"/>
    </w:rPr>
  </w:style>
  <w:style w:type="character" w:customStyle="1" w:styleId="CommentTextChar">
    <w:name w:val="Comment Text Char"/>
    <w:basedOn w:val="DefaultParagraphFont"/>
    <w:link w:val="CommentText"/>
    <w:uiPriority w:val="99"/>
    <w:semiHidden/>
    <w:rsid w:val="000F63B6"/>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0F63B6"/>
    <w:rPr>
      <w:b/>
      <w:bCs/>
    </w:rPr>
  </w:style>
  <w:style w:type="character" w:customStyle="1" w:styleId="CommentSubjectChar">
    <w:name w:val="Comment Subject Char"/>
    <w:basedOn w:val="CommentTextChar"/>
    <w:link w:val="CommentSubject"/>
    <w:uiPriority w:val="99"/>
    <w:semiHidden/>
    <w:rsid w:val="000F63B6"/>
    <w:rPr>
      <w:b/>
      <w:bCs/>
    </w:rPr>
  </w:style>
  <w:style w:type="paragraph" w:customStyle="1" w:styleId="Amain">
    <w:name w:val="A main"/>
    <w:basedOn w:val="Normal"/>
    <w:rsid w:val="00D5130D"/>
    <w:pPr>
      <w:spacing w:before="140"/>
      <w:ind w:left="1100" w:hanging="1100"/>
      <w:jc w:val="both"/>
    </w:pPr>
    <w:rPr>
      <w:rFonts w:ascii="Times New Roman" w:eastAsia="Calibri" w:hAnsi="Times New Roman"/>
      <w:lang w:eastAsia="en-AU"/>
    </w:rPr>
  </w:style>
  <w:style w:type="character" w:customStyle="1" w:styleId="AparaChar">
    <w:name w:val="A para Char"/>
    <w:basedOn w:val="DefaultParagraphFont"/>
    <w:link w:val="Apara"/>
    <w:locked/>
    <w:rsid w:val="00D5130D"/>
    <w:rPr>
      <w:rFonts w:eastAsia="Calibri"/>
      <w:sz w:val="24"/>
      <w:szCs w:val="24"/>
    </w:rPr>
  </w:style>
  <w:style w:type="paragraph" w:customStyle="1" w:styleId="Apara">
    <w:name w:val="A para"/>
    <w:basedOn w:val="Normal"/>
    <w:link w:val="AparaChar"/>
    <w:rsid w:val="00D5130D"/>
    <w:pPr>
      <w:spacing w:before="140"/>
      <w:ind w:left="1600" w:hanging="1600"/>
      <w:jc w:val="both"/>
    </w:pPr>
    <w:rPr>
      <w:rFonts w:eastAsia="Calibri"/>
      <w:lang w:eastAsia="en-AU"/>
    </w:rPr>
  </w:style>
  <w:style w:type="paragraph" w:customStyle="1" w:styleId="Asubpara">
    <w:name w:val="A subpara"/>
    <w:basedOn w:val="Normal"/>
    <w:rsid w:val="00D5130D"/>
    <w:pPr>
      <w:spacing w:before="140"/>
      <w:ind w:left="2100" w:hanging="2100"/>
      <w:jc w:val="both"/>
    </w:pPr>
    <w:rPr>
      <w:rFonts w:ascii="Times New Roman" w:eastAsia="Calibri" w:hAnsi="Times New Roman"/>
      <w:lang w:eastAsia="en-AU"/>
    </w:rPr>
  </w:style>
  <w:style w:type="character" w:customStyle="1" w:styleId="aNoteChar">
    <w:name w:val="aNote Char"/>
    <w:basedOn w:val="DefaultParagraphFont"/>
    <w:link w:val="aNote"/>
    <w:locked/>
    <w:rsid w:val="00D5130D"/>
    <w:rPr>
      <w:rFonts w:eastAsia="Calibri"/>
      <w:sz w:val="22"/>
      <w:szCs w:val="22"/>
    </w:rPr>
  </w:style>
  <w:style w:type="paragraph" w:customStyle="1" w:styleId="aNote">
    <w:name w:val="aNote"/>
    <w:basedOn w:val="Normal"/>
    <w:link w:val="aNoteChar"/>
    <w:rsid w:val="00D5130D"/>
    <w:pPr>
      <w:spacing w:before="140"/>
      <w:ind w:left="1900" w:hanging="800"/>
      <w:jc w:val="both"/>
    </w:pPr>
    <w:rPr>
      <w:rFonts w:eastAsia="Calibri"/>
      <w:sz w:val="22"/>
      <w:szCs w:val="22"/>
      <w:lang w:eastAsia="en-AU"/>
    </w:rPr>
  </w:style>
  <w:style w:type="character" w:customStyle="1" w:styleId="AH5SecChar">
    <w:name w:val="A H5 Sec Char"/>
    <w:basedOn w:val="DefaultParagraphFont"/>
    <w:link w:val="AH5Sec"/>
    <w:locked/>
    <w:rsid w:val="00D5130D"/>
    <w:rPr>
      <w:rFonts w:ascii="Arial" w:hAnsi="Arial" w:cs="Arial"/>
      <w:b/>
      <w:bCs/>
    </w:rPr>
  </w:style>
  <w:style w:type="paragraph" w:customStyle="1" w:styleId="AH5Sec">
    <w:name w:val="A H5 Sec"/>
    <w:basedOn w:val="Normal"/>
    <w:link w:val="AH5SecChar"/>
    <w:rsid w:val="00D5130D"/>
    <w:pPr>
      <w:keepNext/>
      <w:spacing w:before="240"/>
      <w:ind w:left="1100" w:hanging="1100"/>
    </w:pPr>
    <w:rPr>
      <w:rFonts w:ascii="Arial" w:eastAsia="Calibri" w:hAnsi="Arial" w:cs="Arial"/>
      <w:b/>
      <w:bCs/>
      <w:sz w:val="20"/>
      <w:szCs w:val="20"/>
      <w:lang w:eastAsia="en-AU"/>
    </w:rPr>
  </w:style>
  <w:style w:type="paragraph" w:customStyle="1" w:styleId="AH4SubDiv">
    <w:name w:val="A H4 SubDiv"/>
    <w:basedOn w:val="Normal"/>
    <w:rsid w:val="00D5130D"/>
    <w:pPr>
      <w:keepNext/>
      <w:spacing w:before="240"/>
      <w:ind w:left="2600" w:hanging="2600"/>
    </w:pPr>
    <w:rPr>
      <w:rFonts w:ascii="Arial" w:eastAsia="Calibri" w:hAnsi="Arial" w:cs="Arial"/>
      <w:b/>
      <w:bCs/>
      <w:sz w:val="26"/>
      <w:szCs w:val="26"/>
      <w:lang w:eastAsia="en-AU"/>
    </w:rPr>
  </w:style>
  <w:style w:type="character" w:customStyle="1" w:styleId="CharSectNo">
    <w:name w:val="CharSectNo"/>
    <w:basedOn w:val="DefaultParagraphFont"/>
    <w:rsid w:val="00D5130D"/>
    <w:rPr>
      <w:rFonts w:ascii="Times New Roman" w:hAnsi="Times New Roman" w:cs="Times New Roman" w:hint="default"/>
    </w:rPr>
  </w:style>
  <w:style w:type="character" w:customStyle="1" w:styleId="charItals">
    <w:name w:val="charItals"/>
    <w:basedOn w:val="DefaultParagraphFont"/>
    <w:rsid w:val="00D5130D"/>
    <w:rPr>
      <w:rFonts w:ascii="Times New Roman" w:hAnsi="Times New Roman" w:cs="Times New Roman" w:hint="default"/>
      <w:i/>
      <w:iCs/>
    </w:rPr>
  </w:style>
  <w:style w:type="character" w:customStyle="1" w:styleId="charCitHyperlinkAbbrev">
    <w:name w:val="charCitHyperlinkAbbrev"/>
    <w:basedOn w:val="DefaultParagraphFont"/>
    <w:uiPriority w:val="1"/>
    <w:rsid w:val="00D5130D"/>
    <w:rPr>
      <w:rFonts w:ascii="Times New Roman" w:hAnsi="Times New Roman" w:cs="Times New Roman" w:hint="default"/>
      <w:strike w:val="0"/>
      <w:dstrike w:val="0"/>
      <w:color w:val="0000FF"/>
      <w:u w:val="none"/>
      <w:effect w:val="none"/>
    </w:rPr>
  </w:style>
  <w:style w:type="paragraph" w:styleId="EndnoteText">
    <w:name w:val="endnote text"/>
    <w:basedOn w:val="Normal"/>
    <w:link w:val="EndnoteTextChar"/>
    <w:uiPriority w:val="99"/>
    <w:semiHidden/>
    <w:unhideWhenUsed/>
    <w:rsid w:val="002F3B25"/>
    <w:rPr>
      <w:sz w:val="20"/>
      <w:szCs w:val="20"/>
    </w:rPr>
  </w:style>
  <w:style w:type="character" w:customStyle="1" w:styleId="EndnoteTextChar">
    <w:name w:val="Endnote Text Char"/>
    <w:basedOn w:val="DefaultParagraphFont"/>
    <w:link w:val="EndnoteText"/>
    <w:uiPriority w:val="99"/>
    <w:semiHidden/>
    <w:rsid w:val="002F3B25"/>
    <w:rPr>
      <w:rFonts w:eastAsia="Times New Roman"/>
      <w:lang w:eastAsia="en-US"/>
    </w:rPr>
  </w:style>
  <w:style w:type="character" w:styleId="EndnoteReference">
    <w:name w:val="endnote reference"/>
    <w:basedOn w:val="DefaultParagraphFont"/>
    <w:uiPriority w:val="99"/>
    <w:semiHidden/>
    <w:unhideWhenUsed/>
    <w:rsid w:val="002F3B25"/>
    <w:rPr>
      <w:vertAlign w:val="superscript"/>
    </w:rPr>
  </w:style>
  <w:style w:type="table" w:customStyle="1" w:styleId="LightList">
    <w:name w:val="Light List"/>
    <w:basedOn w:val="TableNormal"/>
    <w:uiPriority w:val="61"/>
    <w:rsid w:val="00FF5840"/>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r="http://schemas.openxmlformats.org/officeDocument/2006/relationships" xmlns:w="http://schemas.openxmlformats.org/wordprocessingml/2006/main">
  <w:divs>
    <w:div w:id="203345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ise%20ernst\AppData\Local\Microsoft\Windows\Temporary%20Internet%20Files\Content.Outlook\ZWJ9JN7L\MASTER%20Policy-ACT%20PUBLIC%20SECTOR%20%20REASONABLE%20ADJUSTMENT%20POLI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MASTER Policy-ACT PUBLIC SECTOR  REASONABLE ADJUSTMENT POLICY.dot</Template>
  <TotalTime>2</TotalTime>
  <Pages>6</Pages>
  <Words>1965</Words>
  <Characters>11206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Commissioner for Public Administration Policy Advice Note</vt:lpstr>
    </vt:vector>
  </TitlesOfParts>
  <Company>InTACT</Company>
  <LinksUpToDate>false</LinksUpToDate>
  <CharactersWithSpaces>13145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ACTPS Responding to workplace accidents-incidents policy</dc:title>
  <dc:creator>Kate O'Sullivan</dc:creator>
  <cp:keywords>WSIR</cp:keywords>
  <cp:lastModifiedBy>kate o'sullivan</cp:lastModifiedBy>
  <cp:revision>2</cp:revision>
  <cp:lastPrinted>2016-06-28T05:38:00Z</cp:lastPrinted>
  <dcterms:created xsi:type="dcterms:W3CDTF">2016-06-28T05:40:00Z</dcterms:created>
  <dcterms:modified xsi:type="dcterms:W3CDTF">2016-06-28T05:40:00Z</dcterms:modified>
</cp:coreProperties>
</file>