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4A138" w14:textId="77777777" w:rsidR="000A06D9" w:rsidRDefault="00E330A6" w:rsidP="000A06D9">
      <w:pPr>
        <w:pStyle w:val="Title"/>
        <w:jc w:val="center"/>
        <w:rPr>
          <w:rFonts w:ascii="Calibri" w:hAnsi="Calibri"/>
          <w:b/>
          <w:sz w:val="50"/>
        </w:rPr>
      </w:pPr>
      <w:bookmarkStart w:id="0" w:name="_GoBack"/>
      <w:bookmarkEnd w:id="0"/>
      <w:r>
        <w:rPr>
          <w:rFonts w:ascii="Calibri" w:hAnsi="Calibri"/>
          <w:b/>
          <w:noProof/>
          <w:sz w:val="50"/>
          <w:lang w:eastAsia="en-AU"/>
        </w:rPr>
        <w:drawing>
          <wp:anchor distT="0" distB="0" distL="114300" distR="114300" simplePos="0" relativeHeight="251668480" behindDoc="0" locked="0" layoutInCell="1" allowOverlap="1" wp14:anchorId="4F1708D6" wp14:editId="41BAE0C5">
            <wp:simplePos x="0" y="0"/>
            <wp:positionH relativeFrom="column">
              <wp:posOffset>5858510</wp:posOffset>
            </wp:positionH>
            <wp:positionV relativeFrom="paragraph">
              <wp:posOffset>240975</wp:posOffset>
            </wp:positionV>
            <wp:extent cx="2472690" cy="1254125"/>
            <wp:effectExtent l="0" t="0" r="3810" b="3175"/>
            <wp:wrapNone/>
            <wp:docPr id="1" name="Picture 3" descr="A black version of the ACT government logo featuring the ACT coat of arms in a black circle along side the text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inline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690" cy="1254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579D003" w14:textId="77777777" w:rsidR="000A06D9" w:rsidRDefault="0051490F" w:rsidP="000A06D9">
      <w:pPr>
        <w:pStyle w:val="Title"/>
        <w:jc w:val="center"/>
        <w:rPr>
          <w:rFonts w:ascii="Calibri" w:hAnsi="Calibri"/>
          <w:b/>
          <w:sz w:val="50"/>
        </w:rPr>
      </w:pPr>
      <w:r>
        <w:rPr>
          <w:rFonts w:ascii="Calibri" w:hAnsi="Calibri"/>
          <w:b/>
          <w:noProof/>
          <w:sz w:val="50"/>
          <w:lang w:eastAsia="en-AU"/>
        </w:rPr>
        <w:drawing>
          <wp:anchor distT="0" distB="0" distL="114300" distR="114300" simplePos="0" relativeHeight="251662336" behindDoc="0" locked="0" layoutInCell="1" allowOverlap="1" wp14:anchorId="394DB60A" wp14:editId="754D7A9E">
            <wp:simplePos x="0" y="0"/>
            <wp:positionH relativeFrom="margin">
              <wp:posOffset>12321540</wp:posOffset>
            </wp:positionH>
            <wp:positionV relativeFrom="paragraph">
              <wp:posOffset>180975</wp:posOffset>
            </wp:positionV>
            <wp:extent cx="1885950" cy="1343025"/>
            <wp:effectExtent l="0" t="0" r="0" b="9525"/>
            <wp:wrapNone/>
            <wp:docPr id="6" name="Picture 6" descr="A small scale version of the art work 'Wayamba' by partick Chapman, reversed to face left.&#10;A top down two dimensional line drawing of a  green and black coloured turtle and a white clutch of eggs trailing behind. The image is outlined by nonlinear geometric lines and shapes to form a rectanglular image. Some of the concentric shapes are filled in either drak blue or green." title="'Wayamba' by partick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ippleFight:Desktop:ACTPS:design work:Employment framework:Wayamba_reverse_ed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343025"/>
                    </a:xfrm>
                    <a:prstGeom prst="rect">
                      <a:avLst/>
                    </a:prstGeom>
                    <a:noFill/>
                    <a:ln>
                      <a:noFill/>
                    </a:ln>
                  </pic:spPr>
                </pic:pic>
              </a:graphicData>
            </a:graphic>
          </wp:anchor>
        </w:drawing>
      </w:r>
      <w:r>
        <w:rPr>
          <w:rFonts w:ascii="Calibri" w:hAnsi="Calibri"/>
          <w:b/>
          <w:noProof/>
          <w:sz w:val="50"/>
          <w:lang w:eastAsia="en-AU"/>
        </w:rPr>
        <w:drawing>
          <wp:anchor distT="0" distB="0" distL="114300" distR="114300" simplePos="0" relativeHeight="251666432" behindDoc="0" locked="0" layoutInCell="1" allowOverlap="1" wp14:anchorId="3865E933" wp14:editId="38B00F49">
            <wp:simplePos x="0" y="0"/>
            <wp:positionH relativeFrom="margin">
              <wp:posOffset>0</wp:posOffset>
            </wp:positionH>
            <wp:positionV relativeFrom="paragraph">
              <wp:posOffset>181920</wp:posOffset>
            </wp:positionV>
            <wp:extent cx="1885950" cy="1343025"/>
            <wp:effectExtent l="0" t="0" r="0" b="9525"/>
            <wp:wrapNone/>
            <wp:docPr id="7" name="Picture 7" descr="A small scale version of the art work 'Wayamba by partick Chapman.&#10;A top down two dimensional line drawing of a  green coloured turtle and a white clutch of eggs outlined by nonlinear geometric lines and shapes to form a rectanglular image. Some of the concentric shapes are filled in either drak blue or green." title="'Wayamba by partick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rippleFight:Desktop:ACTPS:design work:Employment framework:Wayamba_ed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343025"/>
                    </a:xfrm>
                    <a:prstGeom prst="rect">
                      <a:avLst/>
                    </a:prstGeom>
                    <a:noFill/>
                    <a:ln>
                      <a:noFill/>
                    </a:ln>
                  </pic:spPr>
                </pic:pic>
              </a:graphicData>
            </a:graphic>
          </wp:anchor>
        </w:drawing>
      </w:r>
    </w:p>
    <w:p w14:paraId="3D2DE7DE" w14:textId="77777777" w:rsidR="0051490F" w:rsidRDefault="0051490F" w:rsidP="000A06D9">
      <w:pPr>
        <w:pStyle w:val="Title"/>
        <w:jc w:val="center"/>
        <w:rPr>
          <w:rFonts w:ascii="Calibri" w:hAnsi="Calibri"/>
          <w:b/>
          <w:sz w:val="50"/>
        </w:rPr>
      </w:pPr>
    </w:p>
    <w:p w14:paraId="25251541" w14:textId="77777777" w:rsidR="0051490F" w:rsidRDefault="0051490F" w:rsidP="000A06D9">
      <w:pPr>
        <w:pStyle w:val="Title"/>
        <w:jc w:val="center"/>
        <w:rPr>
          <w:rFonts w:ascii="Calibri" w:hAnsi="Calibri"/>
          <w:b/>
          <w:sz w:val="50"/>
        </w:rPr>
      </w:pPr>
    </w:p>
    <w:p w14:paraId="1AAD1DC8" w14:textId="77777777" w:rsidR="000A06D9" w:rsidRPr="00A3469E" w:rsidRDefault="000A06D9" w:rsidP="000A06D9">
      <w:pPr>
        <w:pStyle w:val="Title"/>
        <w:jc w:val="center"/>
        <w:rPr>
          <w:rFonts w:ascii="Calibri" w:hAnsi="Calibri"/>
          <w:b/>
          <w:sz w:val="50"/>
        </w:rPr>
      </w:pPr>
      <w:r w:rsidRPr="00A3469E">
        <w:rPr>
          <w:rFonts w:ascii="Calibri" w:hAnsi="Calibri"/>
          <w:b/>
          <w:sz w:val="50"/>
        </w:rPr>
        <w:t xml:space="preserve">Aboriginal and Torres Strait Islander Employment </w:t>
      </w:r>
      <w:r>
        <w:rPr>
          <w:rFonts w:ascii="Calibri" w:hAnsi="Calibri"/>
          <w:b/>
          <w:sz w:val="50"/>
        </w:rPr>
        <w:t>Framework</w:t>
      </w:r>
    </w:p>
    <w:p w14:paraId="7E5C39D9" w14:textId="6B79F20A" w:rsidR="000A06D9" w:rsidRPr="000A06D9" w:rsidRDefault="000A06D9" w:rsidP="000A06D9">
      <w:pPr>
        <w:jc w:val="center"/>
        <w:rPr>
          <w:sz w:val="30"/>
        </w:rPr>
      </w:pPr>
      <w:r>
        <w:rPr>
          <w:b/>
          <w:noProof/>
          <w:sz w:val="30"/>
          <w:lang w:eastAsia="en-AU"/>
        </w:rPr>
        <w:drawing>
          <wp:anchor distT="310896" distB="320294" distL="114300" distR="114300" simplePos="0" relativeHeight="251655168" behindDoc="0" locked="0" layoutInCell="1" allowOverlap="1" wp14:anchorId="5547417B" wp14:editId="2735ABC8">
            <wp:simplePos x="0" y="0"/>
            <wp:positionH relativeFrom="column">
              <wp:posOffset>3113405</wp:posOffset>
            </wp:positionH>
            <wp:positionV relativeFrom="paragraph">
              <wp:posOffset>1398905</wp:posOffset>
            </wp:positionV>
            <wp:extent cx="7641590" cy="6983730"/>
            <wp:effectExtent l="19050" t="0" r="16510" b="0"/>
            <wp:wrapNone/>
            <wp:docPr id="2" name="Diagram 1" descr="The seven key areas of focus for the framework are listed from left to right, higlighted in different colours in an arc, with arrows poitning to a central circle that states the employment target for the ACTPS" title="407 Aboriginal and/or Torres Strait islander employees by 30 June 20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0A06D9">
        <w:rPr>
          <w:b/>
          <w:sz w:val="30"/>
        </w:rPr>
        <w:t>Defining Statement:</w:t>
      </w:r>
      <w:r w:rsidRPr="000A06D9">
        <w:rPr>
          <w:sz w:val="30"/>
        </w:rPr>
        <w:t xml:space="preserve"> An important aim of the ACT Government is to provide prosperity and quality of life to all Canberrans. Education and a steady, regular income are two of the basic ingredients of a fulfilling and fruitful life. This Employment Framework facilitates both for Aboriginal and Torres Strait Islander People. This Framework establishes the actions to be used across the Service to reach that goal. Through these actions, the ACT Government aims to provide economic freedom for Aboriginal and Torres Strait Islander People in the ACT and provide genuine career opportunities for existing ACT Government employees.</w:t>
      </w:r>
      <w:r w:rsidR="004539CB">
        <w:rPr>
          <w:sz w:val="30"/>
        </w:rPr>
        <w:t xml:space="preserve"> </w:t>
      </w:r>
    </w:p>
    <w:p w14:paraId="332442E1" w14:textId="77777777" w:rsidR="000A06D9" w:rsidRDefault="00837CA7">
      <w:pPr>
        <w:spacing w:after="0" w:line="240" w:lineRule="auto"/>
      </w:pPr>
      <w:r>
        <w:rPr>
          <w:b/>
          <w:noProof/>
          <w:sz w:val="30"/>
          <w:lang w:eastAsia="en-AU"/>
        </w:rPr>
        <w:drawing>
          <wp:anchor distT="0" distB="0" distL="114300" distR="114300" simplePos="0" relativeHeight="251667456" behindDoc="1" locked="0" layoutInCell="1" allowOverlap="1" wp14:anchorId="27D56619" wp14:editId="40BA898D">
            <wp:simplePos x="0" y="0"/>
            <wp:positionH relativeFrom="column">
              <wp:posOffset>1887039</wp:posOffset>
            </wp:positionH>
            <wp:positionV relativeFrom="paragraph">
              <wp:posOffset>188776</wp:posOffset>
            </wp:positionV>
            <wp:extent cx="10117727" cy="7223760"/>
            <wp:effectExtent l="19050" t="0" r="0" b="0"/>
            <wp:wrapNone/>
            <wp:docPr id="8" name="Picture 8" descr="A two dimensional line and shape drawing by Partick chapman.&#10;The image features an amorphes diamond shape of concentric black lines, a large couloured shape in each corner and a smaller central orange coloured circle. The coloured shapes are blue, yellow, green, and red respectively  moving clockwise from the top of the image. The bottom quarter of the image extends off the page and is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ippleFight:Desktop:ACTPS:design work:Employment framework:Union_1_edited_cu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7727" cy="7223760"/>
                    </a:xfrm>
                    <a:prstGeom prst="rect">
                      <a:avLst/>
                    </a:prstGeom>
                    <a:noFill/>
                    <a:ln>
                      <a:noFill/>
                    </a:ln>
                  </pic:spPr>
                </pic:pic>
              </a:graphicData>
            </a:graphic>
          </wp:anchor>
        </w:drawing>
      </w:r>
    </w:p>
    <w:p w14:paraId="11266DC2" w14:textId="77777777" w:rsidR="000A06D9" w:rsidRDefault="000A06D9">
      <w:r>
        <w:rPr>
          <w:noProof/>
          <w:lang w:eastAsia="en-AU"/>
        </w:rPr>
        <w:lastRenderedPageBreak/>
        <w:drawing>
          <wp:anchor distT="0" distB="0" distL="114300" distR="114300" simplePos="0" relativeHeight="251661312" behindDoc="1" locked="0" layoutInCell="1" allowOverlap="1" wp14:anchorId="4F3BB01A" wp14:editId="4A4E0A07">
            <wp:simplePos x="0" y="0"/>
            <wp:positionH relativeFrom="column">
              <wp:posOffset>1276350</wp:posOffset>
            </wp:positionH>
            <wp:positionV relativeFrom="paragraph">
              <wp:posOffset>-57150</wp:posOffset>
            </wp:positionV>
            <wp:extent cx="11894820" cy="9953625"/>
            <wp:effectExtent l="38100" t="0" r="68580" b="9525"/>
            <wp:wrapTight wrapText="bothSides">
              <wp:wrapPolygon edited="0">
                <wp:start x="138" y="0"/>
                <wp:lineTo x="-69" y="0"/>
                <wp:lineTo x="-69" y="3845"/>
                <wp:lineTo x="10828" y="3969"/>
                <wp:lineTo x="10828" y="4630"/>
                <wp:lineTo x="-69" y="4878"/>
                <wp:lineTo x="-69" y="21538"/>
                <wp:lineTo x="104" y="21579"/>
                <wp:lineTo x="21482" y="21579"/>
                <wp:lineTo x="21517" y="21579"/>
                <wp:lineTo x="21655" y="21207"/>
                <wp:lineTo x="21690" y="4919"/>
                <wp:lineTo x="20998" y="4878"/>
                <wp:lineTo x="10793" y="4630"/>
                <wp:lineTo x="10828" y="3969"/>
                <wp:lineTo x="18957" y="3969"/>
                <wp:lineTo x="21690" y="3803"/>
                <wp:lineTo x="21655" y="620"/>
                <wp:lineTo x="21552" y="207"/>
                <wp:lineTo x="21448" y="0"/>
                <wp:lineTo x="138" y="0"/>
              </wp:wrapPolygon>
            </wp:wrapTight>
            <wp:docPr id="3" name="Diagram 3" descr="On the top row details of the employment target is provided on a black rectangular background.&#10;The remainder of the object consists of seven paralell coloumns featuring the seven key work areas and examples of associated prorams listed vertically on individual rectangular backgrounds that match the colours used previousl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5817C798" w14:textId="76F20870" w:rsidR="000A06D9" w:rsidRDefault="000A06D9" w:rsidP="00D77594">
      <w:pPr>
        <w:spacing w:after="0" w:line="240" w:lineRule="auto"/>
        <w:rPr>
          <w:b/>
        </w:rPr>
      </w:pPr>
      <w:r w:rsidRPr="00A25E0B">
        <w:rPr>
          <w:b/>
        </w:rPr>
        <w:lastRenderedPageBreak/>
        <w:t xml:space="preserve">Notes </w:t>
      </w:r>
    </w:p>
    <w:p w14:paraId="2350E4CB" w14:textId="0BA93F67" w:rsidR="000A06D9" w:rsidRPr="00C82E01" w:rsidRDefault="000A06D9" w:rsidP="000A06D9">
      <w:pPr>
        <w:rPr>
          <w:sz w:val="20"/>
        </w:rPr>
      </w:pPr>
      <w:r w:rsidRPr="00C82E01">
        <w:rPr>
          <w:b/>
          <w:sz w:val="20"/>
        </w:rPr>
        <w:t xml:space="preserve">1. </w:t>
      </w:r>
      <w:r w:rsidRPr="00C82E01">
        <w:rPr>
          <w:sz w:val="20"/>
        </w:rPr>
        <w:t>This</w:t>
      </w:r>
      <w:r w:rsidRPr="00C82E01">
        <w:rPr>
          <w:b/>
          <w:sz w:val="20"/>
        </w:rPr>
        <w:t xml:space="preserve"> </w:t>
      </w:r>
      <w:r w:rsidRPr="00C82E01">
        <w:rPr>
          <w:sz w:val="20"/>
        </w:rPr>
        <w:t xml:space="preserve">Framework provides overarching guidance regarding the various activities that may be used to attract and retain a diverse workforce. All directorates either already have, or are in the process of developing an Aboriginal and Torres Strait Islander Employment Strategy </w:t>
      </w:r>
      <w:r>
        <w:rPr>
          <w:sz w:val="20"/>
        </w:rPr>
        <w:t>based</w:t>
      </w:r>
      <w:r w:rsidRPr="00C82E01">
        <w:rPr>
          <w:sz w:val="20"/>
        </w:rPr>
        <w:t xml:space="preserve"> </w:t>
      </w:r>
      <w:r>
        <w:rPr>
          <w:sz w:val="20"/>
        </w:rPr>
        <w:t xml:space="preserve">upon directorate-specific </w:t>
      </w:r>
      <w:r w:rsidRPr="00C82E01">
        <w:rPr>
          <w:sz w:val="20"/>
        </w:rPr>
        <w:t>targets issued by the Head of Service. Refer to directorate-specific strategies for further information on actions, timeframes, reporting etc.</w:t>
      </w:r>
    </w:p>
    <w:p w14:paraId="7165F9AA" w14:textId="77777777" w:rsidR="000A06D9" w:rsidRDefault="000A06D9" w:rsidP="000A06D9">
      <w:pPr>
        <w:rPr>
          <w:sz w:val="20"/>
        </w:rPr>
      </w:pPr>
      <w:r w:rsidRPr="00C82E01">
        <w:rPr>
          <w:b/>
          <w:sz w:val="20"/>
        </w:rPr>
        <w:t>2.</w:t>
      </w:r>
      <w:r w:rsidRPr="00C82E01">
        <w:rPr>
          <w:sz w:val="20"/>
        </w:rPr>
        <w:t xml:space="preserve"> *Denotes whole-of-government initiatives led by the Workforce Capability and Governance Division </w:t>
      </w:r>
      <w:r>
        <w:rPr>
          <w:sz w:val="20"/>
        </w:rPr>
        <w:t xml:space="preserve">(WCAGD) </w:t>
      </w:r>
      <w:r w:rsidRPr="00C82E01">
        <w:rPr>
          <w:sz w:val="20"/>
        </w:rPr>
        <w:t>in the Chief Minister, Treasury and Economic Development Directorate. All other activities are to be considered for incorporation into Directorate-specific employment strategies.</w:t>
      </w:r>
    </w:p>
    <w:p w14:paraId="7027D841" w14:textId="77777777" w:rsidR="00973A5A" w:rsidRDefault="000A06D9" w:rsidP="000A06D9">
      <w:pPr>
        <w:rPr>
          <w:sz w:val="20"/>
        </w:rPr>
      </w:pPr>
      <w:r w:rsidRPr="00D353DD">
        <w:rPr>
          <w:b/>
          <w:sz w:val="20"/>
        </w:rPr>
        <w:t xml:space="preserve">3. </w:t>
      </w:r>
      <w:r>
        <w:rPr>
          <w:b/>
          <w:sz w:val="20"/>
        </w:rPr>
        <w:t>**</w:t>
      </w:r>
      <w:r>
        <w:rPr>
          <w:sz w:val="20"/>
        </w:rPr>
        <w:t xml:space="preserve"> Directorates are responsible for monitoring their own progress towards targets issued to their Director-general by the Head of Service. To support this process, WCAGD will issue a quarterly workforce status update that provides an overview of progress towards employment targets. WCAGD also facilitate the reporting of relevant workforce data in the annual State of the Servi</w:t>
      </w:r>
      <w:r w:rsidR="00973A5A">
        <w:rPr>
          <w:sz w:val="20"/>
        </w:rPr>
        <w:t>ce report.</w:t>
      </w:r>
    </w:p>
    <w:p w14:paraId="43A02C3A" w14:textId="77777777" w:rsidR="00973A5A" w:rsidRPr="00973A5A" w:rsidRDefault="00973A5A" w:rsidP="00973A5A">
      <w:pPr>
        <w:rPr>
          <w:sz w:val="20"/>
        </w:rPr>
      </w:pPr>
      <w:r>
        <w:rPr>
          <w:sz w:val="20"/>
        </w:rPr>
        <w:t xml:space="preserve">4.  Art work by Patrick Chapman </w:t>
      </w:r>
    </w:p>
    <w:p w14:paraId="72CD7539" w14:textId="77777777" w:rsidR="002708DC" w:rsidRDefault="002708DC"/>
    <w:sectPr w:rsidR="002708DC" w:rsidSect="00785110">
      <w:footerReference w:type="default" r:id="rId25"/>
      <w:pgSz w:w="23814" w:h="16839"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0FE18" w14:textId="77777777" w:rsidR="004539CB" w:rsidRDefault="004539CB" w:rsidP="000A06D9">
      <w:pPr>
        <w:spacing w:after="0" w:line="240" w:lineRule="auto"/>
      </w:pPr>
      <w:r>
        <w:separator/>
      </w:r>
    </w:p>
  </w:endnote>
  <w:endnote w:type="continuationSeparator" w:id="0">
    <w:p w14:paraId="5F237B60" w14:textId="77777777" w:rsidR="004539CB" w:rsidRDefault="004539CB" w:rsidP="000A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036147"/>
      <w:docPartObj>
        <w:docPartGallery w:val="Page Numbers (Bottom of Page)"/>
        <w:docPartUnique/>
      </w:docPartObj>
    </w:sdtPr>
    <w:sdtEndPr/>
    <w:sdtContent>
      <w:sdt>
        <w:sdtPr>
          <w:id w:val="565050477"/>
          <w:docPartObj>
            <w:docPartGallery w:val="Page Numbers (Top of Page)"/>
            <w:docPartUnique/>
          </w:docPartObj>
        </w:sdtPr>
        <w:sdtEndPr/>
        <w:sdtContent>
          <w:p w14:paraId="29B0B0DE" w14:textId="77777777" w:rsidR="004539CB" w:rsidRDefault="004539CB" w:rsidP="000A06D9">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84083">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84083">
              <w:rPr>
                <w:b/>
                <w:noProof/>
              </w:rPr>
              <w:t>4</w:t>
            </w:r>
            <w:r>
              <w:rPr>
                <w:b/>
                <w:sz w:val="24"/>
                <w:szCs w:val="24"/>
              </w:rPr>
              <w:fldChar w:fldCharType="end"/>
            </w:r>
          </w:p>
        </w:sdtContent>
      </w:sdt>
    </w:sdtContent>
  </w:sdt>
  <w:p w14:paraId="7A7E063E" w14:textId="77777777" w:rsidR="004539CB" w:rsidRDefault="00453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5C0B9" w14:textId="77777777" w:rsidR="004539CB" w:rsidRDefault="004539CB" w:rsidP="000A06D9">
      <w:pPr>
        <w:spacing w:after="0" w:line="240" w:lineRule="auto"/>
      </w:pPr>
      <w:r>
        <w:separator/>
      </w:r>
    </w:p>
  </w:footnote>
  <w:footnote w:type="continuationSeparator" w:id="0">
    <w:p w14:paraId="7682D8BE" w14:textId="77777777" w:rsidR="004539CB" w:rsidRDefault="004539CB" w:rsidP="000A0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7C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2DA0E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187"/>
    <w:rsid w:val="00076D34"/>
    <w:rsid w:val="000A06D9"/>
    <w:rsid w:val="000C4FAA"/>
    <w:rsid w:val="000F51AE"/>
    <w:rsid w:val="00184083"/>
    <w:rsid w:val="001A2EA3"/>
    <w:rsid w:val="001B77F2"/>
    <w:rsid w:val="001F2126"/>
    <w:rsid w:val="00227EE2"/>
    <w:rsid w:val="002708DC"/>
    <w:rsid w:val="002E7E82"/>
    <w:rsid w:val="003347C3"/>
    <w:rsid w:val="003360B2"/>
    <w:rsid w:val="00347307"/>
    <w:rsid w:val="00351C24"/>
    <w:rsid w:val="003913FB"/>
    <w:rsid w:val="004539CB"/>
    <w:rsid w:val="004D574C"/>
    <w:rsid w:val="004F4603"/>
    <w:rsid w:val="0051490F"/>
    <w:rsid w:val="00522364"/>
    <w:rsid w:val="00584689"/>
    <w:rsid w:val="00592F17"/>
    <w:rsid w:val="005E4752"/>
    <w:rsid w:val="005F2C30"/>
    <w:rsid w:val="0067146F"/>
    <w:rsid w:val="006A59A2"/>
    <w:rsid w:val="006C6C73"/>
    <w:rsid w:val="00756F87"/>
    <w:rsid w:val="00785110"/>
    <w:rsid w:val="007B08E3"/>
    <w:rsid w:val="007C4032"/>
    <w:rsid w:val="007D05A2"/>
    <w:rsid w:val="008136D9"/>
    <w:rsid w:val="00837CA7"/>
    <w:rsid w:val="00853742"/>
    <w:rsid w:val="008D2899"/>
    <w:rsid w:val="008F7187"/>
    <w:rsid w:val="009452F8"/>
    <w:rsid w:val="00973A5A"/>
    <w:rsid w:val="009C5372"/>
    <w:rsid w:val="009F0953"/>
    <w:rsid w:val="00A148F8"/>
    <w:rsid w:val="00A1582D"/>
    <w:rsid w:val="00A500DA"/>
    <w:rsid w:val="00AC0EB5"/>
    <w:rsid w:val="00AE76AF"/>
    <w:rsid w:val="00AF0D2C"/>
    <w:rsid w:val="00B577D8"/>
    <w:rsid w:val="00B70958"/>
    <w:rsid w:val="00C3469D"/>
    <w:rsid w:val="00C83C03"/>
    <w:rsid w:val="00CC4EF2"/>
    <w:rsid w:val="00D60CC8"/>
    <w:rsid w:val="00D77594"/>
    <w:rsid w:val="00D80928"/>
    <w:rsid w:val="00D906A4"/>
    <w:rsid w:val="00DE0CEE"/>
    <w:rsid w:val="00E330A6"/>
    <w:rsid w:val="00F46735"/>
    <w:rsid w:val="00FB478B"/>
    <w:rsid w:val="00FB7318"/>
    <w:rsid w:val="00FF34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BA993D"/>
  <w15:docId w15:val="{6612F197-B2AD-44FE-AA5C-EEAD2FF9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708D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187"/>
    <w:rPr>
      <w:rFonts w:ascii="Tahoma" w:hAnsi="Tahoma" w:cs="Tahoma"/>
      <w:sz w:val="16"/>
      <w:szCs w:val="16"/>
    </w:rPr>
  </w:style>
  <w:style w:type="paragraph" w:styleId="Title">
    <w:name w:val="Title"/>
    <w:basedOn w:val="Normal"/>
    <w:next w:val="Normal"/>
    <w:link w:val="TitleChar"/>
    <w:uiPriority w:val="10"/>
    <w:qFormat/>
    <w:rsid w:val="000A06D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A06D9"/>
    <w:rPr>
      <w:rFonts w:ascii="Cambria" w:eastAsia="Times New Roman" w:hAnsi="Cambria"/>
      <w:color w:val="17365D"/>
      <w:spacing w:val="5"/>
      <w:kern w:val="28"/>
      <w:sz w:val="52"/>
      <w:szCs w:val="52"/>
      <w:lang w:eastAsia="en-US"/>
    </w:rPr>
  </w:style>
  <w:style w:type="paragraph" w:styleId="Header">
    <w:name w:val="header"/>
    <w:basedOn w:val="Normal"/>
    <w:link w:val="HeaderChar"/>
    <w:uiPriority w:val="99"/>
    <w:unhideWhenUsed/>
    <w:rsid w:val="000A0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6D9"/>
    <w:rPr>
      <w:sz w:val="22"/>
      <w:szCs w:val="22"/>
      <w:lang w:eastAsia="en-US"/>
    </w:rPr>
  </w:style>
  <w:style w:type="paragraph" w:styleId="Footer">
    <w:name w:val="footer"/>
    <w:basedOn w:val="Normal"/>
    <w:link w:val="FooterChar"/>
    <w:uiPriority w:val="99"/>
    <w:unhideWhenUsed/>
    <w:rsid w:val="000A0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6D9"/>
    <w:rPr>
      <w:sz w:val="22"/>
      <w:szCs w:val="22"/>
      <w:lang w:eastAsia="en-US"/>
    </w:rPr>
  </w:style>
  <w:style w:type="paragraph" w:styleId="ListParagraph">
    <w:name w:val="List Paragraph"/>
    <w:basedOn w:val="Normal"/>
    <w:uiPriority w:val="34"/>
    <w:qFormat/>
    <w:rsid w:val="00973A5A"/>
    <w:pPr>
      <w:ind w:left="720"/>
      <w:contextualSpacing/>
    </w:pPr>
  </w:style>
  <w:style w:type="paragraph" w:styleId="Caption">
    <w:name w:val="caption"/>
    <w:basedOn w:val="Normal"/>
    <w:next w:val="Normal"/>
    <w:uiPriority w:val="35"/>
    <w:unhideWhenUsed/>
    <w:qFormat/>
    <w:rsid w:val="003913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D26709-6A54-4100-840D-7CECFE009459}"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28EA5A6E-7AD3-44DC-9847-D294EDA9FC4C}">
      <dgm:prSet phldrT="[Text]" custT="1"/>
      <dgm:spPr>
        <a:solidFill>
          <a:srgbClr val="000000"/>
        </a:solidFill>
      </dgm:spPr>
      <dgm:t>
        <a:bodyPr/>
        <a:lstStyle/>
        <a:p>
          <a:r>
            <a:rPr lang="en-AU" sz="1200"/>
            <a:t>Economic Participation</a:t>
          </a:r>
        </a:p>
      </dgm:t>
    </dgm:pt>
    <dgm:pt modelId="{31ECC7BC-9200-4526-B935-EC195C807192}" type="parTrans" cxnId="{DDE8FAC3-BBEE-4ED7-9D9D-52260C82A633}">
      <dgm:prSet/>
      <dgm:spPr/>
      <dgm:t>
        <a:bodyPr/>
        <a:lstStyle/>
        <a:p>
          <a:endParaRPr lang="en-AU"/>
        </a:p>
      </dgm:t>
    </dgm:pt>
    <dgm:pt modelId="{561F679A-DBE6-4E2C-8DA0-AE0AD734CA66}" type="sibTrans" cxnId="{DDE8FAC3-BBEE-4ED7-9D9D-52260C82A633}">
      <dgm:prSet/>
      <dgm:spPr/>
      <dgm:t>
        <a:bodyPr/>
        <a:lstStyle/>
        <a:p>
          <a:endParaRPr lang="en-AU"/>
        </a:p>
      </dgm:t>
    </dgm:pt>
    <dgm:pt modelId="{F8541652-AC67-437D-87E7-CAC0FFE411BB}">
      <dgm:prSet phldrT="[Text]"/>
      <dgm:spPr>
        <a:solidFill>
          <a:schemeClr val="accent2">
            <a:lumMod val="75000"/>
          </a:schemeClr>
        </a:solidFill>
      </dgm:spPr>
      <dgm:t>
        <a:bodyPr/>
        <a:lstStyle/>
        <a:p>
          <a:r>
            <a:rPr lang="en-AU"/>
            <a:t>Inclusive Workplaces</a:t>
          </a:r>
        </a:p>
      </dgm:t>
    </dgm:pt>
    <dgm:pt modelId="{96C98C33-696C-4525-AA9C-CA7B320A6159}" type="parTrans" cxnId="{4DC4E504-ED97-456A-9C90-D126DA5D14E5}">
      <dgm:prSet/>
      <dgm:spPr>
        <a:solidFill>
          <a:schemeClr val="accent2">
            <a:lumMod val="75000"/>
          </a:schemeClr>
        </a:solidFill>
      </dgm:spPr>
      <dgm:t>
        <a:bodyPr/>
        <a:lstStyle/>
        <a:p>
          <a:endParaRPr lang="en-AU"/>
        </a:p>
      </dgm:t>
    </dgm:pt>
    <dgm:pt modelId="{EEC47C79-961E-422C-9DC7-642D695F07E0}" type="sibTrans" cxnId="{4DC4E504-ED97-456A-9C90-D126DA5D14E5}">
      <dgm:prSet/>
      <dgm:spPr/>
      <dgm:t>
        <a:bodyPr/>
        <a:lstStyle/>
        <a:p>
          <a:endParaRPr lang="en-AU"/>
        </a:p>
      </dgm:t>
    </dgm:pt>
    <dgm:pt modelId="{60CCBE3E-9D23-4204-98D6-D3D7A4D03005}">
      <dgm:prSet phldrT="[Text]"/>
      <dgm:spPr>
        <a:solidFill>
          <a:srgbClr val="CC4E00"/>
        </a:solidFill>
      </dgm:spPr>
      <dgm:t>
        <a:bodyPr/>
        <a:lstStyle/>
        <a:p>
          <a:r>
            <a:rPr lang="en-AU"/>
            <a:t>Recruitment</a:t>
          </a:r>
        </a:p>
      </dgm:t>
    </dgm:pt>
    <dgm:pt modelId="{45EB7C4D-E108-4D54-8E2B-C2BDFDD7FE11}" type="parTrans" cxnId="{BE00EDF8-BF6F-4905-9C96-695D388E5B15}">
      <dgm:prSet/>
      <dgm:spPr>
        <a:solidFill>
          <a:srgbClr val="CC4E00"/>
        </a:solidFill>
      </dgm:spPr>
      <dgm:t>
        <a:bodyPr/>
        <a:lstStyle/>
        <a:p>
          <a:endParaRPr lang="en-AU"/>
        </a:p>
      </dgm:t>
    </dgm:pt>
    <dgm:pt modelId="{56DB5CC1-9325-4D4F-8EAA-773945D40A71}" type="sibTrans" cxnId="{BE00EDF8-BF6F-4905-9C96-695D388E5B15}">
      <dgm:prSet/>
      <dgm:spPr/>
      <dgm:t>
        <a:bodyPr/>
        <a:lstStyle/>
        <a:p>
          <a:endParaRPr lang="en-AU"/>
        </a:p>
      </dgm:t>
    </dgm:pt>
    <dgm:pt modelId="{CB4B0D84-5833-4D2F-B151-0727B2A1C99F}">
      <dgm:prSet phldrT="[Text]"/>
      <dgm:spPr>
        <a:solidFill>
          <a:schemeClr val="accent4">
            <a:lumMod val="75000"/>
          </a:schemeClr>
        </a:solidFill>
      </dgm:spPr>
      <dgm:t>
        <a:bodyPr/>
        <a:lstStyle/>
        <a:p>
          <a:r>
            <a:rPr lang="en-AU"/>
            <a:t>Retention</a:t>
          </a:r>
        </a:p>
      </dgm:t>
    </dgm:pt>
    <dgm:pt modelId="{B57C89D3-000C-48CE-A1C0-E6D1B78CB79B}" type="parTrans" cxnId="{5FCDC92E-25F3-40A5-9E3B-CDF41120E83F}">
      <dgm:prSet/>
      <dgm:spPr>
        <a:solidFill>
          <a:schemeClr val="accent4">
            <a:lumMod val="75000"/>
          </a:schemeClr>
        </a:solidFill>
      </dgm:spPr>
      <dgm:t>
        <a:bodyPr/>
        <a:lstStyle/>
        <a:p>
          <a:endParaRPr lang="en-AU"/>
        </a:p>
      </dgm:t>
    </dgm:pt>
    <dgm:pt modelId="{82F70C4C-264D-4822-97A7-CCBBBBC373A3}" type="sibTrans" cxnId="{5FCDC92E-25F3-40A5-9E3B-CDF41120E83F}">
      <dgm:prSet/>
      <dgm:spPr/>
      <dgm:t>
        <a:bodyPr/>
        <a:lstStyle/>
        <a:p>
          <a:endParaRPr lang="en-AU"/>
        </a:p>
      </dgm:t>
    </dgm:pt>
    <dgm:pt modelId="{055C2CCE-2044-49AA-9EEC-3BDE53150BC2}">
      <dgm:prSet/>
      <dgm:spPr>
        <a:solidFill>
          <a:schemeClr val="accent1">
            <a:lumMod val="75000"/>
          </a:schemeClr>
        </a:solidFill>
      </dgm:spPr>
      <dgm:t>
        <a:bodyPr/>
        <a:lstStyle/>
        <a:p>
          <a:r>
            <a:rPr lang="en-AU"/>
            <a:t>Build Capability</a:t>
          </a:r>
        </a:p>
      </dgm:t>
    </dgm:pt>
    <dgm:pt modelId="{50B0B0BD-2D41-4F75-8288-3CD3446D52CF}" type="parTrans" cxnId="{4A7AA044-BC52-44A0-8D38-90B57DA9B4E1}">
      <dgm:prSet/>
      <dgm:spPr>
        <a:solidFill>
          <a:schemeClr val="accent1">
            <a:lumMod val="75000"/>
          </a:schemeClr>
        </a:solidFill>
      </dgm:spPr>
      <dgm:t>
        <a:bodyPr/>
        <a:lstStyle/>
        <a:p>
          <a:endParaRPr lang="en-AU"/>
        </a:p>
      </dgm:t>
    </dgm:pt>
    <dgm:pt modelId="{7666D8CE-DCC0-47CD-9150-2EFD5CEE23A3}" type="sibTrans" cxnId="{4A7AA044-BC52-44A0-8D38-90B57DA9B4E1}">
      <dgm:prSet/>
      <dgm:spPr/>
      <dgm:t>
        <a:bodyPr/>
        <a:lstStyle/>
        <a:p>
          <a:endParaRPr lang="en-AU"/>
        </a:p>
      </dgm:t>
    </dgm:pt>
    <dgm:pt modelId="{6F7F4E71-1265-4FA8-83BB-A3F6FE90739D}">
      <dgm:prSet/>
      <dgm:spPr>
        <a:solidFill>
          <a:srgbClr val="008575"/>
        </a:solidFill>
      </dgm:spPr>
      <dgm:t>
        <a:bodyPr/>
        <a:lstStyle/>
        <a:p>
          <a:r>
            <a:rPr lang="en-AU"/>
            <a:t>Leadership </a:t>
          </a:r>
        </a:p>
      </dgm:t>
    </dgm:pt>
    <dgm:pt modelId="{05974433-2299-4F94-8BE0-6CC9E39D4314}" type="parTrans" cxnId="{92202D4C-9AD5-40C5-9D64-EE5B3510D48A}">
      <dgm:prSet/>
      <dgm:spPr>
        <a:solidFill>
          <a:srgbClr val="008575"/>
        </a:solidFill>
      </dgm:spPr>
      <dgm:t>
        <a:bodyPr/>
        <a:lstStyle/>
        <a:p>
          <a:endParaRPr lang="en-AU"/>
        </a:p>
      </dgm:t>
    </dgm:pt>
    <dgm:pt modelId="{60D6CB30-0C5A-42A1-9412-648B8194CFE4}" type="sibTrans" cxnId="{92202D4C-9AD5-40C5-9D64-EE5B3510D48A}">
      <dgm:prSet/>
      <dgm:spPr/>
      <dgm:t>
        <a:bodyPr/>
        <a:lstStyle/>
        <a:p>
          <a:endParaRPr lang="en-AU"/>
        </a:p>
      </dgm:t>
    </dgm:pt>
    <dgm:pt modelId="{38C22223-7156-4910-B063-DD1F7451F748}">
      <dgm:prSet/>
      <dgm:spPr>
        <a:solidFill>
          <a:srgbClr val="378639"/>
        </a:solidFill>
      </dgm:spPr>
      <dgm:t>
        <a:bodyPr/>
        <a:lstStyle/>
        <a:p>
          <a:r>
            <a:rPr lang="en-AU"/>
            <a:t>Collaboration</a:t>
          </a:r>
        </a:p>
      </dgm:t>
    </dgm:pt>
    <dgm:pt modelId="{AA1B6BC1-0EB1-4DCB-A10A-E0D58BC25827}" type="parTrans" cxnId="{5A722040-FEC5-43BC-8000-2F73F7AAA8DD}">
      <dgm:prSet/>
      <dgm:spPr>
        <a:solidFill>
          <a:srgbClr val="378639"/>
        </a:solidFill>
      </dgm:spPr>
      <dgm:t>
        <a:bodyPr/>
        <a:lstStyle/>
        <a:p>
          <a:endParaRPr lang="en-AU"/>
        </a:p>
      </dgm:t>
    </dgm:pt>
    <dgm:pt modelId="{C5769066-57B6-459D-8DA5-3D6425D72C00}" type="sibTrans" cxnId="{5A722040-FEC5-43BC-8000-2F73F7AAA8DD}">
      <dgm:prSet/>
      <dgm:spPr/>
      <dgm:t>
        <a:bodyPr/>
        <a:lstStyle/>
        <a:p>
          <a:endParaRPr lang="en-AU"/>
        </a:p>
      </dgm:t>
    </dgm:pt>
    <dgm:pt modelId="{EFB66526-7A2E-4CE1-BE88-F76FF23E4D96}">
      <dgm:prSet/>
      <dgm:spPr>
        <a:solidFill>
          <a:schemeClr val="bg2">
            <a:lumMod val="25000"/>
          </a:schemeClr>
        </a:solidFill>
      </dgm:spPr>
      <dgm:t>
        <a:bodyPr/>
        <a:lstStyle/>
        <a:p>
          <a:r>
            <a:rPr lang="en-AU"/>
            <a:t>Recognise and Celebrate</a:t>
          </a:r>
        </a:p>
      </dgm:t>
    </dgm:pt>
    <dgm:pt modelId="{6D10A3C0-515E-417B-91CF-68B820BAF002}" type="parTrans" cxnId="{32876098-C905-48D5-9380-BB1B87D34C32}">
      <dgm:prSet/>
      <dgm:spPr>
        <a:solidFill>
          <a:schemeClr val="bg2">
            <a:lumMod val="25000"/>
          </a:schemeClr>
        </a:solidFill>
        <a:ln w="25400">
          <a:noFill/>
        </a:ln>
      </dgm:spPr>
      <dgm:t>
        <a:bodyPr/>
        <a:lstStyle/>
        <a:p>
          <a:endParaRPr lang="en-AU"/>
        </a:p>
      </dgm:t>
    </dgm:pt>
    <dgm:pt modelId="{21A1638F-44B1-49D6-9B7F-D80B36C60AE5}" type="sibTrans" cxnId="{32876098-C905-48D5-9380-BB1B87D34C32}">
      <dgm:prSet/>
      <dgm:spPr/>
      <dgm:t>
        <a:bodyPr/>
        <a:lstStyle/>
        <a:p>
          <a:endParaRPr lang="en-AU"/>
        </a:p>
      </dgm:t>
    </dgm:pt>
    <dgm:pt modelId="{CE5FA1F4-D5EE-4036-BAAC-07FB8CB660B2}" type="pres">
      <dgm:prSet presAssocID="{D4D26709-6A54-4100-840D-7CECFE009459}" presName="cycle" presStyleCnt="0">
        <dgm:presLayoutVars>
          <dgm:chMax val="1"/>
          <dgm:dir/>
          <dgm:animLvl val="ctr"/>
          <dgm:resizeHandles val="exact"/>
        </dgm:presLayoutVars>
      </dgm:prSet>
      <dgm:spPr/>
    </dgm:pt>
    <dgm:pt modelId="{320510E9-1833-459F-9F65-45BC099591B6}" type="pres">
      <dgm:prSet presAssocID="{28EA5A6E-7AD3-44DC-9847-D294EDA9FC4C}" presName="centerShape" presStyleLbl="node0" presStyleIdx="0" presStyleCnt="1"/>
      <dgm:spPr/>
    </dgm:pt>
    <dgm:pt modelId="{79E2586F-722A-4DC5-A9D5-C000A4C3857A}" type="pres">
      <dgm:prSet presAssocID="{96C98C33-696C-4525-AA9C-CA7B320A6159}" presName="parTrans" presStyleLbl="bgSibTrans2D1" presStyleIdx="0" presStyleCnt="7"/>
      <dgm:spPr/>
    </dgm:pt>
    <dgm:pt modelId="{8CBD242C-328D-4B68-8C18-1DF315178240}" type="pres">
      <dgm:prSet presAssocID="{F8541652-AC67-437D-87E7-CAC0FFE411BB}" presName="node" presStyleLbl="node1" presStyleIdx="0" presStyleCnt="7">
        <dgm:presLayoutVars>
          <dgm:bulletEnabled val="1"/>
        </dgm:presLayoutVars>
      </dgm:prSet>
      <dgm:spPr/>
    </dgm:pt>
    <dgm:pt modelId="{5F21D173-A659-4BD2-8EB6-20459A40E296}" type="pres">
      <dgm:prSet presAssocID="{45EB7C4D-E108-4D54-8E2B-C2BDFDD7FE11}" presName="parTrans" presStyleLbl="bgSibTrans2D1" presStyleIdx="1" presStyleCnt="7"/>
      <dgm:spPr/>
    </dgm:pt>
    <dgm:pt modelId="{2D9736F3-8E22-4FBA-9C03-BEC7F4185EDA}" type="pres">
      <dgm:prSet presAssocID="{60CCBE3E-9D23-4204-98D6-D3D7A4D03005}" presName="node" presStyleLbl="node1" presStyleIdx="1" presStyleCnt="7">
        <dgm:presLayoutVars>
          <dgm:bulletEnabled val="1"/>
        </dgm:presLayoutVars>
      </dgm:prSet>
      <dgm:spPr/>
    </dgm:pt>
    <dgm:pt modelId="{BBAE0B17-552D-4220-A772-985FB4B19811}" type="pres">
      <dgm:prSet presAssocID="{B57C89D3-000C-48CE-A1C0-E6D1B78CB79B}" presName="parTrans" presStyleLbl="bgSibTrans2D1" presStyleIdx="2" presStyleCnt="7"/>
      <dgm:spPr/>
    </dgm:pt>
    <dgm:pt modelId="{CB4D3FBA-1BA6-4565-A4DF-2F8C283B82DF}" type="pres">
      <dgm:prSet presAssocID="{CB4B0D84-5833-4D2F-B151-0727B2A1C99F}" presName="node" presStyleLbl="node1" presStyleIdx="2" presStyleCnt="7">
        <dgm:presLayoutVars>
          <dgm:bulletEnabled val="1"/>
        </dgm:presLayoutVars>
      </dgm:prSet>
      <dgm:spPr/>
    </dgm:pt>
    <dgm:pt modelId="{A25358AE-BFA7-4C8A-96A3-601F8CF67404}" type="pres">
      <dgm:prSet presAssocID="{50B0B0BD-2D41-4F75-8288-3CD3446D52CF}" presName="parTrans" presStyleLbl="bgSibTrans2D1" presStyleIdx="3" presStyleCnt="7"/>
      <dgm:spPr/>
    </dgm:pt>
    <dgm:pt modelId="{5633E3C0-875A-4858-9D83-C25482F85C6F}" type="pres">
      <dgm:prSet presAssocID="{055C2CCE-2044-49AA-9EEC-3BDE53150BC2}" presName="node" presStyleLbl="node1" presStyleIdx="3" presStyleCnt="7">
        <dgm:presLayoutVars>
          <dgm:bulletEnabled val="1"/>
        </dgm:presLayoutVars>
      </dgm:prSet>
      <dgm:spPr/>
    </dgm:pt>
    <dgm:pt modelId="{333C8E44-554F-4D54-8966-E6B75087814F}" type="pres">
      <dgm:prSet presAssocID="{05974433-2299-4F94-8BE0-6CC9E39D4314}" presName="parTrans" presStyleLbl="bgSibTrans2D1" presStyleIdx="4" presStyleCnt="7"/>
      <dgm:spPr/>
    </dgm:pt>
    <dgm:pt modelId="{E68D3843-7E57-49A9-99B1-C6983AA558FC}" type="pres">
      <dgm:prSet presAssocID="{6F7F4E71-1265-4FA8-83BB-A3F6FE90739D}" presName="node" presStyleLbl="node1" presStyleIdx="4" presStyleCnt="7">
        <dgm:presLayoutVars>
          <dgm:bulletEnabled val="1"/>
        </dgm:presLayoutVars>
      </dgm:prSet>
      <dgm:spPr/>
    </dgm:pt>
    <dgm:pt modelId="{7BE6A171-EF2B-40D7-825A-5E61C08C81FC}" type="pres">
      <dgm:prSet presAssocID="{AA1B6BC1-0EB1-4DCB-A10A-E0D58BC25827}" presName="parTrans" presStyleLbl="bgSibTrans2D1" presStyleIdx="5" presStyleCnt="7"/>
      <dgm:spPr/>
    </dgm:pt>
    <dgm:pt modelId="{68928CBF-B0DE-47D7-855A-2830915B4443}" type="pres">
      <dgm:prSet presAssocID="{38C22223-7156-4910-B063-DD1F7451F748}" presName="node" presStyleLbl="node1" presStyleIdx="5" presStyleCnt="7">
        <dgm:presLayoutVars>
          <dgm:bulletEnabled val="1"/>
        </dgm:presLayoutVars>
      </dgm:prSet>
      <dgm:spPr/>
    </dgm:pt>
    <dgm:pt modelId="{DDCAC2CA-C59F-4C52-9250-5F02CA4CCD53}" type="pres">
      <dgm:prSet presAssocID="{6D10A3C0-515E-417B-91CF-68B820BAF002}" presName="parTrans" presStyleLbl="bgSibTrans2D1" presStyleIdx="6" presStyleCnt="7"/>
      <dgm:spPr/>
    </dgm:pt>
    <dgm:pt modelId="{A59713B2-5667-4A40-B3E3-D806E853786C}" type="pres">
      <dgm:prSet presAssocID="{EFB66526-7A2E-4CE1-BE88-F76FF23E4D96}" presName="node" presStyleLbl="node1" presStyleIdx="6" presStyleCnt="7">
        <dgm:presLayoutVars>
          <dgm:bulletEnabled val="1"/>
        </dgm:presLayoutVars>
      </dgm:prSet>
      <dgm:spPr/>
    </dgm:pt>
  </dgm:ptLst>
  <dgm:cxnLst>
    <dgm:cxn modelId="{4DC4E504-ED97-456A-9C90-D126DA5D14E5}" srcId="{28EA5A6E-7AD3-44DC-9847-D294EDA9FC4C}" destId="{F8541652-AC67-437D-87E7-CAC0FFE411BB}" srcOrd="0" destOrd="0" parTransId="{96C98C33-696C-4525-AA9C-CA7B320A6159}" sibTransId="{EEC47C79-961E-422C-9DC7-642D695F07E0}"/>
    <dgm:cxn modelId="{1FC33009-BE50-40FB-BADE-87AFF2E9B45A}" type="presOf" srcId="{28EA5A6E-7AD3-44DC-9847-D294EDA9FC4C}" destId="{320510E9-1833-459F-9F65-45BC099591B6}" srcOrd="0" destOrd="0" presId="urn:microsoft.com/office/officeart/2005/8/layout/radial4"/>
    <dgm:cxn modelId="{26ADC517-F89C-4D93-86C6-60579B73A53E}" type="presOf" srcId="{50B0B0BD-2D41-4F75-8288-3CD3446D52CF}" destId="{A25358AE-BFA7-4C8A-96A3-601F8CF67404}" srcOrd="0" destOrd="0" presId="urn:microsoft.com/office/officeart/2005/8/layout/radial4"/>
    <dgm:cxn modelId="{9EEFA327-265E-4028-8524-99F5F07E8164}" type="presOf" srcId="{B57C89D3-000C-48CE-A1C0-E6D1B78CB79B}" destId="{BBAE0B17-552D-4220-A772-985FB4B19811}" srcOrd="0" destOrd="0" presId="urn:microsoft.com/office/officeart/2005/8/layout/radial4"/>
    <dgm:cxn modelId="{5FCDC92E-25F3-40A5-9E3B-CDF41120E83F}" srcId="{28EA5A6E-7AD3-44DC-9847-D294EDA9FC4C}" destId="{CB4B0D84-5833-4D2F-B151-0727B2A1C99F}" srcOrd="2" destOrd="0" parTransId="{B57C89D3-000C-48CE-A1C0-E6D1B78CB79B}" sibTransId="{82F70C4C-264D-4822-97A7-CCBBBBC373A3}"/>
    <dgm:cxn modelId="{FE0E7733-7880-48E7-9C81-706398FE17C2}" type="presOf" srcId="{60CCBE3E-9D23-4204-98D6-D3D7A4D03005}" destId="{2D9736F3-8E22-4FBA-9C03-BEC7F4185EDA}" srcOrd="0" destOrd="0" presId="urn:microsoft.com/office/officeart/2005/8/layout/radial4"/>
    <dgm:cxn modelId="{5A722040-FEC5-43BC-8000-2F73F7AAA8DD}" srcId="{28EA5A6E-7AD3-44DC-9847-D294EDA9FC4C}" destId="{38C22223-7156-4910-B063-DD1F7451F748}" srcOrd="5" destOrd="0" parTransId="{AA1B6BC1-0EB1-4DCB-A10A-E0D58BC25827}" sibTransId="{C5769066-57B6-459D-8DA5-3D6425D72C00}"/>
    <dgm:cxn modelId="{4A7AA044-BC52-44A0-8D38-90B57DA9B4E1}" srcId="{28EA5A6E-7AD3-44DC-9847-D294EDA9FC4C}" destId="{055C2CCE-2044-49AA-9EEC-3BDE53150BC2}" srcOrd="3" destOrd="0" parTransId="{50B0B0BD-2D41-4F75-8288-3CD3446D52CF}" sibTransId="{7666D8CE-DCC0-47CD-9150-2EFD5CEE23A3}"/>
    <dgm:cxn modelId="{CFD3FD44-D4C0-4F17-A9FB-A893A9EEEF49}" type="presOf" srcId="{AA1B6BC1-0EB1-4DCB-A10A-E0D58BC25827}" destId="{7BE6A171-EF2B-40D7-825A-5E61C08C81FC}" srcOrd="0" destOrd="0" presId="urn:microsoft.com/office/officeart/2005/8/layout/radial4"/>
    <dgm:cxn modelId="{D5A62F46-5D72-4F18-B187-CD1141876783}" type="presOf" srcId="{D4D26709-6A54-4100-840D-7CECFE009459}" destId="{CE5FA1F4-D5EE-4036-BAAC-07FB8CB660B2}" srcOrd="0" destOrd="0" presId="urn:microsoft.com/office/officeart/2005/8/layout/radial4"/>
    <dgm:cxn modelId="{92202D4C-9AD5-40C5-9D64-EE5B3510D48A}" srcId="{28EA5A6E-7AD3-44DC-9847-D294EDA9FC4C}" destId="{6F7F4E71-1265-4FA8-83BB-A3F6FE90739D}" srcOrd="4" destOrd="0" parTransId="{05974433-2299-4F94-8BE0-6CC9E39D4314}" sibTransId="{60D6CB30-0C5A-42A1-9412-648B8194CFE4}"/>
    <dgm:cxn modelId="{2CB0BB7D-7E8D-4512-A163-82A0822052D6}" type="presOf" srcId="{CB4B0D84-5833-4D2F-B151-0727B2A1C99F}" destId="{CB4D3FBA-1BA6-4565-A4DF-2F8C283B82DF}" srcOrd="0" destOrd="0" presId="urn:microsoft.com/office/officeart/2005/8/layout/radial4"/>
    <dgm:cxn modelId="{6F4A418B-2E4B-4E59-A015-FBD097F0E11F}" type="presOf" srcId="{96C98C33-696C-4525-AA9C-CA7B320A6159}" destId="{79E2586F-722A-4DC5-A9D5-C000A4C3857A}" srcOrd="0" destOrd="0" presId="urn:microsoft.com/office/officeart/2005/8/layout/radial4"/>
    <dgm:cxn modelId="{32876098-C905-48D5-9380-BB1B87D34C32}" srcId="{28EA5A6E-7AD3-44DC-9847-D294EDA9FC4C}" destId="{EFB66526-7A2E-4CE1-BE88-F76FF23E4D96}" srcOrd="6" destOrd="0" parTransId="{6D10A3C0-515E-417B-91CF-68B820BAF002}" sibTransId="{21A1638F-44B1-49D6-9B7F-D80B36C60AE5}"/>
    <dgm:cxn modelId="{0BA9FBB5-C17A-456A-8AB5-E02D95DA7F56}" type="presOf" srcId="{38C22223-7156-4910-B063-DD1F7451F748}" destId="{68928CBF-B0DE-47D7-855A-2830915B4443}" srcOrd="0" destOrd="0" presId="urn:microsoft.com/office/officeart/2005/8/layout/radial4"/>
    <dgm:cxn modelId="{CE065ABB-CDDA-41A0-8BF1-366EC0E8223C}" type="presOf" srcId="{6D10A3C0-515E-417B-91CF-68B820BAF002}" destId="{DDCAC2CA-C59F-4C52-9250-5F02CA4CCD53}" srcOrd="0" destOrd="0" presId="urn:microsoft.com/office/officeart/2005/8/layout/radial4"/>
    <dgm:cxn modelId="{DDE8FAC3-BBEE-4ED7-9D9D-52260C82A633}" srcId="{D4D26709-6A54-4100-840D-7CECFE009459}" destId="{28EA5A6E-7AD3-44DC-9847-D294EDA9FC4C}" srcOrd="0" destOrd="0" parTransId="{31ECC7BC-9200-4526-B935-EC195C807192}" sibTransId="{561F679A-DBE6-4E2C-8DA0-AE0AD734CA66}"/>
    <dgm:cxn modelId="{2E061CC7-4B42-465E-A321-5ACC1093EE74}" type="presOf" srcId="{EFB66526-7A2E-4CE1-BE88-F76FF23E4D96}" destId="{A59713B2-5667-4A40-B3E3-D806E853786C}" srcOrd="0" destOrd="0" presId="urn:microsoft.com/office/officeart/2005/8/layout/radial4"/>
    <dgm:cxn modelId="{4026F5C9-7155-4A1C-ADED-B0E73A737581}" type="presOf" srcId="{45EB7C4D-E108-4D54-8E2B-C2BDFDD7FE11}" destId="{5F21D173-A659-4BD2-8EB6-20459A40E296}" srcOrd="0" destOrd="0" presId="urn:microsoft.com/office/officeart/2005/8/layout/radial4"/>
    <dgm:cxn modelId="{500623ED-510F-4254-8443-A93D166658BC}" type="presOf" srcId="{055C2CCE-2044-49AA-9EEC-3BDE53150BC2}" destId="{5633E3C0-875A-4858-9D83-C25482F85C6F}" srcOrd="0" destOrd="0" presId="urn:microsoft.com/office/officeart/2005/8/layout/radial4"/>
    <dgm:cxn modelId="{1C4D46F1-5B79-48DE-9189-8BDB53A57CF2}" type="presOf" srcId="{05974433-2299-4F94-8BE0-6CC9E39D4314}" destId="{333C8E44-554F-4D54-8966-E6B75087814F}" srcOrd="0" destOrd="0" presId="urn:microsoft.com/office/officeart/2005/8/layout/radial4"/>
    <dgm:cxn modelId="{75FAC5D1-59E8-4A0D-B596-C146505EE153}" type="presOf" srcId="{F8541652-AC67-437D-87E7-CAC0FFE411BB}" destId="{8CBD242C-328D-4B68-8C18-1DF315178240}" srcOrd="0" destOrd="0" presId="urn:microsoft.com/office/officeart/2005/8/layout/radial4"/>
    <dgm:cxn modelId="{BE00EDF8-BF6F-4905-9C96-695D388E5B15}" srcId="{28EA5A6E-7AD3-44DC-9847-D294EDA9FC4C}" destId="{60CCBE3E-9D23-4204-98D6-D3D7A4D03005}" srcOrd="1" destOrd="0" parTransId="{45EB7C4D-E108-4D54-8E2B-C2BDFDD7FE11}" sibTransId="{56DB5CC1-9325-4D4F-8EAA-773945D40A71}"/>
    <dgm:cxn modelId="{3C194AFA-60FC-48A3-90F6-2E755526B072}" type="presOf" srcId="{6F7F4E71-1265-4FA8-83BB-A3F6FE90739D}" destId="{E68D3843-7E57-49A9-99B1-C6983AA558FC}" srcOrd="0" destOrd="0" presId="urn:microsoft.com/office/officeart/2005/8/layout/radial4"/>
    <dgm:cxn modelId="{2DAAF6AC-3010-40F3-8BBB-7607B9A0FB56}" type="presParOf" srcId="{CE5FA1F4-D5EE-4036-BAAC-07FB8CB660B2}" destId="{320510E9-1833-459F-9F65-45BC099591B6}" srcOrd="0" destOrd="0" presId="urn:microsoft.com/office/officeart/2005/8/layout/radial4"/>
    <dgm:cxn modelId="{71E6BAD9-0B39-4766-BBFA-BCC662E2E357}" type="presParOf" srcId="{CE5FA1F4-D5EE-4036-BAAC-07FB8CB660B2}" destId="{79E2586F-722A-4DC5-A9D5-C000A4C3857A}" srcOrd="1" destOrd="0" presId="urn:microsoft.com/office/officeart/2005/8/layout/radial4"/>
    <dgm:cxn modelId="{32B1A229-E1CE-4AD5-A636-F2422D2708F8}" type="presParOf" srcId="{CE5FA1F4-D5EE-4036-BAAC-07FB8CB660B2}" destId="{8CBD242C-328D-4B68-8C18-1DF315178240}" srcOrd="2" destOrd="0" presId="urn:microsoft.com/office/officeart/2005/8/layout/radial4"/>
    <dgm:cxn modelId="{32AA256A-D7C4-41E6-BE02-7657CD1CD360}" type="presParOf" srcId="{CE5FA1F4-D5EE-4036-BAAC-07FB8CB660B2}" destId="{5F21D173-A659-4BD2-8EB6-20459A40E296}" srcOrd="3" destOrd="0" presId="urn:microsoft.com/office/officeart/2005/8/layout/radial4"/>
    <dgm:cxn modelId="{C68B15AC-A248-4181-B75C-454DAE9CCCA3}" type="presParOf" srcId="{CE5FA1F4-D5EE-4036-BAAC-07FB8CB660B2}" destId="{2D9736F3-8E22-4FBA-9C03-BEC7F4185EDA}" srcOrd="4" destOrd="0" presId="urn:microsoft.com/office/officeart/2005/8/layout/radial4"/>
    <dgm:cxn modelId="{64DE2C98-30F2-453B-AA84-BED3D744A634}" type="presParOf" srcId="{CE5FA1F4-D5EE-4036-BAAC-07FB8CB660B2}" destId="{BBAE0B17-552D-4220-A772-985FB4B19811}" srcOrd="5" destOrd="0" presId="urn:microsoft.com/office/officeart/2005/8/layout/radial4"/>
    <dgm:cxn modelId="{15DA005E-191C-494A-8B60-26527BBFDB16}" type="presParOf" srcId="{CE5FA1F4-D5EE-4036-BAAC-07FB8CB660B2}" destId="{CB4D3FBA-1BA6-4565-A4DF-2F8C283B82DF}" srcOrd="6" destOrd="0" presId="urn:microsoft.com/office/officeart/2005/8/layout/radial4"/>
    <dgm:cxn modelId="{F65EB1A8-0ADD-45B8-BE5C-42C9BE9F142D}" type="presParOf" srcId="{CE5FA1F4-D5EE-4036-BAAC-07FB8CB660B2}" destId="{A25358AE-BFA7-4C8A-96A3-601F8CF67404}" srcOrd="7" destOrd="0" presId="urn:microsoft.com/office/officeart/2005/8/layout/radial4"/>
    <dgm:cxn modelId="{A581A8F9-9371-4CA8-874C-42E4D0AFF12E}" type="presParOf" srcId="{CE5FA1F4-D5EE-4036-BAAC-07FB8CB660B2}" destId="{5633E3C0-875A-4858-9D83-C25482F85C6F}" srcOrd="8" destOrd="0" presId="urn:microsoft.com/office/officeart/2005/8/layout/radial4"/>
    <dgm:cxn modelId="{C1DD3178-B7D4-46AE-8FE9-C95F1EA2279E}" type="presParOf" srcId="{CE5FA1F4-D5EE-4036-BAAC-07FB8CB660B2}" destId="{333C8E44-554F-4D54-8966-E6B75087814F}" srcOrd="9" destOrd="0" presId="urn:microsoft.com/office/officeart/2005/8/layout/radial4"/>
    <dgm:cxn modelId="{ADDEA523-FD56-4BB4-B3CF-C5F247ECEFBA}" type="presParOf" srcId="{CE5FA1F4-D5EE-4036-BAAC-07FB8CB660B2}" destId="{E68D3843-7E57-49A9-99B1-C6983AA558FC}" srcOrd="10" destOrd="0" presId="urn:microsoft.com/office/officeart/2005/8/layout/radial4"/>
    <dgm:cxn modelId="{8A3AFAE0-E446-44E4-8363-9E2FCC561A9D}" type="presParOf" srcId="{CE5FA1F4-D5EE-4036-BAAC-07FB8CB660B2}" destId="{7BE6A171-EF2B-40D7-825A-5E61C08C81FC}" srcOrd="11" destOrd="0" presId="urn:microsoft.com/office/officeart/2005/8/layout/radial4"/>
    <dgm:cxn modelId="{79971B33-E9C6-448E-8974-9EA6DD5FB990}" type="presParOf" srcId="{CE5FA1F4-D5EE-4036-BAAC-07FB8CB660B2}" destId="{68928CBF-B0DE-47D7-855A-2830915B4443}" srcOrd="12" destOrd="0" presId="urn:microsoft.com/office/officeart/2005/8/layout/radial4"/>
    <dgm:cxn modelId="{866A5F20-EDFE-4B7E-B631-148DC7976248}" type="presParOf" srcId="{CE5FA1F4-D5EE-4036-BAAC-07FB8CB660B2}" destId="{DDCAC2CA-C59F-4C52-9250-5F02CA4CCD53}" srcOrd="13" destOrd="0" presId="urn:microsoft.com/office/officeart/2005/8/layout/radial4"/>
    <dgm:cxn modelId="{6D17D2E6-D76B-4072-9182-188CD68C185B}" type="presParOf" srcId="{CE5FA1F4-D5EE-4036-BAAC-07FB8CB660B2}" destId="{A59713B2-5667-4A40-B3E3-D806E853786C}" srcOrd="14"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B55C24-7A44-4B3D-97F2-2DDA723B6BB6}"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AU"/>
        </a:p>
      </dgm:t>
    </dgm:pt>
    <dgm:pt modelId="{95C2E810-35DF-4A2F-A43D-0FCC14222A7F}">
      <dgm:prSet phldrT="[Text]"/>
      <dgm:spPr>
        <a:solidFill>
          <a:schemeClr val="tx1"/>
        </a:solidFill>
      </dgm:spPr>
      <dgm:t>
        <a:bodyPr/>
        <a:lstStyle/>
        <a:p>
          <a:pPr algn="ctr"/>
          <a:r>
            <a:rPr lang="en-AU"/>
            <a:t>Directorate-specific targets are determined annually by the Head of Service and are incorporated into Directors-General Performance Agreements|Directors-General report on progress at Legislative Assembly Hearings|Workforce data is reported in the annual State of the Service Report| Directorates receive quarterly reporting updates to provide a snapshot of progress against targets</a:t>
          </a:r>
        </a:p>
      </dgm:t>
      <dgm:extLst>
        <a:ext uri="{E40237B7-FDA0-4F09-8148-C483321AD2D9}">
          <dgm14:cNvPr xmlns:dgm14="http://schemas.microsoft.com/office/drawing/2010/diagram" id="0" name="" descr="Accountability | At least 407 Aboriginal and/or Torres Strait Islander employees by 30 June 2019&#10;Directorate-specific targets are determined annually by the Head of Service and are incorporated into Directors-General Performance Agreements|Directors-General report on progress at Legislative Assembly Hearings|Workforce data is reported in the annual State of the Service Report| Directorates receive quarterly reporting updates to provide a snapshot of progress against targets&#10;" title="At least 407 Aboriginal and/or Torres Strait Islander employees by 30 June 2019"/>
        </a:ext>
      </dgm:extLst>
    </dgm:pt>
    <dgm:pt modelId="{8C92161D-9329-437E-BFEC-C4B63BB0CFA7}" type="parTrans" cxnId="{D01E103D-D09B-423C-8AE1-78CADED58265}">
      <dgm:prSet/>
      <dgm:spPr/>
      <dgm:t>
        <a:bodyPr/>
        <a:lstStyle/>
        <a:p>
          <a:pPr algn="ctr"/>
          <a:endParaRPr lang="en-AU"/>
        </a:p>
      </dgm:t>
    </dgm:pt>
    <dgm:pt modelId="{E7A85007-82F0-4EC0-A461-E7EB794AD397}" type="sibTrans" cxnId="{D01E103D-D09B-423C-8AE1-78CADED58265}">
      <dgm:prSet/>
      <dgm:spPr/>
      <dgm:t>
        <a:bodyPr/>
        <a:lstStyle/>
        <a:p>
          <a:pPr algn="ctr"/>
          <a:endParaRPr lang="en-AU"/>
        </a:p>
      </dgm:t>
    </dgm:pt>
    <dgm:pt modelId="{EAF3F28C-B85B-4AC8-AA04-340963C003D9}">
      <dgm:prSet custT="1"/>
      <dgm:spPr>
        <a:solidFill>
          <a:schemeClr val="accent2">
            <a:lumMod val="75000"/>
          </a:schemeClr>
        </a:solidFill>
      </dgm:spPr>
      <dgm:t>
        <a:bodyPr anchor="t" anchorCtr="0"/>
        <a:lstStyle/>
        <a:p>
          <a:pPr algn="ctr"/>
          <a:r>
            <a:rPr lang="en-AU" sz="1100" b="1"/>
            <a:t>Inclusive Workplaces</a:t>
          </a:r>
        </a:p>
        <a:p>
          <a:pPr algn="ctr"/>
          <a:endParaRPr lang="en-AU" sz="1100"/>
        </a:p>
        <a:p>
          <a:pPr algn="ctr"/>
          <a:r>
            <a:rPr lang="en-AU" sz="1100"/>
            <a:t>Promote staff involvement in the whole-of-government Murranga Murranga Network* and develop directorate-specific Aborginal and Torres Strait Islander Staff Networks</a:t>
          </a:r>
        </a:p>
        <a:p>
          <a:pPr algn="ctr"/>
          <a:endParaRPr lang="en-AU" sz="1100"/>
        </a:p>
        <a:p>
          <a:pPr algn="ctr"/>
          <a:r>
            <a:rPr lang="en-AU" sz="1100"/>
            <a:t>Continue living the principles of Respect, Equity and Diversity (RED) to create positive and inclusive work environments where diversity is celebrated</a:t>
          </a:r>
        </a:p>
        <a:p>
          <a:pPr algn="ctr"/>
          <a:endParaRPr lang="en-AU" sz="1100"/>
        </a:p>
        <a:p>
          <a:pPr algn="ctr"/>
          <a:r>
            <a:rPr lang="en-AU" sz="1100"/>
            <a:t>Continue a 'zero tolerance' approach to bullying, harassment and discrimination and maintain comprehensive policies and resources to support the effective, efficient resolution of workplace issues as they arise</a:t>
          </a:r>
        </a:p>
        <a:p>
          <a:pPr algn="ctr"/>
          <a:endParaRPr lang="en-AU" sz="1100"/>
        </a:p>
        <a:p>
          <a:pPr algn="ctr"/>
          <a:r>
            <a:rPr lang="en-AU" sz="1100"/>
            <a:t>Collect workforce data, analyse risk points and monitor for continuous improvement **</a:t>
          </a:r>
        </a:p>
      </dgm:t>
      <dgm:extLst>
        <a:ext uri="{E40237B7-FDA0-4F09-8148-C483321AD2D9}">
          <dgm14:cNvPr xmlns:dgm14="http://schemas.microsoft.com/office/drawing/2010/diagram" id="0" name="" descr="Promote staff involvement in the whole-of-government Murranga Murranga Network* and develop directorate-specific Aborginal and Torres Strait Islander Staff Networks&#10;&#10;Continue living the principles of Respect, Equity and Diversity (RED) to create positive and inclusive work environments where diversity is celebrated&#10;&#10;Continue a 'zero tolerance' approach to bullying, harassment and discrimination and maintain comprehensive policies and resources to support the effective, efficient resolution of workplace issues as they arise&#10;&#10;Collect workforce data, analyse risk points and monitor for continuous improvement **&#10;" title="Inclusive Workplaces"/>
        </a:ext>
      </dgm:extLst>
    </dgm:pt>
    <dgm:pt modelId="{A3E3359B-6D4E-4362-A9DE-4468F7989DA6}" type="parTrans" cxnId="{B3099D6D-1949-4F39-94A5-0D4D5612136C}">
      <dgm:prSet/>
      <dgm:spPr/>
      <dgm:t>
        <a:bodyPr/>
        <a:lstStyle/>
        <a:p>
          <a:pPr algn="ctr"/>
          <a:endParaRPr lang="en-AU"/>
        </a:p>
      </dgm:t>
    </dgm:pt>
    <dgm:pt modelId="{C878C3D4-926B-49F3-9C2B-3501F9564378}" type="sibTrans" cxnId="{B3099D6D-1949-4F39-94A5-0D4D5612136C}">
      <dgm:prSet/>
      <dgm:spPr/>
      <dgm:t>
        <a:bodyPr/>
        <a:lstStyle/>
        <a:p>
          <a:pPr algn="ctr"/>
          <a:endParaRPr lang="en-AU"/>
        </a:p>
      </dgm:t>
    </dgm:pt>
    <dgm:pt modelId="{FF673885-19BC-4C63-981A-9DBDE74B02A7}">
      <dgm:prSet custT="1"/>
      <dgm:spPr>
        <a:solidFill>
          <a:srgbClr val="CC4E00"/>
        </a:solidFill>
      </dgm:spPr>
      <dgm:t>
        <a:bodyPr anchor="t" anchorCtr="0"/>
        <a:lstStyle/>
        <a:p>
          <a:pPr algn="ctr"/>
          <a:r>
            <a:rPr lang="en-AU" sz="1100" b="1"/>
            <a:t>Recruitment</a:t>
          </a:r>
        </a:p>
        <a:p>
          <a:pPr algn="ctr"/>
          <a:endParaRPr lang="en-AU" sz="1100"/>
        </a:p>
        <a:p>
          <a:pPr algn="ctr"/>
          <a:r>
            <a:rPr lang="en-AU" sz="1100"/>
            <a:t>Bring innovation to employment pathways and promote awareness of career paths into the ACTPS (e.g. Australian School Based Apprenticeships, work experience for students, apprenticeships, general entry), including establishing links with tertiary institutions*</a:t>
          </a:r>
        </a:p>
        <a:p>
          <a:pPr algn="ctr"/>
          <a:endParaRPr lang="en-AU" sz="1100"/>
        </a:p>
        <a:p>
          <a:pPr algn="ctr"/>
          <a:r>
            <a:rPr lang="en-AU" sz="1100"/>
            <a:t>Directorate participation in whole-of-government Inclusion and Aboriginal and Torres Strait Islander employment programs</a:t>
          </a:r>
        </a:p>
        <a:p>
          <a:pPr algn="ctr"/>
          <a:endParaRPr lang="en-AU" sz="1100"/>
        </a:p>
        <a:p>
          <a:pPr algn="ctr"/>
          <a:r>
            <a:rPr lang="en-AU" sz="1100"/>
            <a:t>Use designated positions as provided for in the  ACTPS employment framework</a:t>
          </a:r>
        </a:p>
        <a:p>
          <a:pPr algn="ctr"/>
          <a:endParaRPr lang="en-AU" sz="1100"/>
        </a:p>
        <a:p>
          <a:pPr algn="ctr"/>
          <a:r>
            <a:rPr lang="en-AU" sz="1100"/>
            <a:t>Engage with external Aboriginal and Torres Strait Islander recruitment organisations</a:t>
          </a:r>
        </a:p>
        <a:p>
          <a:pPr algn="ctr"/>
          <a:endParaRPr lang="en-AU" sz="1100"/>
        </a:p>
        <a:p>
          <a:pPr algn="ctr"/>
          <a:endParaRPr lang="en-AU" sz="1100"/>
        </a:p>
      </dgm:t>
      <dgm:extLst>
        <a:ext uri="{E40237B7-FDA0-4F09-8148-C483321AD2D9}">
          <dgm14:cNvPr xmlns:dgm14="http://schemas.microsoft.com/office/drawing/2010/diagram" id="0" name="" descr="Bring innovation to employment pathways and promote awareness of career paths into the ACTPS (e.g. Australian School Based Apprenticeships, work experience for students, apprenticeships, general entry), including establishing links with tertiary institutions*&#10;&#10;Directorate participation in whole-of-government Inclusion and Aboriginal and Torres Strait Islander employment programs&#10;&#10;Use designated positions as provided for in the  ACTPS employment framework&#10;&#10;Engage with external Aboriginal and Torres Strait Islander recruitment organisations&#10;" title="Recruitment"/>
        </a:ext>
      </dgm:extLst>
    </dgm:pt>
    <dgm:pt modelId="{FBA1D90F-D50E-4A6A-A1E5-F94A0091B729}" type="parTrans" cxnId="{9C9315B7-5582-4FCE-A5CB-95971A4AEF5C}">
      <dgm:prSet/>
      <dgm:spPr/>
      <dgm:t>
        <a:bodyPr/>
        <a:lstStyle/>
        <a:p>
          <a:pPr algn="ctr"/>
          <a:endParaRPr lang="en-AU"/>
        </a:p>
      </dgm:t>
    </dgm:pt>
    <dgm:pt modelId="{9B268940-8305-4940-A0BA-01517C16B33C}" type="sibTrans" cxnId="{9C9315B7-5582-4FCE-A5CB-95971A4AEF5C}">
      <dgm:prSet/>
      <dgm:spPr/>
      <dgm:t>
        <a:bodyPr/>
        <a:lstStyle/>
        <a:p>
          <a:pPr algn="ctr"/>
          <a:endParaRPr lang="en-AU"/>
        </a:p>
      </dgm:t>
    </dgm:pt>
    <dgm:pt modelId="{3A5C0E13-4C00-406D-94E8-F78FC3CF916E}">
      <dgm:prSet custT="1"/>
      <dgm:spPr>
        <a:solidFill>
          <a:schemeClr val="accent1">
            <a:lumMod val="75000"/>
          </a:schemeClr>
        </a:solidFill>
      </dgm:spPr>
      <dgm:t>
        <a:bodyPr anchor="t" anchorCtr="0"/>
        <a:lstStyle/>
        <a:p>
          <a:pPr algn="ctr"/>
          <a:r>
            <a:rPr lang="en-AU" sz="1100" b="1"/>
            <a:t>Build Capability</a:t>
          </a:r>
        </a:p>
        <a:p>
          <a:pPr algn="ctr"/>
          <a:endParaRPr lang="en-AU" sz="1100"/>
        </a:p>
        <a:p>
          <a:pPr algn="ctr"/>
          <a:r>
            <a:rPr lang="en-AU" sz="1100"/>
            <a:t>Establish an Inclusion Practitioners Group for managers, HR and/or diversity officers to share experiences and learning*</a:t>
          </a:r>
        </a:p>
        <a:p>
          <a:pPr algn="ctr"/>
          <a:endParaRPr lang="en-AU" sz="1100"/>
        </a:p>
        <a:p>
          <a:pPr algn="ctr"/>
          <a:r>
            <a:rPr lang="en-AU" sz="1100"/>
            <a:t>Continue embedding Aboriginal and Torrest Strait Islander cultural awareness training across all directorates, including providing training for managers/supervisors and selection panels as required</a:t>
          </a:r>
        </a:p>
        <a:p>
          <a:pPr algn="ctr"/>
          <a:endParaRPr lang="en-AU" sz="1100"/>
        </a:p>
        <a:p>
          <a:pPr algn="ctr"/>
          <a:r>
            <a:rPr lang="en-AU" sz="1100"/>
            <a:t>Encourage staff participation in Inclusion and Aboriginal and Torres Strait Islander Staff Networks</a:t>
          </a:r>
        </a:p>
      </dgm:t>
      <dgm:extLst>
        <a:ext uri="{E40237B7-FDA0-4F09-8148-C483321AD2D9}">
          <dgm14:cNvPr xmlns:dgm14="http://schemas.microsoft.com/office/drawing/2010/diagram" id="0" name="" descr="Establish an Inclusion Practitioners Group for managers, HR and/or diversity officers to share experiences and learning*&#10;&#10;Continue embedding Aboriginal and Torrest Strait Islander cultural awareness training across all directorates, including providing training for managers/supervisors and selection panels as required&#10;&#10;Encourage staff participation in Inclusion and Aboriginal and Torres Strait Islander Staff Networks&#10;" title="Build Capability"/>
        </a:ext>
      </dgm:extLst>
    </dgm:pt>
    <dgm:pt modelId="{ED6AC11D-6D3D-4529-BBF8-BEB1717B9488}" type="parTrans" cxnId="{4CFD5CE8-C39D-410B-881A-A14D38E28615}">
      <dgm:prSet/>
      <dgm:spPr/>
      <dgm:t>
        <a:bodyPr/>
        <a:lstStyle/>
        <a:p>
          <a:pPr algn="ctr"/>
          <a:endParaRPr lang="en-AU"/>
        </a:p>
      </dgm:t>
    </dgm:pt>
    <dgm:pt modelId="{4B7230CF-645E-4EA9-BF4A-785AFAF1C7E0}" type="sibTrans" cxnId="{4CFD5CE8-C39D-410B-881A-A14D38E28615}">
      <dgm:prSet/>
      <dgm:spPr/>
      <dgm:t>
        <a:bodyPr/>
        <a:lstStyle/>
        <a:p>
          <a:pPr algn="ctr"/>
          <a:endParaRPr lang="en-AU"/>
        </a:p>
      </dgm:t>
    </dgm:pt>
    <dgm:pt modelId="{948F4367-26CF-45BE-93A6-C842621ADFA4}">
      <dgm:prSet custT="1"/>
      <dgm:spPr>
        <a:solidFill>
          <a:srgbClr val="008575"/>
        </a:solidFill>
      </dgm:spPr>
      <dgm:t>
        <a:bodyPr anchor="t" anchorCtr="0"/>
        <a:lstStyle/>
        <a:p>
          <a:pPr algn="ctr"/>
          <a:r>
            <a:rPr lang="en-AU" sz="1100" b="1"/>
            <a:t>Leadership</a:t>
          </a:r>
        </a:p>
        <a:p>
          <a:pPr algn="ctr"/>
          <a:endParaRPr lang="en-AU" sz="1100"/>
        </a:p>
        <a:p>
          <a:pPr algn="ctr"/>
          <a:r>
            <a:rPr lang="en-AU" sz="1100"/>
            <a:t>Develop Aboriginal and Torres Strait Islander staff for leadership roles</a:t>
          </a:r>
        </a:p>
        <a:p>
          <a:pPr algn="ctr"/>
          <a:endParaRPr lang="en-AU" sz="1100"/>
        </a:p>
        <a:p>
          <a:pPr algn="ctr"/>
          <a:r>
            <a:rPr lang="en-AU" sz="1100"/>
            <a:t>Recruit Senior Executives who identify as Aboriginal or Torres Strait Islander and sustain/improve current levels of representation</a:t>
          </a:r>
        </a:p>
        <a:p>
          <a:pPr algn="ctr"/>
          <a:endParaRPr lang="en-AU" sz="1100"/>
        </a:p>
        <a:p>
          <a:pPr algn="ctr"/>
          <a:r>
            <a:rPr lang="en-AU" sz="1100"/>
            <a:t>Ensure that executives act as champions of diverse and inclusive workplaces and model the values of Respect, Equity and Diversity as per the RED Framework</a:t>
          </a:r>
        </a:p>
        <a:p>
          <a:pPr algn="ctr"/>
          <a:endParaRPr lang="en-AU" sz="1100"/>
        </a:p>
        <a:p>
          <a:pPr algn="ctr"/>
          <a:r>
            <a:rPr lang="en-AU" sz="1100"/>
            <a:t>Ensure that executives display an ongoing commitment to cultural integrity awareness and learning</a:t>
          </a:r>
        </a:p>
        <a:p>
          <a:pPr algn="ctr"/>
          <a:endParaRPr lang="en-AU" sz="1100"/>
        </a:p>
        <a:p>
          <a:pPr algn="ctr"/>
          <a:endParaRPr lang="en-AU" sz="1100"/>
        </a:p>
        <a:p>
          <a:pPr algn="ctr"/>
          <a:endParaRPr lang="en-AU" sz="1100"/>
        </a:p>
        <a:p>
          <a:pPr algn="ctr"/>
          <a:endParaRPr lang="en-AU" sz="1100"/>
        </a:p>
      </dgm:t>
      <dgm:extLst>
        <a:ext uri="{E40237B7-FDA0-4F09-8148-C483321AD2D9}">
          <dgm14:cNvPr xmlns:dgm14="http://schemas.microsoft.com/office/drawing/2010/diagram" id="0" name="" descr="Develop Aboriginal and Torres Strait Islander staff for leadership roles&#10;&#10;Recruit Senior Executives who identify as Aboriginal or Torres Strait Islander and sustain/improve current levels of representation&#10;&#10;Ensure that executives act as champions of diverse and inclusive workplaces and model the values of Respect, Equity and Diversity as per the RED Framework&#10;&#10;Ensure that executives display an ongoing commitment to cultural integrity awareness and learning&#10;" title="Leadership"/>
        </a:ext>
      </dgm:extLst>
    </dgm:pt>
    <dgm:pt modelId="{81767933-0DAB-4D61-B616-AC8675F6892A}" type="parTrans" cxnId="{D361055C-35F1-400E-BCF3-3EF4C1562265}">
      <dgm:prSet/>
      <dgm:spPr/>
      <dgm:t>
        <a:bodyPr/>
        <a:lstStyle/>
        <a:p>
          <a:pPr algn="ctr"/>
          <a:endParaRPr lang="en-AU"/>
        </a:p>
      </dgm:t>
    </dgm:pt>
    <dgm:pt modelId="{6F89F6E5-7C03-47BE-A93D-6CB5DEA5425B}" type="sibTrans" cxnId="{D361055C-35F1-400E-BCF3-3EF4C1562265}">
      <dgm:prSet/>
      <dgm:spPr/>
      <dgm:t>
        <a:bodyPr/>
        <a:lstStyle/>
        <a:p>
          <a:pPr algn="ctr"/>
          <a:endParaRPr lang="en-AU"/>
        </a:p>
      </dgm:t>
    </dgm:pt>
    <dgm:pt modelId="{48610D6B-43FF-4C3A-8E91-F424009D1B55}">
      <dgm:prSet custT="1"/>
      <dgm:spPr>
        <a:solidFill>
          <a:srgbClr val="378639"/>
        </a:solidFill>
      </dgm:spPr>
      <dgm:t>
        <a:bodyPr anchor="t" anchorCtr="0"/>
        <a:lstStyle/>
        <a:p>
          <a:pPr algn="ctr"/>
          <a:r>
            <a:rPr lang="en-AU" sz="1100" b="1"/>
            <a:t>Collaboration</a:t>
          </a:r>
        </a:p>
        <a:p>
          <a:pPr algn="ctr"/>
          <a:endParaRPr lang="en-AU" sz="1100"/>
        </a:p>
        <a:p>
          <a:pPr algn="ctr"/>
          <a:r>
            <a:rPr lang="en-AU" sz="1100"/>
            <a:t>Engage and consult with staff and  community stakeholders</a:t>
          </a:r>
        </a:p>
        <a:p>
          <a:pPr algn="ctr"/>
          <a:r>
            <a:rPr lang="en-AU" sz="1100"/>
            <a:t> (e.g. ACT Aboriginal and Torres Strait Islander Elected Body)</a:t>
          </a:r>
        </a:p>
        <a:p>
          <a:pPr algn="ctr"/>
          <a:endParaRPr lang="en-AU" sz="1100"/>
        </a:p>
        <a:p>
          <a:pPr algn="ctr"/>
          <a:r>
            <a:rPr lang="en-AU" sz="1100"/>
            <a:t>Utilise staff surveys, exit surveys, Inclusion Networks and Practitioner Groups as avenues to obtain feedback and input from Aboriginal and Torres Strait Islander staff towards continuous improvement</a:t>
          </a:r>
        </a:p>
        <a:p>
          <a:pPr algn="ctr"/>
          <a:endParaRPr lang="en-AU" sz="1100"/>
        </a:p>
        <a:p>
          <a:pPr algn="ctr"/>
          <a:endParaRPr lang="en-AU" sz="1100"/>
        </a:p>
        <a:p>
          <a:pPr algn="ctr"/>
          <a:endParaRPr lang="en-AU" sz="1100"/>
        </a:p>
        <a:p>
          <a:pPr algn="ctr"/>
          <a:endParaRPr lang="en-AU" sz="1100"/>
        </a:p>
      </dgm:t>
      <dgm:extLst>
        <a:ext uri="{E40237B7-FDA0-4F09-8148-C483321AD2D9}">
          <dgm14:cNvPr xmlns:dgm14="http://schemas.microsoft.com/office/drawing/2010/diagram" id="0" name="" descr="Engage and consult with staff and  community stakeholders&#10; (e.g. ACT Aboriginal and Torres Strait Islander Elected Body)&#10;&#10;Utilise staff surveys, exit surveys, Inclusion Networks and Practitioner Groups as avenues to obtain feedback and input from Aboriginal and Torres Strait Islander staff towards continuous improvement&#10;" title="Collaboration"/>
        </a:ext>
      </dgm:extLst>
    </dgm:pt>
    <dgm:pt modelId="{63A8545A-9A42-473B-A525-EC62C8D33558}" type="parTrans" cxnId="{12FA1619-DF36-4194-93BD-F845EBABB36C}">
      <dgm:prSet/>
      <dgm:spPr/>
      <dgm:t>
        <a:bodyPr/>
        <a:lstStyle/>
        <a:p>
          <a:pPr algn="ctr"/>
          <a:endParaRPr lang="en-AU"/>
        </a:p>
      </dgm:t>
    </dgm:pt>
    <dgm:pt modelId="{CABA3FB6-9986-4EEE-B614-2366E3CC0542}" type="sibTrans" cxnId="{12FA1619-DF36-4194-93BD-F845EBABB36C}">
      <dgm:prSet/>
      <dgm:spPr/>
      <dgm:t>
        <a:bodyPr/>
        <a:lstStyle/>
        <a:p>
          <a:pPr algn="ctr"/>
          <a:endParaRPr lang="en-AU"/>
        </a:p>
      </dgm:t>
    </dgm:pt>
    <dgm:pt modelId="{B6A7738A-04C8-42FC-8B0E-B4B88D551290}">
      <dgm:prSet custT="1"/>
      <dgm:spPr>
        <a:solidFill>
          <a:schemeClr val="bg2">
            <a:lumMod val="25000"/>
          </a:schemeClr>
        </a:solidFill>
      </dgm:spPr>
      <dgm:t>
        <a:bodyPr anchor="t" anchorCtr="0"/>
        <a:lstStyle/>
        <a:p>
          <a:pPr algn="ctr"/>
          <a:r>
            <a:rPr lang="en-AU" sz="1100" b="1"/>
            <a:t>Recognise &amp; Celebrate</a:t>
          </a:r>
        </a:p>
        <a:p>
          <a:pPr algn="ctr"/>
          <a:endParaRPr lang="en-AU" sz="1100"/>
        </a:p>
        <a:p>
          <a:pPr algn="ctr"/>
          <a:r>
            <a:rPr lang="en-AU" sz="1100"/>
            <a:t>Bring innovation when celebrating and recognising days/events of cultural significance (e.g. NAIDOC week)</a:t>
          </a:r>
        </a:p>
        <a:p>
          <a:pPr algn="ctr"/>
          <a:endParaRPr lang="en-AU" sz="1100"/>
        </a:p>
        <a:p>
          <a:pPr algn="ctr"/>
          <a:r>
            <a:rPr lang="en-AU" sz="1100"/>
            <a:t>Promote and celebrate a diverse workforce</a:t>
          </a:r>
        </a:p>
        <a:p>
          <a:pPr algn="ctr"/>
          <a:endParaRPr lang="en-AU" sz="1100"/>
        </a:p>
        <a:p>
          <a:pPr algn="ctr"/>
          <a:r>
            <a:rPr lang="en-AU" sz="1100"/>
            <a:t>Promote employment conditions that support flexible work and a healthy work-life balance</a:t>
          </a:r>
        </a:p>
        <a:p>
          <a:pPr algn="ctr"/>
          <a:endParaRPr lang="en-AU" sz="1100"/>
        </a:p>
        <a:p>
          <a:pPr algn="ctr"/>
          <a:r>
            <a:rPr lang="en-AU" sz="1100"/>
            <a:t>Increase awareness of the cultural leave provisions for Aboriginal and Torres Strait Islander staff included in ACTPS Enterprise Agreements </a:t>
          </a:r>
        </a:p>
        <a:p>
          <a:pPr algn="ctr"/>
          <a:endParaRPr lang="en-AU" sz="1100"/>
        </a:p>
        <a:p>
          <a:pPr algn="ctr"/>
          <a:r>
            <a:rPr lang="en-AU" sz="1100"/>
            <a:t>Recognise and respect the individual culture and origins of Aboriginal and Torres Strait Islander staff</a:t>
          </a:r>
        </a:p>
        <a:p>
          <a:pPr algn="ctr"/>
          <a:endParaRPr lang="en-AU" sz="1100"/>
        </a:p>
      </dgm:t>
      <dgm:extLst>
        <a:ext uri="{E40237B7-FDA0-4F09-8148-C483321AD2D9}">
          <dgm14:cNvPr xmlns:dgm14="http://schemas.microsoft.com/office/drawing/2010/diagram" id="0" name="" descr="Bring innovation when celebrating and recognising days/events of cultural significance (e.g. NAIDOC week)&#10;&#10;Promote and celebrate a diverse workforce&#10;&#10;Promote employment conditions that support flexible work and a healthy work-life balance&#10;&#10;Increase awareness of the cultural leave provisions for Aboriginal and Torres Strait Islander staff included in ACTPS Enterprise Agreements &#10;&#10;Recognise and respect the individual culture and origins of Aboriginal and Torres Strait Islander staff" title="Recognise &amp; Celebrate"/>
        </a:ext>
      </dgm:extLst>
    </dgm:pt>
    <dgm:pt modelId="{490DF27D-0744-4456-8609-F3BA52AB225D}" type="parTrans" cxnId="{437F6B00-CC5F-40E4-B5C7-27E11C5EB1CC}">
      <dgm:prSet/>
      <dgm:spPr/>
      <dgm:t>
        <a:bodyPr/>
        <a:lstStyle/>
        <a:p>
          <a:pPr algn="ctr"/>
          <a:endParaRPr lang="en-AU"/>
        </a:p>
      </dgm:t>
    </dgm:pt>
    <dgm:pt modelId="{4F3CB950-59BE-44BA-A9AC-16C87F48020F}" type="sibTrans" cxnId="{437F6B00-CC5F-40E4-B5C7-27E11C5EB1CC}">
      <dgm:prSet/>
      <dgm:spPr/>
      <dgm:t>
        <a:bodyPr/>
        <a:lstStyle/>
        <a:p>
          <a:pPr algn="ctr"/>
          <a:endParaRPr lang="en-AU"/>
        </a:p>
      </dgm:t>
    </dgm:pt>
    <dgm:pt modelId="{1962B82D-816E-4521-8492-7A5C1B9E5396}">
      <dgm:prSet custT="1"/>
      <dgm:spPr>
        <a:solidFill>
          <a:schemeClr val="accent4">
            <a:lumMod val="75000"/>
          </a:schemeClr>
        </a:solidFill>
      </dgm:spPr>
      <dgm:t>
        <a:bodyPr anchor="t" anchorCtr="0"/>
        <a:lstStyle/>
        <a:p>
          <a:pPr algn="ctr"/>
          <a:r>
            <a:rPr lang="en-AU" sz="1100" b="1"/>
            <a:t>Retention</a:t>
          </a:r>
        </a:p>
        <a:p>
          <a:pPr algn="ctr"/>
          <a:endParaRPr lang="en-AU" sz="1100" b="1"/>
        </a:p>
        <a:p>
          <a:pPr algn="ctr"/>
          <a:r>
            <a:rPr lang="en-AU" sz="1000"/>
            <a:t>Seek the input of Aboriginal and Torres Strait Islander staff in respective ACTPS policies, procedures and initiatives*</a:t>
          </a:r>
        </a:p>
        <a:p>
          <a:pPr algn="ctr"/>
          <a:endParaRPr lang="en-AU" sz="1000"/>
        </a:p>
        <a:p>
          <a:pPr algn="ctr"/>
          <a:r>
            <a:rPr lang="en-AU" sz="1000"/>
            <a:t>Develop an ACTPS Commitment to Aboriginal and Torres Strait Islander Employment* and directorate-specific Reconciliation Action Plans/workforce strategies</a:t>
          </a:r>
        </a:p>
        <a:p>
          <a:pPr algn="ctr"/>
          <a:endParaRPr lang="en-AU" sz="1000"/>
        </a:p>
        <a:p>
          <a:pPr algn="ctr"/>
          <a:r>
            <a:rPr lang="en-AU" sz="1000"/>
            <a:t>Use the Performance Framework to identify opportunities for career development and progression</a:t>
          </a:r>
        </a:p>
        <a:p>
          <a:pPr algn="ctr"/>
          <a:endParaRPr lang="en-AU" sz="1000"/>
        </a:p>
        <a:p>
          <a:pPr algn="ctr"/>
          <a:r>
            <a:rPr lang="en-AU" sz="1000"/>
            <a:t>Pilot and evaluate internal/external mentoring opportunities for Aboriginal and Torres Striat Islander staff</a:t>
          </a:r>
        </a:p>
        <a:p>
          <a:pPr algn="ctr"/>
          <a:endParaRPr lang="en-AU" sz="1000"/>
        </a:p>
        <a:p>
          <a:pPr algn="ctr"/>
          <a:r>
            <a:rPr lang="en-AU" sz="1000"/>
            <a:t>Bring innovation to job design, including part-time and job-share arrangements and activity-based work </a:t>
          </a:r>
          <a:r>
            <a:rPr lang="en-AU" sz="1000" b="1"/>
            <a:t> </a:t>
          </a:r>
        </a:p>
        <a:p>
          <a:pPr algn="ctr"/>
          <a:endParaRPr lang="en-AU" sz="1000" b="1"/>
        </a:p>
        <a:p>
          <a:pPr algn="ctr"/>
          <a:r>
            <a:rPr lang="en-AU" sz="1000" b="0"/>
            <a:t>Implement the Aboriginal and Torres Strait Islander Career Progression and Retention Program*</a:t>
          </a:r>
        </a:p>
      </dgm:t>
      <dgm:extLst>
        <a:ext uri="{E40237B7-FDA0-4F09-8148-C483321AD2D9}">
          <dgm14:cNvPr xmlns:dgm14="http://schemas.microsoft.com/office/drawing/2010/diagram" id="0" name="" descr="Seek the input of Aboriginal and Torres Strait Islander staff in respective ACTPS policies, procedures and initiatives*&#10;&#10;Develop an ACTPS Commitment to Aboriginal and Torres Strait Islander Employment* and directorate-specific Reconciliation Action Plans/workforce strategies&#10;&#10;Use the Performance Framework to identify opportunities for career development and progression&#10;&#10;Pilot and evaluate internal/external mentoring opportunities for Aboriginal and Torres Striat Islander staff&#10;&#10;Bring innovation to job design, including part-time and job-share arrangements and activity-based work  &#10;&#10;Implement the Aboriginal and Torres Strait Islander Career Progression and Retention Program*&#10;" title="Retention"/>
        </a:ext>
      </dgm:extLst>
    </dgm:pt>
    <dgm:pt modelId="{036E802E-D9AA-4848-86B7-016C94BA349D}" type="sibTrans" cxnId="{E94F462B-D2D0-4B95-A42A-34E3C2A44AAA}">
      <dgm:prSet/>
      <dgm:spPr/>
      <dgm:t>
        <a:bodyPr/>
        <a:lstStyle/>
        <a:p>
          <a:pPr algn="ctr"/>
          <a:endParaRPr lang="en-AU"/>
        </a:p>
      </dgm:t>
    </dgm:pt>
    <dgm:pt modelId="{D4C57DE0-81F8-4101-883C-A6E77EB37391}" type="parTrans" cxnId="{E94F462B-D2D0-4B95-A42A-34E3C2A44AAA}">
      <dgm:prSet/>
      <dgm:spPr/>
      <dgm:t>
        <a:bodyPr/>
        <a:lstStyle/>
        <a:p>
          <a:pPr algn="ctr"/>
          <a:endParaRPr lang="en-AU"/>
        </a:p>
      </dgm:t>
    </dgm:pt>
    <dgm:pt modelId="{BF022357-6A2F-4C21-BD43-C951F307F32F}" type="pres">
      <dgm:prSet presAssocID="{43B55C24-7A44-4B3D-97F2-2DDA723B6BB6}" presName="Name0" presStyleCnt="0">
        <dgm:presLayoutVars>
          <dgm:chPref val="1"/>
          <dgm:dir/>
          <dgm:animOne val="branch"/>
          <dgm:animLvl val="lvl"/>
          <dgm:resizeHandles/>
        </dgm:presLayoutVars>
      </dgm:prSet>
      <dgm:spPr/>
    </dgm:pt>
    <dgm:pt modelId="{EC942A8E-CDD5-49A7-AB3F-AF6189D97048}" type="pres">
      <dgm:prSet presAssocID="{95C2E810-35DF-4A2F-A43D-0FCC14222A7F}" presName="vertOne" presStyleCnt="0"/>
      <dgm:spPr/>
    </dgm:pt>
    <dgm:pt modelId="{E4548773-3007-4CBF-9582-E8F9225048ED}" type="pres">
      <dgm:prSet presAssocID="{95C2E810-35DF-4A2F-A43D-0FCC14222A7F}" presName="txOne" presStyleLbl="node0" presStyleIdx="0" presStyleCnt="1" custScaleY="22695">
        <dgm:presLayoutVars>
          <dgm:chPref val="3"/>
        </dgm:presLayoutVars>
      </dgm:prSet>
      <dgm:spPr/>
    </dgm:pt>
    <dgm:pt modelId="{6D7EE738-03EE-4D35-8AF2-A74767944869}" type="pres">
      <dgm:prSet presAssocID="{95C2E810-35DF-4A2F-A43D-0FCC14222A7F}" presName="parTransOne" presStyleCnt="0"/>
      <dgm:spPr/>
    </dgm:pt>
    <dgm:pt modelId="{467925C0-6A61-4FE1-96E8-DD39C8CDD416}" type="pres">
      <dgm:prSet presAssocID="{95C2E810-35DF-4A2F-A43D-0FCC14222A7F}" presName="horzOne" presStyleCnt="0"/>
      <dgm:spPr/>
    </dgm:pt>
    <dgm:pt modelId="{424829BA-8426-47B1-9E82-9A066DAD5CDA}" type="pres">
      <dgm:prSet presAssocID="{EAF3F28C-B85B-4AC8-AA04-340963C003D9}" presName="vertTwo" presStyleCnt="0"/>
      <dgm:spPr/>
    </dgm:pt>
    <dgm:pt modelId="{AE0D311E-A7FD-4A54-9A9D-B8C21909D510}" type="pres">
      <dgm:prSet presAssocID="{EAF3F28C-B85B-4AC8-AA04-340963C003D9}" presName="txTwo" presStyleLbl="node2" presStyleIdx="0" presStyleCnt="7">
        <dgm:presLayoutVars>
          <dgm:chPref val="3"/>
        </dgm:presLayoutVars>
      </dgm:prSet>
      <dgm:spPr/>
    </dgm:pt>
    <dgm:pt modelId="{802244F7-EB01-463C-B8A1-FB3189ED2ECD}" type="pres">
      <dgm:prSet presAssocID="{EAF3F28C-B85B-4AC8-AA04-340963C003D9}" presName="horzTwo" presStyleCnt="0"/>
      <dgm:spPr/>
    </dgm:pt>
    <dgm:pt modelId="{2B87A4B5-323A-4DAE-AF2A-E6BBBFA49FF2}" type="pres">
      <dgm:prSet presAssocID="{C878C3D4-926B-49F3-9C2B-3501F9564378}" presName="sibSpaceTwo" presStyleCnt="0"/>
      <dgm:spPr/>
    </dgm:pt>
    <dgm:pt modelId="{6BF7F58C-E5D5-4854-B475-84741234CD15}" type="pres">
      <dgm:prSet presAssocID="{FF673885-19BC-4C63-981A-9DBDE74B02A7}" presName="vertTwo" presStyleCnt="0"/>
      <dgm:spPr/>
    </dgm:pt>
    <dgm:pt modelId="{EC616AAC-1874-4413-844B-C2EBB48FF856}" type="pres">
      <dgm:prSet presAssocID="{FF673885-19BC-4C63-981A-9DBDE74B02A7}" presName="txTwo" presStyleLbl="node2" presStyleIdx="1" presStyleCnt="7">
        <dgm:presLayoutVars>
          <dgm:chPref val="3"/>
        </dgm:presLayoutVars>
      </dgm:prSet>
      <dgm:spPr/>
    </dgm:pt>
    <dgm:pt modelId="{E4AD3960-74AB-472F-A5F7-4D934C789464}" type="pres">
      <dgm:prSet presAssocID="{FF673885-19BC-4C63-981A-9DBDE74B02A7}" presName="horzTwo" presStyleCnt="0"/>
      <dgm:spPr/>
    </dgm:pt>
    <dgm:pt modelId="{72AA3A75-0751-4555-BCE4-3E9476B8BB48}" type="pres">
      <dgm:prSet presAssocID="{9B268940-8305-4940-A0BA-01517C16B33C}" presName="sibSpaceTwo" presStyleCnt="0"/>
      <dgm:spPr/>
    </dgm:pt>
    <dgm:pt modelId="{4BC11D49-0F3E-4ADE-925E-46BECE444906}" type="pres">
      <dgm:prSet presAssocID="{1962B82D-816E-4521-8492-7A5C1B9E5396}" presName="vertTwo" presStyleCnt="0"/>
      <dgm:spPr/>
    </dgm:pt>
    <dgm:pt modelId="{4D9F7FBD-F769-4002-BE20-2BA396D868BF}" type="pres">
      <dgm:prSet presAssocID="{1962B82D-816E-4521-8492-7A5C1B9E5396}" presName="txTwo" presStyleLbl="node2" presStyleIdx="2" presStyleCnt="7" custLinFactNeighborX="1471" custLinFactNeighborY="53">
        <dgm:presLayoutVars>
          <dgm:chPref val="3"/>
        </dgm:presLayoutVars>
      </dgm:prSet>
      <dgm:spPr/>
    </dgm:pt>
    <dgm:pt modelId="{7B0E2D24-7905-4A1F-9D3A-FD4C76C07089}" type="pres">
      <dgm:prSet presAssocID="{1962B82D-816E-4521-8492-7A5C1B9E5396}" presName="horzTwo" presStyleCnt="0"/>
      <dgm:spPr/>
    </dgm:pt>
    <dgm:pt modelId="{B04D5AFB-4AB9-4215-A140-65286A16089A}" type="pres">
      <dgm:prSet presAssocID="{036E802E-D9AA-4848-86B7-016C94BA349D}" presName="sibSpaceTwo" presStyleCnt="0"/>
      <dgm:spPr/>
    </dgm:pt>
    <dgm:pt modelId="{6C981850-3572-451C-95B4-94AA4433AA45}" type="pres">
      <dgm:prSet presAssocID="{3A5C0E13-4C00-406D-94E8-F78FC3CF916E}" presName="vertTwo" presStyleCnt="0"/>
      <dgm:spPr/>
    </dgm:pt>
    <dgm:pt modelId="{8ECE0BB0-61C7-424F-9F5D-3989A0E3079D}" type="pres">
      <dgm:prSet presAssocID="{3A5C0E13-4C00-406D-94E8-F78FC3CF916E}" presName="txTwo" presStyleLbl="node2" presStyleIdx="3" presStyleCnt="7">
        <dgm:presLayoutVars>
          <dgm:chPref val="3"/>
        </dgm:presLayoutVars>
      </dgm:prSet>
      <dgm:spPr/>
    </dgm:pt>
    <dgm:pt modelId="{8F7B6344-811C-41D5-9D91-9A39A5551840}" type="pres">
      <dgm:prSet presAssocID="{3A5C0E13-4C00-406D-94E8-F78FC3CF916E}" presName="horzTwo" presStyleCnt="0"/>
      <dgm:spPr/>
    </dgm:pt>
    <dgm:pt modelId="{64D4FB24-7774-479F-B318-4E6B83C39FB3}" type="pres">
      <dgm:prSet presAssocID="{4B7230CF-645E-4EA9-BF4A-785AFAF1C7E0}" presName="sibSpaceTwo" presStyleCnt="0"/>
      <dgm:spPr/>
    </dgm:pt>
    <dgm:pt modelId="{54276337-3EB7-445F-9BF2-C100FCCEF9BE}" type="pres">
      <dgm:prSet presAssocID="{948F4367-26CF-45BE-93A6-C842621ADFA4}" presName="vertTwo" presStyleCnt="0"/>
      <dgm:spPr/>
    </dgm:pt>
    <dgm:pt modelId="{6A8AF2CE-D3A3-4534-A3E4-67F2623D1FA1}" type="pres">
      <dgm:prSet presAssocID="{948F4367-26CF-45BE-93A6-C842621ADFA4}" presName="txTwo" presStyleLbl="node2" presStyleIdx="4" presStyleCnt="7">
        <dgm:presLayoutVars>
          <dgm:chPref val="3"/>
        </dgm:presLayoutVars>
      </dgm:prSet>
      <dgm:spPr/>
    </dgm:pt>
    <dgm:pt modelId="{11C358C4-90B5-46B7-822B-C694EDBA9E73}" type="pres">
      <dgm:prSet presAssocID="{948F4367-26CF-45BE-93A6-C842621ADFA4}" presName="horzTwo" presStyleCnt="0"/>
      <dgm:spPr/>
    </dgm:pt>
    <dgm:pt modelId="{573AF816-D165-4311-8F33-FAF45B8EEE9D}" type="pres">
      <dgm:prSet presAssocID="{6F89F6E5-7C03-47BE-A93D-6CB5DEA5425B}" presName="sibSpaceTwo" presStyleCnt="0"/>
      <dgm:spPr/>
    </dgm:pt>
    <dgm:pt modelId="{E8FE91A3-BCD6-4791-9D56-2F703E7970CB}" type="pres">
      <dgm:prSet presAssocID="{48610D6B-43FF-4C3A-8E91-F424009D1B55}" presName="vertTwo" presStyleCnt="0"/>
      <dgm:spPr/>
    </dgm:pt>
    <dgm:pt modelId="{A4CB1D7C-53C1-4FBE-9510-06B63C9A1B07}" type="pres">
      <dgm:prSet presAssocID="{48610D6B-43FF-4C3A-8E91-F424009D1B55}" presName="txTwo" presStyleLbl="node2" presStyleIdx="5" presStyleCnt="7">
        <dgm:presLayoutVars>
          <dgm:chPref val="3"/>
        </dgm:presLayoutVars>
      </dgm:prSet>
      <dgm:spPr/>
    </dgm:pt>
    <dgm:pt modelId="{250A386E-F348-4DD5-BF86-F3863F09BE9F}" type="pres">
      <dgm:prSet presAssocID="{48610D6B-43FF-4C3A-8E91-F424009D1B55}" presName="horzTwo" presStyleCnt="0"/>
      <dgm:spPr/>
    </dgm:pt>
    <dgm:pt modelId="{F56CC5DC-5BBD-4355-81F2-9D43A0C5DD26}" type="pres">
      <dgm:prSet presAssocID="{CABA3FB6-9986-4EEE-B614-2366E3CC0542}" presName="sibSpaceTwo" presStyleCnt="0"/>
      <dgm:spPr/>
    </dgm:pt>
    <dgm:pt modelId="{D9F357F8-DD04-4228-9D8C-0298E4AC4509}" type="pres">
      <dgm:prSet presAssocID="{B6A7738A-04C8-42FC-8B0E-B4B88D551290}" presName="vertTwo" presStyleCnt="0"/>
      <dgm:spPr/>
    </dgm:pt>
    <dgm:pt modelId="{72750947-546B-4F83-958C-6776579A2147}" type="pres">
      <dgm:prSet presAssocID="{B6A7738A-04C8-42FC-8B0E-B4B88D551290}" presName="txTwo" presStyleLbl="node2" presStyleIdx="6" presStyleCnt="7">
        <dgm:presLayoutVars>
          <dgm:chPref val="3"/>
        </dgm:presLayoutVars>
      </dgm:prSet>
      <dgm:spPr/>
    </dgm:pt>
    <dgm:pt modelId="{EE722DD2-C866-4BFC-A30F-08D00378880A}" type="pres">
      <dgm:prSet presAssocID="{B6A7738A-04C8-42FC-8B0E-B4B88D551290}" presName="horzTwo" presStyleCnt="0"/>
      <dgm:spPr/>
    </dgm:pt>
  </dgm:ptLst>
  <dgm:cxnLst>
    <dgm:cxn modelId="{437F6B00-CC5F-40E4-B5C7-27E11C5EB1CC}" srcId="{95C2E810-35DF-4A2F-A43D-0FCC14222A7F}" destId="{B6A7738A-04C8-42FC-8B0E-B4B88D551290}" srcOrd="6" destOrd="0" parTransId="{490DF27D-0744-4456-8609-F3BA52AB225D}" sibTransId="{4F3CB950-59BE-44BA-A9AC-16C87F48020F}"/>
    <dgm:cxn modelId="{12FA1619-DF36-4194-93BD-F845EBABB36C}" srcId="{95C2E810-35DF-4A2F-A43D-0FCC14222A7F}" destId="{48610D6B-43FF-4C3A-8E91-F424009D1B55}" srcOrd="5" destOrd="0" parTransId="{63A8545A-9A42-473B-A525-EC62C8D33558}" sibTransId="{CABA3FB6-9986-4EEE-B614-2366E3CC0542}"/>
    <dgm:cxn modelId="{E94F462B-D2D0-4B95-A42A-34E3C2A44AAA}" srcId="{95C2E810-35DF-4A2F-A43D-0FCC14222A7F}" destId="{1962B82D-816E-4521-8492-7A5C1B9E5396}" srcOrd="2" destOrd="0" parTransId="{D4C57DE0-81F8-4101-883C-A6E77EB37391}" sibTransId="{036E802E-D9AA-4848-86B7-016C94BA349D}"/>
    <dgm:cxn modelId="{F11ECC39-E666-4913-ABA8-C550ED4EA23F}" type="presOf" srcId="{43B55C24-7A44-4B3D-97F2-2DDA723B6BB6}" destId="{BF022357-6A2F-4C21-BD43-C951F307F32F}" srcOrd="0" destOrd="0" presId="urn:microsoft.com/office/officeart/2005/8/layout/hierarchy4"/>
    <dgm:cxn modelId="{D01E103D-D09B-423C-8AE1-78CADED58265}" srcId="{43B55C24-7A44-4B3D-97F2-2DDA723B6BB6}" destId="{95C2E810-35DF-4A2F-A43D-0FCC14222A7F}" srcOrd="0" destOrd="0" parTransId="{8C92161D-9329-437E-BFEC-C4B63BB0CFA7}" sibTransId="{E7A85007-82F0-4EC0-A461-E7EB794AD397}"/>
    <dgm:cxn modelId="{D361055C-35F1-400E-BCF3-3EF4C1562265}" srcId="{95C2E810-35DF-4A2F-A43D-0FCC14222A7F}" destId="{948F4367-26CF-45BE-93A6-C842621ADFA4}" srcOrd="4" destOrd="0" parTransId="{81767933-0DAB-4D61-B616-AC8675F6892A}" sibTransId="{6F89F6E5-7C03-47BE-A93D-6CB5DEA5425B}"/>
    <dgm:cxn modelId="{CFB66E5F-AA47-463D-BFA4-E041ED0E951A}" type="presOf" srcId="{948F4367-26CF-45BE-93A6-C842621ADFA4}" destId="{6A8AF2CE-D3A3-4534-A3E4-67F2623D1FA1}" srcOrd="0" destOrd="0" presId="urn:microsoft.com/office/officeart/2005/8/layout/hierarchy4"/>
    <dgm:cxn modelId="{B8328067-93D9-4527-891D-8F9C881A70CD}" type="presOf" srcId="{EAF3F28C-B85B-4AC8-AA04-340963C003D9}" destId="{AE0D311E-A7FD-4A54-9A9D-B8C21909D510}" srcOrd="0" destOrd="0" presId="urn:microsoft.com/office/officeart/2005/8/layout/hierarchy4"/>
    <dgm:cxn modelId="{B3099D6D-1949-4F39-94A5-0D4D5612136C}" srcId="{95C2E810-35DF-4A2F-A43D-0FCC14222A7F}" destId="{EAF3F28C-B85B-4AC8-AA04-340963C003D9}" srcOrd="0" destOrd="0" parTransId="{A3E3359B-6D4E-4362-A9DE-4468F7989DA6}" sibTransId="{C878C3D4-926B-49F3-9C2B-3501F9564378}"/>
    <dgm:cxn modelId="{EAD6E17C-8E56-4854-BCAD-4969AEE89D36}" type="presOf" srcId="{B6A7738A-04C8-42FC-8B0E-B4B88D551290}" destId="{72750947-546B-4F83-958C-6776579A2147}" srcOrd="0" destOrd="0" presId="urn:microsoft.com/office/officeart/2005/8/layout/hierarchy4"/>
    <dgm:cxn modelId="{90B17EB6-BC62-4CC5-8486-DA8120B966A8}" type="presOf" srcId="{95C2E810-35DF-4A2F-A43D-0FCC14222A7F}" destId="{E4548773-3007-4CBF-9582-E8F9225048ED}" srcOrd="0" destOrd="0" presId="urn:microsoft.com/office/officeart/2005/8/layout/hierarchy4"/>
    <dgm:cxn modelId="{9C9315B7-5582-4FCE-A5CB-95971A4AEF5C}" srcId="{95C2E810-35DF-4A2F-A43D-0FCC14222A7F}" destId="{FF673885-19BC-4C63-981A-9DBDE74B02A7}" srcOrd="1" destOrd="0" parTransId="{FBA1D90F-D50E-4A6A-A1E5-F94A0091B729}" sibTransId="{9B268940-8305-4940-A0BA-01517C16B33C}"/>
    <dgm:cxn modelId="{1CC8C4E4-8438-4572-A3D6-AB6BE3195EF1}" type="presOf" srcId="{FF673885-19BC-4C63-981A-9DBDE74B02A7}" destId="{EC616AAC-1874-4413-844B-C2EBB48FF856}" srcOrd="0" destOrd="0" presId="urn:microsoft.com/office/officeart/2005/8/layout/hierarchy4"/>
    <dgm:cxn modelId="{4CFD5CE8-C39D-410B-881A-A14D38E28615}" srcId="{95C2E810-35DF-4A2F-A43D-0FCC14222A7F}" destId="{3A5C0E13-4C00-406D-94E8-F78FC3CF916E}" srcOrd="3" destOrd="0" parTransId="{ED6AC11D-6D3D-4529-BBF8-BEB1717B9488}" sibTransId="{4B7230CF-645E-4EA9-BF4A-785AFAF1C7E0}"/>
    <dgm:cxn modelId="{0CA197DA-6B61-4481-8699-C166667E8E9C}" type="presOf" srcId="{3A5C0E13-4C00-406D-94E8-F78FC3CF916E}" destId="{8ECE0BB0-61C7-424F-9F5D-3989A0E3079D}" srcOrd="0" destOrd="0" presId="urn:microsoft.com/office/officeart/2005/8/layout/hierarchy4"/>
    <dgm:cxn modelId="{8C8519DB-B905-452C-8275-1275810FA62A}" type="presOf" srcId="{48610D6B-43FF-4C3A-8E91-F424009D1B55}" destId="{A4CB1D7C-53C1-4FBE-9510-06B63C9A1B07}" srcOrd="0" destOrd="0" presId="urn:microsoft.com/office/officeart/2005/8/layout/hierarchy4"/>
    <dgm:cxn modelId="{9B0D21FB-4ED7-479C-9A04-ABD2E2332150}" type="presOf" srcId="{1962B82D-816E-4521-8492-7A5C1B9E5396}" destId="{4D9F7FBD-F769-4002-BE20-2BA396D868BF}" srcOrd="0" destOrd="0" presId="urn:microsoft.com/office/officeart/2005/8/layout/hierarchy4"/>
    <dgm:cxn modelId="{831C6D77-3178-4CC6-A782-034C7FD7F143}" type="presParOf" srcId="{BF022357-6A2F-4C21-BD43-C951F307F32F}" destId="{EC942A8E-CDD5-49A7-AB3F-AF6189D97048}" srcOrd="0" destOrd="0" presId="urn:microsoft.com/office/officeart/2005/8/layout/hierarchy4"/>
    <dgm:cxn modelId="{F209BEAC-31AC-451D-AC86-A7EF279B1C91}" type="presParOf" srcId="{EC942A8E-CDD5-49A7-AB3F-AF6189D97048}" destId="{E4548773-3007-4CBF-9582-E8F9225048ED}" srcOrd="0" destOrd="0" presId="urn:microsoft.com/office/officeart/2005/8/layout/hierarchy4"/>
    <dgm:cxn modelId="{464A93B6-53C0-4911-A8C9-220E49D60C5A}" type="presParOf" srcId="{EC942A8E-CDD5-49A7-AB3F-AF6189D97048}" destId="{6D7EE738-03EE-4D35-8AF2-A74767944869}" srcOrd="1" destOrd="0" presId="urn:microsoft.com/office/officeart/2005/8/layout/hierarchy4"/>
    <dgm:cxn modelId="{ADF15239-6C77-4672-BB32-2C1D029A240F}" type="presParOf" srcId="{EC942A8E-CDD5-49A7-AB3F-AF6189D97048}" destId="{467925C0-6A61-4FE1-96E8-DD39C8CDD416}" srcOrd="2" destOrd="0" presId="urn:microsoft.com/office/officeart/2005/8/layout/hierarchy4"/>
    <dgm:cxn modelId="{8FB57748-0257-41A9-9319-A5AB53AFDDDE}" type="presParOf" srcId="{467925C0-6A61-4FE1-96E8-DD39C8CDD416}" destId="{424829BA-8426-47B1-9E82-9A066DAD5CDA}" srcOrd="0" destOrd="0" presId="urn:microsoft.com/office/officeart/2005/8/layout/hierarchy4"/>
    <dgm:cxn modelId="{705D4F96-123D-402F-AA23-7A303D0844D7}" type="presParOf" srcId="{424829BA-8426-47B1-9E82-9A066DAD5CDA}" destId="{AE0D311E-A7FD-4A54-9A9D-B8C21909D510}" srcOrd="0" destOrd="0" presId="urn:microsoft.com/office/officeart/2005/8/layout/hierarchy4"/>
    <dgm:cxn modelId="{03C0CA28-A705-44AF-8340-E5BFEAE01CD5}" type="presParOf" srcId="{424829BA-8426-47B1-9E82-9A066DAD5CDA}" destId="{802244F7-EB01-463C-B8A1-FB3189ED2ECD}" srcOrd="1" destOrd="0" presId="urn:microsoft.com/office/officeart/2005/8/layout/hierarchy4"/>
    <dgm:cxn modelId="{46A28AC1-D15A-4057-8A9D-EDF9492A9644}" type="presParOf" srcId="{467925C0-6A61-4FE1-96E8-DD39C8CDD416}" destId="{2B87A4B5-323A-4DAE-AF2A-E6BBBFA49FF2}" srcOrd="1" destOrd="0" presId="urn:microsoft.com/office/officeart/2005/8/layout/hierarchy4"/>
    <dgm:cxn modelId="{96A20543-F3FC-42E2-A4D7-7F8A543DB0DB}" type="presParOf" srcId="{467925C0-6A61-4FE1-96E8-DD39C8CDD416}" destId="{6BF7F58C-E5D5-4854-B475-84741234CD15}" srcOrd="2" destOrd="0" presId="urn:microsoft.com/office/officeart/2005/8/layout/hierarchy4"/>
    <dgm:cxn modelId="{B0B452F8-9AFC-4213-BF4C-2BDA268DB698}" type="presParOf" srcId="{6BF7F58C-E5D5-4854-B475-84741234CD15}" destId="{EC616AAC-1874-4413-844B-C2EBB48FF856}" srcOrd="0" destOrd="0" presId="urn:microsoft.com/office/officeart/2005/8/layout/hierarchy4"/>
    <dgm:cxn modelId="{6F46B239-05C1-4F08-8DB7-7E7656D49721}" type="presParOf" srcId="{6BF7F58C-E5D5-4854-B475-84741234CD15}" destId="{E4AD3960-74AB-472F-A5F7-4D934C789464}" srcOrd="1" destOrd="0" presId="urn:microsoft.com/office/officeart/2005/8/layout/hierarchy4"/>
    <dgm:cxn modelId="{5DBCF176-5DD9-47B1-B3B8-5CB8985BE26A}" type="presParOf" srcId="{467925C0-6A61-4FE1-96E8-DD39C8CDD416}" destId="{72AA3A75-0751-4555-BCE4-3E9476B8BB48}" srcOrd="3" destOrd="0" presId="urn:microsoft.com/office/officeart/2005/8/layout/hierarchy4"/>
    <dgm:cxn modelId="{5860F90A-AA8D-46C4-B017-3B3F13093DF2}" type="presParOf" srcId="{467925C0-6A61-4FE1-96E8-DD39C8CDD416}" destId="{4BC11D49-0F3E-4ADE-925E-46BECE444906}" srcOrd="4" destOrd="0" presId="urn:microsoft.com/office/officeart/2005/8/layout/hierarchy4"/>
    <dgm:cxn modelId="{91F8D25E-AC00-4220-9429-443B77BC43E7}" type="presParOf" srcId="{4BC11D49-0F3E-4ADE-925E-46BECE444906}" destId="{4D9F7FBD-F769-4002-BE20-2BA396D868BF}" srcOrd="0" destOrd="0" presId="urn:microsoft.com/office/officeart/2005/8/layout/hierarchy4"/>
    <dgm:cxn modelId="{87F06A01-9190-45C2-976B-4DDDC5AD6E3D}" type="presParOf" srcId="{4BC11D49-0F3E-4ADE-925E-46BECE444906}" destId="{7B0E2D24-7905-4A1F-9D3A-FD4C76C07089}" srcOrd="1" destOrd="0" presId="urn:microsoft.com/office/officeart/2005/8/layout/hierarchy4"/>
    <dgm:cxn modelId="{AAB2AAD2-8A70-4B20-82E8-4EEB63D9AD9F}" type="presParOf" srcId="{467925C0-6A61-4FE1-96E8-DD39C8CDD416}" destId="{B04D5AFB-4AB9-4215-A140-65286A16089A}" srcOrd="5" destOrd="0" presId="urn:microsoft.com/office/officeart/2005/8/layout/hierarchy4"/>
    <dgm:cxn modelId="{3585F356-F2FB-4F9D-B815-0DECCF37BFA9}" type="presParOf" srcId="{467925C0-6A61-4FE1-96E8-DD39C8CDD416}" destId="{6C981850-3572-451C-95B4-94AA4433AA45}" srcOrd="6" destOrd="0" presId="urn:microsoft.com/office/officeart/2005/8/layout/hierarchy4"/>
    <dgm:cxn modelId="{AA05D3B2-8DCF-4138-9F66-0C71CA784AB2}" type="presParOf" srcId="{6C981850-3572-451C-95B4-94AA4433AA45}" destId="{8ECE0BB0-61C7-424F-9F5D-3989A0E3079D}" srcOrd="0" destOrd="0" presId="urn:microsoft.com/office/officeart/2005/8/layout/hierarchy4"/>
    <dgm:cxn modelId="{2CA71F9F-6905-4983-BE58-A83C4A4DAA28}" type="presParOf" srcId="{6C981850-3572-451C-95B4-94AA4433AA45}" destId="{8F7B6344-811C-41D5-9D91-9A39A5551840}" srcOrd="1" destOrd="0" presId="urn:microsoft.com/office/officeart/2005/8/layout/hierarchy4"/>
    <dgm:cxn modelId="{8E72E2F5-661A-447A-98A4-33A4E154B6F1}" type="presParOf" srcId="{467925C0-6A61-4FE1-96E8-DD39C8CDD416}" destId="{64D4FB24-7774-479F-B318-4E6B83C39FB3}" srcOrd="7" destOrd="0" presId="urn:microsoft.com/office/officeart/2005/8/layout/hierarchy4"/>
    <dgm:cxn modelId="{7C3FB9DB-FF40-4B63-9CF3-BDBA2A346965}" type="presParOf" srcId="{467925C0-6A61-4FE1-96E8-DD39C8CDD416}" destId="{54276337-3EB7-445F-9BF2-C100FCCEF9BE}" srcOrd="8" destOrd="0" presId="urn:microsoft.com/office/officeart/2005/8/layout/hierarchy4"/>
    <dgm:cxn modelId="{F0106310-F21D-4330-AE8E-587A6EB8F2B6}" type="presParOf" srcId="{54276337-3EB7-445F-9BF2-C100FCCEF9BE}" destId="{6A8AF2CE-D3A3-4534-A3E4-67F2623D1FA1}" srcOrd="0" destOrd="0" presId="urn:microsoft.com/office/officeart/2005/8/layout/hierarchy4"/>
    <dgm:cxn modelId="{38B6492B-C352-4041-BB6D-C7CAE19940F8}" type="presParOf" srcId="{54276337-3EB7-445F-9BF2-C100FCCEF9BE}" destId="{11C358C4-90B5-46B7-822B-C694EDBA9E73}" srcOrd="1" destOrd="0" presId="urn:microsoft.com/office/officeart/2005/8/layout/hierarchy4"/>
    <dgm:cxn modelId="{3916149B-E2C2-4A9F-AC79-6F122D7F88B9}" type="presParOf" srcId="{467925C0-6A61-4FE1-96E8-DD39C8CDD416}" destId="{573AF816-D165-4311-8F33-FAF45B8EEE9D}" srcOrd="9" destOrd="0" presId="urn:microsoft.com/office/officeart/2005/8/layout/hierarchy4"/>
    <dgm:cxn modelId="{A27EC335-BEAD-4278-AF99-1A9C2DED4900}" type="presParOf" srcId="{467925C0-6A61-4FE1-96E8-DD39C8CDD416}" destId="{E8FE91A3-BCD6-4791-9D56-2F703E7970CB}" srcOrd="10" destOrd="0" presId="urn:microsoft.com/office/officeart/2005/8/layout/hierarchy4"/>
    <dgm:cxn modelId="{A1C2A458-ED5F-45BB-AA3E-C311D8A9B919}" type="presParOf" srcId="{E8FE91A3-BCD6-4791-9D56-2F703E7970CB}" destId="{A4CB1D7C-53C1-4FBE-9510-06B63C9A1B07}" srcOrd="0" destOrd="0" presId="urn:microsoft.com/office/officeart/2005/8/layout/hierarchy4"/>
    <dgm:cxn modelId="{B195AFD2-52CB-4CB5-8061-E8050415AE47}" type="presParOf" srcId="{E8FE91A3-BCD6-4791-9D56-2F703E7970CB}" destId="{250A386E-F348-4DD5-BF86-F3863F09BE9F}" srcOrd="1" destOrd="0" presId="urn:microsoft.com/office/officeart/2005/8/layout/hierarchy4"/>
    <dgm:cxn modelId="{3D850898-0708-4381-A902-0E04C37C3A11}" type="presParOf" srcId="{467925C0-6A61-4FE1-96E8-DD39C8CDD416}" destId="{F56CC5DC-5BBD-4355-81F2-9D43A0C5DD26}" srcOrd="11" destOrd="0" presId="urn:microsoft.com/office/officeart/2005/8/layout/hierarchy4"/>
    <dgm:cxn modelId="{29E5BAE5-7F23-4A4B-94C2-DCBDB9DB8B39}" type="presParOf" srcId="{467925C0-6A61-4FE1-96E8-DD39C8CDD416}" destId="{D9F357F8-DD04-4228-9D8C-0298E4AC4509}" srcOrd="12" destOrd="0" presId="urn:microsoft.com/office/officeart/2005/8/layout/hierarchy4"/>
    <dgm:cxn modelId="{E7C0356C-DA34-4E71-86EA-1344562BE5BF}" type="presParOf" srcId="{D9F357F8-DD04-4228-9D8C-0298E4AC4509}" destId="{72750947-546B-4F83-958C-6776579A2147}" srcOrd="0" destOrd="0" presId="urn:microsoft.com/office/officeart/2005/8/layout/hierarchy4"/>
    <dgm:cxn modelId="{35205C96-5CC5-43EE-AF73-9AB19459064D}" type="presParOf" srcId="{D9F357F8-DD04-4228-9D8C-0298E4AC4509}" destId="{EE722DD2-C866-4BFC-A30F-08D00378880A}"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510E9-1833-459F-9F65-45BC099591B6}">
      <dsp:nvSpPr>
        <dsp:cNvPr id="0" name=""/>
        <dsp:cNvSpPr/>
      </dsp:nvSpPr>
      <dsp:spPr>
        <a:xfrm>
          <a:off x="2873804" y="3914447"/>
          <a:ext cx="1893980" cy="1893980"/>
        </a:xfrm>
        <a:prstGeom prst="ellipse">
          <a:avLst/>
        </a:prstGeom>
        <a:solidFill>
          <a:srgbClr val="0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Economic Participation</a:t>
          </a:r>
        </a:p>
      </dsp:txBody>
      <dsp:txXfrm>
        <a:off x="3151171" y="4191814"/>
        <a:ext cx="1339246" cy="1339246"/>
      </dsp:txXfrm>
    </dsp:sp>
    <dsp:sp modelId="{79E2586F-722A-4DC5-A9D5-C000A4C3857A}">
      <dsp:nvSpPr>
        <dsp:cNvPr id="0" name=""/>
        <dsp:cNvSpPr/>
      </dsp:nvSpPr>
      <dsp:spPr>
        <a:xfrm rot="10800000">
          <a:off x="664974" y="4591545"/>
          <a:ext cx="2087344" cy="539784"/>
        </a:xfrm>
        <a:prstGeom prst="leftArrow">
          <a:avLst>
            <a:gd name="adj1" fmla="val 60000"/>
            <a:gd name="adj2" fmla="val 50000"/>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8CBD242C-328D-4B68-8C18-1DF315178240}">
      <dsp:nvSpPr>
        <dsp:cNvPr id="0" name=""/>
        <dsp:cNvSpPr/>
      </dsp:nvSpPr>
      <dsp:spPr>
        <a:xfrm>
          <a:off x="2081" y="4331123"/>
          <a:ext cx="1325786" cy="1060628"/>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Inclusive Workplaces</a:t>
          </a:r>
        </a:p>
      </dsp:txBody>
      <dsp:txXfrm>
        <a:off x="33146" y="4362188"/>
        <a:ext cx="1263656" cy="998498"/>
      </dsp:txXfrm>
    </dsp:sp>
    <dsp:sp modelId="{5F21D173-A659-4BD2-8EB6-20459A40E296}">
      <dsp:nvSpPr>
        <dsp:cNvPr id="0" name=""/>
        <dsp:cNvSpPr/>
      </dsp:nvSpPr>
      <dsp:spPr>
        <a:xfrm rot="12600000">
          <a:off x="947948" y="3535471"/>
          <a:ext cx="2087344" cy="539784"/>
        </a:xfrm>
        <a:prstGeom prst="leftArrow">
          <a:avLst>
            <a:gd name="adj1" fmla="val 60000"/>
            <a:gd name="adj2" fmla="val 50000"/>
          </a:avLst>
        </a:prstGeom>
        <a:solidFill>
          <a:srgbClr val="CC4E00"/>
        </a:solidFill>
        <a:ln>
          <a:noFill/>
        </a:ln>
        <a:effectLst/>
      </dsp:spPr>
      <dsp:style>
        <a:lnRef idx="0">
          <a:scrgbClr r="0" g="0" b="0"/>
        </a:lnRef>
        <a:fillRef idx="1">
          <a:scrgbClr r="0" g="0" b="0"/>
        </a:fillRef>
        <a:effectRef idx="0">
          <a:scrgbClr r="0" g="0" b="0"/>
        </a:effectRef>
        <a:fontRef idx="minor">
          <a:schemeClr val="lt1"/>
        </a:fontRef>
      </dsp:style>
    </dsp:sp>
    <dsp:sp modelId="{2D9736F3-8E22-4FBA-9C03-BEC7F4185EDA}">
      <dsp:nvSpPr>
        <dsp:cNvPr id="0" name=""/>
        <dsp:cNvSpPr/>
      </dsp:nvSpPr>
      <dsp:spPr>
        <a:xfrm>
          <a:off x="424881" y="2753212"/>
          <a:ext cx="1325786" cy="1060628"/>
        </a:xfrm>
        <a:prstGeom prst="roundRect">
          <a:avLst>
            <a:gd name="adj" fmla="val 10000"/>
          </a:avLst>
        </a:prstGeom>
        <a:solidFill>
          <a:srgbClr val="CC4E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Recruitment</a:t>
          </a:r>
        </a:p>
      </dsp:txBody>
      <dsp:txXfrm>
        <a:off x="455946" y="2784277"/>
        <a:ext cx="1263656" cy="998498"/>
      </dsp:txXfrm>
    </dsp:sp>
    <dsp:sp modelId="{BBAE0B17-552D-4220-A772-985FB4B19811}">
      <dsp:nvSpPr>
        <dsp:cNvPr id="0" name=""/>
        <dsp:cNvSpPr/>
      </dsp:nvSpPr>
      <dsp:spPr>
        <a:xfrm rot="14400000">
          <a:off x="1721048" y="2762371"/>
          <a:ext cx="2087344" cy="539784"/>
        </a:xfrm>
        <a:prstGeom prst="leftArrow">
          <a:avLst>
            <a:gd name="adj1" fmla="val 60000"/>
            <a:gd name="adj2" fmla="val 50000"/>
          </a:avLst>
        </a:prstGeom>
        <a:solidFill>
          <a:schemeClr val="accent4">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CB4D3FBA-1BA6-4565-A4DF-2F8C283B82DF}">
      <dsp:nvSpPr>
        <dsp:cNvPr id="0" name=""/>
        <dsp:cNvSpPr/>
      </dsp:nvSpPr>
      <dsp:spPr>
        <a:xfrm>
          <a:off x="1579991" y="1598102"/>
          <a:ext cx="1325786" cy="1060628"/>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Retention</a:t>
          </a:r>
        </a:p>
      </dsp:txBody>
      <dsp:txXfrm>
        <a:off x="1611056" y="1629167"/>
        <a:ext cx="1263656" cy="998498"/>
      </dsp:txXfrm>
    </dsp:sp>
    <dsp:sp modelId="{A25358AE-BFA7-4C8A-96A3-601F8CF67404}">
      <dsp:nvSpPr>
        <dsp:cNvPr id="0" name=""/>
        <dsp:cNvSpPr/>
      </dsp:nvSpPr>
      <dsp:spPr>
        <a:xfrm rot="16200000">
          <a:off x="2777122" y="2479397"/>
          <a:ext cx="2087344" cy="539784"/>
        </a:xfrm>
        <a:prstGeom prst="lef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5633E3C0-875A-4858-9D83-C25482F85C6F}">
      <dsp:nvSpPr>
        <dsp:cNvPr id="0" name=""/>
        <dsp:cNvSpPr/>
      </dsp:nvSpPr>
      <dsp:spPr>
        <a:xfrm>
          <a:off x="3157901" y="1175302"/>
          <a:ext cx="1325786" cy="106062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Build Capability</a:t>
          </a:r>
        </a:p>
      </dsp:txBody>
      <dsp:txXfrm>
        <a:off x="3188966" y="1206367"/>
        <a:ext cx="1263656" cy="998498"/>
      </dsp:txXfrm>
    </dsp:sp>
    <dsp:sp modelId="{333C8E44-554F-4D54-8966-E6B75087814F}">
      <dsp:nvSpPr>
        <dsp:cNvPr id="0" name=""/>
        <dsp:cNvSpPr/>
      </dsp:nvSpPr>
      <dsp:spPr>
        <a:xfrm rot="18000000">
          <a:off x="3833196" y="2762371"/>
          <a:ext cx="2087344" cy="539784"/>
        </a:xfrm>
        <a:prstGeom prst="leftArrow">
          <a:avLst>
            <a:gd name="adj1" fmla="val 60000"/>
            <a:gd name="adj2" fmla="val 50000"/>
          </a:avLst>
        </a:prstGeom>
        <a:solidFill>
          <a:srgbClr val="008575"/>
        </a:solidFill>
        <a:ln>
          <a:noFill/>
        </a:ln>
        <a:effectLst/>
      </dsp:spPr>
      <dsp:style>
        <a:lnRef idx="0">
          <a:scrgbClr r="0" g="0" b="0"/>
        </a:lnRef>
        <a:fillRef idx="1">
          <a:scrgbClr r="0" g="0" b="0"/>
        </a:fillRef>
        <a:effectRef idx="0">
          <a:scrgbClr r="0" g="0" b="0"/>
        </a:effectRef>
        <a:fontRef idx="minor">
          <a:schemeClr val="lt1"/>
        </a:fontRef>
      </dsp:style>
    </dsp:sp>
    <dsp:sp modelId="{E68D3843-7E57-49A9-99B1-C6983AA558FC}">
      <dsp:nvSpPr>
        <dsp:cNvPr id="0" name=""/>
        <dsp:cNvSpPr/>
      </dsp:nvSpPr>
      <dsp:spPr>
        <a:xfrm>
          <a:off x="4735812" y="1598102"/>
          <a:ext cx="1325786" cy="1060628"/>
        </a:xfrm>
        <a:prstGeom prst="roundRect">
          <a:avLst>
            <a:gd name="adj" fmla="val 10000"/>
          </a:avLst>
        </a:prstGeom>
        <a:solidFill>
          <a:srgbClr val="0085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Leadership </a:t>
          </a:r>
        </a:p>
      </dsp:txBody>
      <dsp:txXfrm>
        <a:off x="4766877" y="1629167"/>
        <a:ext cx="1263656" cy="998498"/>
      </dsp:txXfrm>
    </dsp:sp>
    <dsp:sp modelId="{7BE6A171-EF2B-40D7-825A-5E61C08C81FC}">
      <dsp:nvSpPr>
        <dsp:cNvPr id="0" name=""/>
        <dsp:cNvSpPr/>
      </dsp:nvSpPr>
      <dsp:spPr>
        <a:xfrm rot="19800000">
          <a:off x="4606296" y="3535471"/>
          <a:ext cx="2087344" cy="539784"/>
        </a:xfrm>
        <a:prstGeom prst="leftArrow">
          <a:avLst>
            <a:gd name="adj1" fmla="val 60000"/>
            <a:gd name="adj2" fmla="val 50000"/>
          </a:avLst>
        </a:prstGeom>
        <a:solidFill>
          <a:srgbClr val="378639"/>
        </a:solidFill>
        <a:ln>
          <a:noFill/>
        </a:ln>
        <a:effectLst/>
      </dsp:spPr>
      <dsp:style>
        <a:lnRef idx="0">
          <a:scrgbClr r="0" g="0" b="0"/>
        </a:lnRef>
        <a:fillRef idx="1">
          <a:scrgbClr r="0" g="0" b="0"/>
        </a:fillRef>
        <a:effectRef idx="0">
          <a:scrgbClr r="0" g="0" b="0"/>
        </a:effectRef>
        <a:fontRef idx="minor">
          <a:schemeClr val="lt1"/>
        </a:fontRef>
      </dsp:style>
    </dsp:sp>
    <dsp:sp modelId="{68928CBF-B0DE-47D7-855A-2830915B4443}">
      <dsp:nvSpPr>
        <dsp:cNvPr id="0" name=""/>
        <dsp:cNvSpPr/>
      </dsp:nvSpPr>
      <dsp:spPr>
        <a:xfrm>
          <a:off x="5890922" y="2753212"/>
          <a:ext cx="1325786" cy="1060628"/>
        </a:xfrm>
        <a:prstGeom prst="roundRect">
          <a:avLst>
            <a:gd name="adj" fmla="val 10000"/>
          </a:avLst>
        </a:prstGeom>
        <a:solidFill>
          <a:srgbClr val="3786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Collaboration</a:t>
          </a:r>
        </a:p>
      </dsp:txBody>
      <dsp:txXfrm>
        <a:off x="5921987" y="2784277"/>
        <a:ext cx="1263656" cy="998498"/>
      </dsp:txXfrm>
    </dsp:sp>
    <dsp:sp modelId="{DDCAC2CA-C59F-4C52-9250-5F02CA4CCD53}">
      <dsp:nvSpPr>
        <dsp:cNvPr id="0" name=""/>
        <dsp:cNvSpPr/>
      </dsp:nvSpPr>
      <dsp:spPr>
        <a:xfrm>
          <a:off x="4889270" y="4591545"/>
          <a:ext cx="2087344" cy="539784"/>
        </a:xfrm>
        <a:prstGeom prst="leftArrow">
          <a:avLst>
            <a:gd name="adj1" fmla="val 60000"/>
            <a:gd name="adj2" fmla="val 50000"/>
          </a:avLst>
        </a:prstGeom>
        <a:solidFill>
          <a:schemeClr val="bg2">
            <a:lumMod val="25000"/>
          </a:schemeClr>
        </a:solidFill>
        <a:ln w="25400">
          <a:noFill/>
        </a:ln>
        <a:effectLst/>
      </dsp:spPr>
      <dsp:style>
        <a:lnRef idx="0">
          <a:scrgbClr r="0" g="0" b="0"/>
        </a:lnRef>
        <a:fillRef idx="1">
          <a:scrgbClr r="0" g="0" b="0"/>
        </a:fillRef>
        <a:effectRef idx="0">
          <a:scrgbClr r="0" g="0" b="0"/>
        </a:effectRef>
        <a:fontRef idx="minor">
          <a:schemeClr val="lt1"/>
        </a:fontRef>
      </dsp:style>
    </dsp:sp>
    <dsp:sp modelId="{A59713B2-5667-4A40-B3E3-D806E853786C}">
      <dsp:nvSpPr>
        <dsp:cNvPr id="0" name=""/>
        <dsp:cNvSpPr/>
      </dsp:nvSpPr>
      <dsp:spPr>
        <a:xfrm>
          <a:off x="6313722" y="4331123"/>
          <a:ext cx="1325786" cy="1060628"/>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AU" sz="1700" kern="1200"/>
            <a:t>Recognise and Celebrate</a:t>
          </a:r>
        </a:p>
      </dsp:txBody>
      <dsp:txXfrm>
        <a:off x="6344787" y="4362188"/>
        <a:ext cx="1263656" cy="998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48773-3007-4CBF-9582-E8F9225048ED}">
      <dsp:nvSpPr>
        <dsp:cNvPr id="0" name=""/>
        <dsp:cNvSpPr/>
      </dsp:nvSpPr>
      <dsp:spPr>
        <a:xfrm>
          <a:off x="9176" y="2662"/>
          <a:ext cx="11876466" cy="1744970"/>
        </a:xfrm>
        <a:prstGeom prst="roundRect">
          <a:avLst>
            <a:gd name="adj" fmla="val 10000"/>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t>Directorate-specific targets are determined annually by the Head of Service and are incorporated into Directors-General Performance Agreements|Directors-General report on progress at Legislative Assembly Hearings|Workforce data is reported in the annual State of the Service Report| Directorates receive quarterly reporting updates to provide a snapshot of progress against targets</a:t>
          </a:r>
        </a:p>
      </dsp:txBody>
      <dsp:txXfrm>
        <a:off x="60284" y="53770"/>
        <a:ext cx="11774250" cy="1642754"/>
      </dsp:txXfrm>
    </dsp:sp>
    <dsp:sp modelId="{AE0D311E-A7FD-4A54-9A9D-B8C21909D510}">
      <dsp:nvSpPr>
        <dsp:cNvPr id="0" name=""/>
        <dsp:cNvSpPr/>
      </dsp:nvSpPr>
      <dsp:spPr>
        <a:xfrm>
          <a:off x="9176" y="2262176"/>
          <a:ext cx="1582684" cy="7688786"/>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Inclusive Workplaces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Promote staff involvement in the whole-of-government Murranga Murranga Network* and develop directorate-specific Aborginal and Torres Strait Islander Staff Networks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Continue living the principles of Respect, Equity and Diversity (RED) to create positive and inclusive work environments where diversity is celebrated</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Continue a 'zero tolerance' approach to bullying, harassment and discrimination and maintain comprehensive policies and resources to support the effective, efficient resolution of workplace issues as they arise</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Collect workforce data, analyse risk points and monitor for continuous improvement **</a:t>
          </a:r>
        </a:p>
      </dsp:txBody>
      <dsp:txXfrm>
        <a:off x="55531" y="2308531"/>
        <a:ext cx="1489974" cy="7596076"/>
      </dsp:txXfrm>
    </dsp:sp>
    <dsp:sp modelId="{EC616AAC-1874-4413-844B-C2EBB48FF856}">
      <dsp:nvSpPr>
        <dsp:cNvPr id="0" name=""/>
        <dsp:cNvSpPr/>
      </dsp:nvSpPr>
      <dsp:spPr>
        <a:xfrm>
          <a:off x="1724806" y="2262176"/>
          <a:ext cx="1582684" cy="7688786"/>
        </a:xfrm>
        <a:prstGeom prst="roundRect">
          <a:avLst>
            <a:gd name="adj" fmla="val 10000"/>
          </a:avLst>
        </a:prstGeom>
        <a:solidFill>
          <a:srgbClr val="CC4E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Recruitment</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Bring innovation to employment pathways and promote awareness of career paths into the ACTPS (e.g. Australian School Based Apprenticeships, work experience for students, apprenticeships, general entry), including establishing links with tertiary institutions*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Directorate participation in whole-of-government Inclusion and Aboriginal and Torres Strait Islander employment programs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Use designated positions as provided for in the  ACTPS employment framework</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Engage with external Aboriginal and Torres Strait Islander recruitment organisations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dsp:txBody>
      <dsp:txXfrm>
        <a:off x="1771161" y="2308531"/>
        <a:ext cx="1489974" cy="7596076"/>
      </dsp:txXfrm>
    </dsp:sp>
    <dsp:sp modelId="{4D9F7FBD-F769-4002-BE20-2BA396D868BF}">
      <dsp:nvSpPr>
        <dsp:cNvPr id="0" name=""/>
        <dsp:cNvSpPr/>
      </dsp:nvSpPr>
      <dsp:spPr>
        <a:xfrm>
          <a:off x="3463718" y="2264838"/>
          <a:ext cx="1582684" cy="7688786"/>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Retention</a:t>
          </a:r>
        </a:p>
        <a:p>
          <a:pPr marL="0" lvl="0" indent="0" algn="ctr" defTabSz="488950">
            <a:lnSpc>
              <a:spcPct val="90000"/>
            </a:lnSpc>
            <a:spcBef>
              <a:spcPct val="0"/>
            </a:spcBef>
            <a:spcAft>
              <a:spcPct val="35000"/>
            </a:spcAft>
            <a:buNone/>
          </a:pPr>
          <a:endParaRPr lang="en-AU" sz="1100" b="1" kern="1200"/>
        </a:p>
        <a:p>
          <a:pPr marL="0" lvl="0" indent="0" algn="ctr" defTabSz="488950">
            <a:lnSpc>
              <a:spcPct val="90000"/>
            </a:lnSpc>
            <a:spcBef>
              <a:spcPct val="0"/>
            </a:spcBef>
            <a:spcAft>
              <a:spcPct val="35000"/>
            </a:spcAft>
            <a:buNone/>
          </a:pPr>
          <a:r>
            <a:rPr lang="en-AU" sz="1000" kern="1200"/>
            <a:t>Seek the input of Aboriginal and Torres Strait Islander staff in respective ACTPS policies, procedures and initiatives*</a:t>
          </a:r>
        </a:p>
        <a:p>
          <a:pPr marL="0" lvl="0" indent="0" algn="ctr" defTabSz="488950">
            <a:lnSpc>
              <a:spcPct val="90000"/>
            </a:lnSpc>
            <a:spcBef>
              <a:spcPct val="0"/>
            </a:spcBef>
            <a:spcAft>
              <a:spcPct val="35000"/>
            </a:spcAft>
            <a:buNone/>
          </a:pPr>
          <a:endParaRPr lang="en-AU" sz="1000" kern="1200"/>
        </a:p>
        <a:p>
          <a:pPr marL="0" lvl="0" indent="0" algn="ctr" defTabSz="488950">
            <a:lnSpc>
              <a:spcPct val="90000"/>
            </a:lnSpc>
            <a:spcBef>
              <a:spcPct val="0"/>
            </a:spcBef>
            <a:spcAft>
              <a:spcPct val="35000"/>
            </a:spcAft>
            <a:buNone/>
          </a:pPr>
          <a:r>
            <a:rPr lang="en-AU" sz="1000" kern="1200"/>
            <a:t>Develop an ACTPS Commitment to Aboriginal and Torres Strait Islander Employment* and directorate-specific Reconciliation Action Plans/workforce strategies</a:t>
          </a:r>
        </a:p>
        <a:p>
          <a:pPr marL="0" lvl="0" indent="0" algn="ctr" defTabSz="488950">
            <a:lnSpc>
              <a:spcPct val="90000"/>
            </a:lnSpc>
            <a:spcBef>
              <a:spcPct val="0"/>
            </a:spcBef>
            <a:spcAft>
              <a:spcPct val="35000"/>
            </a:spcAft>
            <a:buNone/>
          </a:pPr>
          <a:endParaRPr lang="en-AU" sz="1000" kern="1200"/>
        </a:p>
        <a:p>
          <a:pPr marL="0" lvl="0" indent="0" algn="ctr" defTabSz="488950">
            <a:lnSpc>
              <a:spcPct val="90000"/>
            </a:lnSpc>
            <a:spcBef>
              <a:spcPct val="0"/>
            </a:spcBef>
            <a:spcAft>
              <a:spcPct val="35000"/>
            </a:spcAft>
            <a:buNone/>
          </a:pPr>
          <a:r>
            <a:rPr lang="en-AU" sz="1000" kern="1200"/>
            <a:t>Use the Performance Framework to identify opportunities for career development and progression</a:t>
          </a:r>
        </a:p>
        <a:p>
          <a:pPr marL="0" lvl="0" indent="0" algn="ctr" defTabSz="488950">
            <a:lnSpc>
              <a:spcPct val="90000"/>
            </a:lnSpc>
            <a:spcBef>
              <a:spcPct val="0"/>
            </a:spcBef>
            <a:spcAft>
              <a:spcPct val="35000"/>
            </a:spcAft>
            <a:buNone/>
          </a:pPr>
          <a:endParaRPr lang="en-AU" sz="1000" kern="1200"/>
        </a:p>
        <a:p>
          <a:pPr marL="0" lvl="0" indent="0" algn="ctr" defTabSz="488950">
            <a:lnSpc>
              <a:spcPct val="90000"/>
            </a:lnSpc>
            <a:spcBef>
              <a:spcPct val="0"/>
            </a:spcBef>
            <a:spcAft>
              <a:spcPct val="35000"/>
            </a:spcAft>
            <a:buNone/>
          </a:pPr>
          <a:r>
            <a:rPr lang="en-AU" sz="1000" kern="1200"/>
            <a:t>Pilot and evaluate internal/external mentoring opportunities for Aboriginal and Torres Striat Islander staff</a:t>
          </a:r>
        </a:p>
        <a:p>
          <a:pPr marL="0" lvl="0" indent="0" algn="ctr" defTabSz="488950">
            <a:lnSpc>
              <a:spcPct val="90000"/>
            </a:lnSpc>
            <a:spcBef>
              <a:spcPct val="0"/>
            </a:spcBef>
            <a:spcAft>
              <a:spcPct val="35000"/>
            </a:spcAft>
            <a:buNone/>
          </a:pPr>
          <a:endParaRPr lang="en-AU" sz="1000" kern="1200"/>
        </a:p>
        <a:p>
          <a:pPr marL="0" lvl="0" indent="0" algn="ctr" defTabSz="488950">
            <a:lnSpc>
              <a:spcPct val="90000"/>
            </a:lnSpc>
            <a:spcBef>
              <a:spcPct val="0"/>
            </a:spcBef>
            <a:spcAft>
              <a:spcPct val="35000"/>
            </a:spcAft>
            <a:buNone/>
          </a:pPr>
          <a:r>
            <a:rPr lang="en-AU" sz="1000" kern="1200"/>
            <a:t>Bring innovation to job design, including part-time and job-share arrangements and activity-based work </a:t>
          </a:r>
          <a:r>
            <a:rPr lang="en-AU" sz="1000" b="1" kern="1200"/>
            <a:t> </a:t>
          </a:r>
        </a:p>
        <a:p>
          <a:pPr marL="0" lvl="0" indent="0" algn="ctr" defTabSz="488950">
            <a:lnSpc>
              <a:spcPct val="90000"/>
            </a:lnSpc>
            <a:spcBef>
              <a:spcPct val="0"/>
            </a:spcBef>
            <a:spcAft>
              <a:spcPct val="35000"/>
            </a:spcAft>
            <a:buNone/>
          </a:pPr>
          <a:endParaRPr lang="en-AU" sz="1000" b="1" kern="1200"/>
        </a:p>
        <a:p>
          <a:pPr marL="0" lvl="0" indent="0" algn="ctr" defTabSz="488950">
            <a:lnSpc>
              <a:spcPct val="90000"/>
            </a:lnSpc>
            <a:spcBef>
              <a:spcPct val="0"/>
            </a:spcBef>
            <a:spcAft>
              <a:spcPct val="35000"/>
            </a:spcAft>
            <a:buNone/>
          </a:pPr>
          <a:r>
            <a:rPr lang="en-AU" sz="1000" b="0" kern="1200"/>
            <a:t>Implement the Aboriginal and Torres Strait Islander Career Progression and Retention Program*</a:t>
          </a:r>
        </a:p>
      </dsp:txBody>
      <dsp:txXfrm>
        <a:off x="3510073" y="2311193"/>
        <a:ext cx="1489974" cy="7596076"/>
      </dsp:txXfrm>
    </dsp:sp>
    <dsp:sp modelId="{8ECE0BB0-61C7-424F-9F5D-3989A0E3079D}">
      <dsp:nvSpPr>
        <dsp:cNvPr id="0" name=""/>
        <dsp:cNvSpPr/>
      </dsp:nvSpPr>
      <dsp:spPr>
        <a:xfrm>
          <a:off x="5156067" y="2262176"/>
          <a:ext cx="1582684" cy="7688786"/>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Build Capability</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Establish an Inclusion Practitioners Group for managers, HR and/or diversity officers to share experiences and learning*</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Continue embedding Aboriginal and Torrest Strait Islander cultural awareness training across all directorates, including providing training for managers/supervisors and selection panels as required</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Encourage staff participation in Inclusion and Aboriginal and Torres Strait Islander Staff Networks</a:t>
          </a:r>
        </a:p>
      </dsp:txBody>
      <dsp:txXfrm>
        <a:off x="5202422" y="2308531"/>
        <a:ext cx="1489974" cy="7596076"/>
      </dsp:txXfrm>
    </dsp:sp>
    <dsp:sp modelId="{6A8AF2CE-D3A3-4534-A3E4-67F2623D1FA1}">
      <dsp:nvSpPr>
        <dsp:cNvPr id="0" name=""/>
        <dsp:cNvSpPr/>
      </dsp:nvSpPr>
      <dsp:spPr>
        <a:xfrm>
          <a:off x="6871697" y="2262176"/>
          <a:ext cx="1582684" cy="7688786"/>
        </a:xfrm>
        <a:prstGeom prst="roundRect">
          <a:avLst>
            <a:gd name="adj" fmla="val 10000"/>
          </a:avLst>
        </a:prstGeom>
        <a:solidFill>
          <a:srgbClr val="0085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Leadership</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Develop Aboriginal and Torres Strait Islander staff for leadership roles</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Recruit Senior Executives who identify as Aboriginal or Torres Strait Islander and sustain/improve current levels of representation</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Ensure that executives act as champions of diverse and inclusive workplaces and model the values of Respect, Equity and Diversity as per the RED Framework</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Ensure that executives display an ongoing commitment to cultural integrity awareness and learning</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dsp:txBody>
      <dsp:txXfrm>
        <a:off x="6918052" y="2308531"/>
        <a:ext cx="1489974" cy="7596076"/>
      </dsp:txXfrm>
    </dsp:sp>
    <dsp:sp modelId="{A4CB1D7C-53C1-4FBE-9510-06B63C9A1B07}">
      <dsp:nvSpPr>
        <dsp:cNvPr id="0" name=""/>
        <dsp:cNvSpPr/>
      </dsp:nvSpPr>
      <dsp:spPr>
        <a:xfrm>
          <a:off x="8587328" y="2262176"/>
          <a:ext cx="1582684" cy="7688786"/>
        </a:xfrm>
        <a:prstGeom prst="roundRect">
          <a:avLst>
            <a:gd name="adj" fmla="val 10000"/>
          </a:avLst>
        </a:prstGeom>
        <a:solidFill>
          <a:srgbClr val="3786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Collaboration</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Engage and consult with staff and  community stakeholders</a:t>
          </a:r>
        </a:p>
        <a:p>
          <a:pPr marL="0" lvl="0" indent="0" algn="ctr" defTabSz="488950">
            <a:lnSpc>
              <a:spcPct val="90000"/>
            </a:lnSpc>
            <a:spcBef>
              <a:spcPct val="0"/>
            </a:spcBef>
            <a:spcAft>
              <a:spcPct val="35000"/>
            </a:spcAft>
            <a:buNone/>
          </a:pPr>
          <a:r>
            <a:rPr lang="en-AU" sz="1100" kern="1200"/>
            <a:t> (e.g. ACT Aboriginal and Torres Strait Islander Elected Body)</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Utilise staff surveys, exit surveys, Inclusion Networks and Practitioner Groups as avenues to obtain feedback and input from Aboriginal and Torres Strait Islander staff towards continuous improvement</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endParaRPr lang="en-AU" sz="1100" kern="1200"/>
        </a:p>
      </dsp:txBody>
      <dsp:txXfrm>
        <a:off x="8633683" y="2308531"/>
        <a:ext cx="1489974" cy="7596076"/>
      </dsp:txXfrm>
    </dsp:sp>
    <dsp:sp modelId="{72750947-546B-4F83-958C-6776579A2147}">
      <dsp:nvSpPr>
        <dsp:cNvPr id="0" name=""/>
        <dsp:cNvSpPr/>
      </dsp:nvSpPr>
      <dsp:spPr>
        <a:xfrm>
          <a:off x="10302958" y="2262176"/>
          <a:ext cx="1582684" cy="7688786"/>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AU" sz="1100" b="1" kern="1200"/>
            <a:t>Recognise &amp; Celebrate</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Bring innovation when celebrating and recognising days/events of cultural significance (e.g. NAIDOC week)</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Promote and celebrate a diverse workforce</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Promote employment conditions that support flexible work and a healthy work-life balance</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Increase awareness of the cultural leave provisions for Aboriginal and Torres Strait Islander staff included in ACTPS Enterprise Agreements </a:t>
          </a:r>
        </a:p>
        <a:p>
          <a:pPr marL="0" lvl="0" indent="0" algn="ctr" defTabSz="488950">
            <a:lnSpc>
              <a:spcPct val="90000"/>
            </a:lnSpc>
            <a:spcBef>
              <a:spcPct val="0"/>
            </a:spcBef>
            <a:spcAft>
              <a:spcPct val="35000"/>
            </a:spcAft>
            <a:buNone/>
          </a:pPr>
          <a:endParaRPr lang="en-AU" sz="1100" kern="1200"/>
        </a:p>
        <a:p>
          <a:pPr marL="0" lvl="0" indent="0" algn="ctr" defTabSz="488950">
            <a:lnSpc>
              <a:spcPct val="90000"/>
            </a:lnSpc>
            <a:spcBef>
              <a:spcPct val="0"/>
            </a:spcBef>
            <a:spcAft>
              <a:spcPct val="35000"/>
            </a:spcAft>
            <a:buNone/>
          </a:pPr>
          <a:r>
            <a:rPr lang="en-AU" sz="1100" kern="1200"/>
            <a:t>Recognise and respect the individual culture and origins of Aboriginal and Torres Strait Islander staff</a:t>
          </a:r>
        </a:p>
        <a:p>
          <a:pPr marL="0" lvl="0" indent="0" algn="ctr" defTabSz="488950">
            <a:lnSpc>
              <a:spcPct val="90000"/>
            </a:lnSpc>
            <a:spcBef>
              <a:spcPct val="0"/>
            </a:spcBef>
            <a:spcAft>
              <a:spcPct val="35000"/>
            </a:spcAft>
            <a:buNone/>
          </a:pPr>
          <a:endParaRPr lang="en-AU" sz="1100" kern="1200"/>
        </a:p>
      </dsp:txBody>
      <dsp:txXfrm>
        <a:off x="10349313" y="2308531"/>
        <a:ext cx="1489974" cy="75960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1F0DD-386F-4C0A-B80E-8298DBA771D4}">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5F8AE77-2D4D-4427-9169-E8148B6FB18D}">
  <ds:schemaRefs>
    <ds:schemaRef ds:uri="http://schemas.microsoft.com/sharepoint/v3/contenttype/forms"/>
  </ds:schemaRefs>
</ds:datastoreItem>
</file>

<file path=customXml/itemProps3.xml><?xml version="1.0" encoding="utf-8"?>
<ds:datastoreItem xmlns:ds="http://schemas.openxmlformats.org/officeDocument/2006/customXml" ds:itemID="{3B63A30D-E511-4AD4-9DF3-938593CEC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AA95965-54E0-4613-8D7D-403F7434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Aborigional and Torres Strait Islander employment framework</vt:lpstr>
    </vt:vector>
  </TitlesOfParts>
  <Company>ACT Government</Company>
  <LinksUpToDate>false</LinksUpToDate>
  <CharactersWithSpaces>1867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Aborigional and Torres Strait Islander employment framework</dc:title>
  <dc:creator>Jessica Sinclair</dc:creator>
  <dc:description>Revised by Daniel Savage WCAG, CMTEDD</dc:description>
  <cp:lastModifiedBy>Collins, Jacob</cp:lastModifiedBy>
  <cp:revision>4</cp:revision>
  <cp:lastPrinted>2020-03-15T23:00:00Z</cp:lastPrinted>
  <dcterms:created xsi:type="dcterms:W3CDTF">2020-03-13T04:42:00Z</dcterms:created>
  <dcterms:modified xsi:type="dcterms:W3CDTF">2020-03-15T23:00:00Z</dcterms:modified>
</cp:coreProperties>
</file>