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0265B" w14:textId="77777777" w:rsidR="009041C7" w:rsidRPr="007029CB" w:rsidRDefault="009041C7" w:rsidP="00F65981">
      <w:pPr>
        <w:rPr>
          <w:rFonts w:asciiTheme="minorHAnsi" w:hAnsiTheme="minorHAnsi"/>
          <w:b/>
          <w:bCs/>
        </w:rPr>
      </w:pPr>
      <w:r w:rsidRPr="007029CB">
        <w:rPr>
          <w:rFonts w:asciiTheme="minorHAnsi" w:hAnsiTheme="minorHAnsi"/>
          <w:b/>
          <w:bCs/>
        </w:rPr>
        <w:t>Directorate:</w:t>
      </w:r>
      <w:r w:rsidRPr="007029CB">
        <w:rPr>
          <w:rFonts w:asciiTheme="minorHAnsi" w:hAnsiTheme="minorHAnsi"/>
          <w:b/>
          <w:bCs/>
        </w:rPr>
        <w:tab/>
        <w:t xml:space="preserve">Justice and Community Safety </w:t>
      </w:r>
    </w:p>
    <w:p w14:paraId="1FFC2FC7" w14:textId="556EEC1F" w:rsidR="009041C7" w:rsidRPr="007029CB" w:rsidRDefault="009041C7" w:rsidP="00F65981">
      <w:pPr>
        <w:rPr>
          <w:rFonts w:asciiTheme="minorHAnsi" w:hAnsiTheme="minorHAnsi"/>
          <w:b/>
          <w:bCs/>
        </w:rPr>
      </w:pPr>
      <w:r w:rsidRPr="007029CB">
        <w:rPr>
          <w:rFonts w:asciiTheme="minorHAnsi" w:hAnsiTheme="minorHAnsi"/>
          <w:b/>
          <w:bCs/>
        </w:rPr>
        <w:t>18/007</w:t>
      </w:r>
      <w:r w:rsidR="00BC4A9E" w:rsidRPr="007029CB">
        <w:rPr>
          <w:rFonts w:asciiTheme="minorHAnsi" w:hAnsiTheme="minorHAnsi"/>
          <w:b/>
          <w:bCs/>
        </w:rPr>
        <w:t xml:space="preserve"> -</w:t>
      </w:r>
      <w:r w:rsidRPr="007029CB">
        <w:rPr>
          <w:rFonts w:asciiTheme="minorHAnsi" w:hAnsiTheme="minorHAnsi"/>
          <w:b/>
          <w:bCs/>
        </w:rPr>
        <w:t xml:space="preserve"> Firearms </w:t>
      </w:r>
      <w:r w:rsidR="00A71DF3" w:rsidRPr="007029CB">
        <w:rPr>
          <w:rFonts w:asciiTheme="minorHAnsi" w:hAnsiTheme="minorHAnsi"/>
          <w:b/>
          <w:bCs/>
        </w:rPr>
        <w:t>Prohibition</w:t>
      </w:r>
      <w:r w:rsidRPr="007029CB">
        <w:rPr>
          <w:rFonts w:asciiTheme="minorHAnsi" w:hAnsiTheme="minorHAnsi"/>
          <w:b/>
          <w:bCs/>
        </w:rPr>
        <w:t xml:space="preserve"> Orders</w:t>
      </w:r>
      <w:r w:rsidR="000A4EED" w:rsidRPr="007029CB">
        <w:rPr>
          <w:rFonts w:asciiTheme="minorHAnsi" w:hAnsiTheme="minorHAnsi"/>
          <w:b/>
          <w:bCs/>
        </w:rPr>
        <w:t xml:space="preserve"> Legislation – agreement to Introduce</w:t>
      </w:r>
      <w:r w:rsidRPr="007029CB">
        <w:rPr>
          <w:rFonts w:asciiTheme="minorHAnsi" w:hAnsiTheme="minorHAnsi"/>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8C071B" w:rsidRPr="00A144C6" w14:paraId="263F6D0B" w14:textId="77777777" w:rsidTr="00F65981">
        <w:trPr>
          <w:jc w:val="center"/>
        </w:trPr>
        <w:tc>
          <w:tcPr>
            <w:tcW w:w="9105" w:type="dxa"/>
          </w:tcPr>
          <w:p w14:paraId="28C19A0B" w14:textId="77777777" w:rsidR="009041C7" w:rsidRPr="007029CB" w:rsidRDefault="009041C7" w:rsidP="00F65981">
            <w:pPr>
              <w:rPr>
                <w:rFonts w:asciiTheme="minorHAnsi" w:hAnsiTheme="minorHAnsi"/>
                <w:b/>
                <w:bCs/>
              </w:rPr>
            </w:pPr>
            <w:r w:rsidRPr="007029CB">
              <w:rPr>
                <w:rFonts w:asciiTheme="minorHAnsi" w:hAnsiTheme="minorHAnsi"/>
                <w:b/>
                <w:bCs/>
              </w:rPr>
              <w:t>Summary of Impacts</w:t>
            </w:r>
          </w:p>
        </w:tc>
      </w:tr>
      <w:tr w:rsidR="008C071B" w:rsidRPr="00A144C6" w14:paraId="3FBF72E5" w14:textId="77777777" w:rsidTr="00F65981">
        <w:trPr>
          <w:jc w:val="center"/>
        </w:trPr>
        <w:tc>
          <w:tcPr>
            <w:tcW w:w="9105" w:type="dxa"/>
          </w:tcPr>
          <w:p w14:paraId="6A46F8B0" w14:textId="77777777" w:rsidR="009041C7" w:rsidRPr="007029CB" w:rsidRDefault="009041C7" w:rsidP="0049492D">
            <w:pPr>
              <w:autoSpaceDE w:val="0"/>
              <w:autoSpaceDN w:val="0"/>
              <w:adjustRightInd w:val="0"/>
              <w:spacing w:before="60" w:after="60" w:line="240" w:lineRule="auto"/>
              <w:rPr>
                <w:rFonts w:asciiTheme="minorHAnsi" w:eastAsia="Calibri" w:hAnsiTheme="minorHAnsi" w:cs="Calibri"/>
              </w:rPr>
            </w:pPr>
            <w:r w:rsidRPr="007029CB">
              <w:rPr>
                <w:rFonts w:asciiTheme="minorHAnsi" w:eastAsia="Calibri" w:hAnsiTheme="minorHAnsi" w:cs="Calibri"/>
              </w:rPr>
              <w:t xml:space="preserve">The Bill </w:t>
            </w:r>
            <w:r w:rsidRPr="007029CB">
              <w:rPr>
                <w:rFonts w:asciiTheme="minorHAnsi" w:eastAsia="Calibri" w:hAnsiTheme="minorHAnsi" w:cs="Times New Roman"/>
                <w:lang w:eastAsia="en-US"/>
              </w:rPr>
              <w:t>creates new Firearms Prohibition Orders (FPOs) to prevent people who may pose a threat to public safety from accessing firearms</w:t>
            </w:r>
            <w:r w:rsidRPr="007029CB">
              <w:rPr>
                <w:rFonts w:asciiTheme="minorHAnsi" w:eastAsia="Calibri" w:hAnsiTheme="minorHAnsi" w:cs="Calibri"/>
              </w:rPr>
              <w:t xml:space="preserve">.  </w:t>
            </w:r>
          </w:p>
        </w:tc>
      </w:tr>
    </w:tbl>
    <w:p w14:paraId="2EA797CE" w14:textId="2113632F" w:rsidR="009041C7" w:rsidRPr="007029CB" w:rsidRDefault="009041C7" w:rsidP="009041C7">
      <w:pPr>
        <w:spacing w:after="120"/>
        <w:rPr>
          <w:rFonts w:asciiTheme="minorHAnsi" w:hAnsiTheme="minorHAnsi"/>
          <w:i/>
        </w:rPr>
      </w:pPr>
      <w:r w:rsidRPr="007029CB">
        <w:rPr>
          <w:rFonts w:asciiTheme="minorHAnsi" w:hAnsiTheme="minorHAnsi"/>
          <w:i/>
        </w:rPr>
        <w:t xml:space="preserve">Key to impacts: Red – negative, </w:t>
      </w:r>
      <w:proofErr w:type="gramStart"/>
      <w:r w:rsidR="00B14155">
        <w:rPr>
          <w:rFonts w:asciiTheme="minorHAnsi" w:hAnsiTheme="minorHAnsi"/>
          <w:i/>
        </w:rPr>
        <w:t>Blue</w:t>
      </w:r>
      <w:proofErr w:type="gramEnd"/>
      <w:r w:rsidR="00B14155">
        <w:rPr>
          <w:rFonts w:asciiTheme="minorHAnsi" w:hAnsiTheme="minorHAnsi"/>
          <w:i/>
        </w:rPr>
        <w:t xml:space="preserve"> - neutral and Green - p</w:t>
      </w:r>
      <w:r w:rsidRPr="007029CB">
        <w:rPr>
          <w:rFonts w:asciiTheme="minorHAnsi" w:hAnsiTheme="minorHAnsi"/>
          <w:i/>
        </w:rPr>
        <w:t>ositive.</w:t>
      </w:r>
    </w:p>
    <w:p w14:paraId="6E7780CA" w14:textId="77777777" w:rsidR="009041C7" w:rsidRPr="007029CB" w:rsidRDefault="009041C7" w:rsidP="00091628">
      <w:pPr>
        <w:spacing w:before="120" w:after="120" w:line="240" w:lineRule="auto"/>
        <w:rPr>
          <w:rFonts w:asciiTheme="minorHAnsi" w:hAnsiTheme="minorHAnsi"/>
          <w:b/>
          <w:bCs/>
        </w:rPr>
      </w:pPr>
      <w:r w:rsidRPr="007029CB">
        <w:rPr>
          <w:rFonts w:asciiTheme="minorHAnsi" w:hAnsiTheme="minorHAnsi"/>
          <w:b/>
          <w:bCs/>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7534"/>
      </w:tblGrid>
      <w:tr w:rsidR="008C071B" w:rsidRPr="00A144C6" w14:paraId="1CD96009" w14:textId="77777777" w:rsidTr="00C911F8">
        <w:trPr>
          <w:jc w:val="center"/>
        </w:trPr>
        <w:tc>
          <w:tcPr>
            <w:tcW w:w="1526" w:type="dxa"/>
            <w:shd w:val="clear" w:color="auto" w:fill="00B0F0"/>
          </w:tcPr>
          <w:p w14:paraId="1A849BE7" w14:textId="30061233" w:rsidR="009041C7" w:rsidRPr="007029CB" w:rsidRDefault="009041C7" w:rsidP="00913FA9">
            <w:pPr>
              <w:spacing w:before="60" w:after="60" w:line="240" w:lineRule="auto"/>
              <w:rPr>
                <w:rFonts w:asciiTheme="minorHAnsi" w:hAnsiTheme="minorHAnsi"/>
              </w:rPr>
            </w:pPr>
            <w:r w:rsidRPr="007029CB">
              <w:rPr>
                <w:rFonts w:asciiTheme="minorHAnsi" w:hAnsiTheme="minorHAnsi"/>
                <w:b/>
                <w:bCs/>
              </w:rPr>
              <w:t>Justice and rights</w:t>
            </w:r>
          </w:p>
        </w:tc>
        <w:tc>
          <w:tcPr>
            <w:tcW w:w="7716" w:type="dxa"/>
          </w:tcPr>
          <w:p w14:paraId="6C5DA616" w14:textId="77777777" w:rsidR="009041C7" w:rsidRPr="007029CB" w:rsidRDefault="009041C7" w:rsidP="00913FA9">
            <w:pPr>
              <w:spacing w:before="60" w:after="60" w:line="240" w:lineRule="auto"/>
              <w:rPr>
                <w:rFonts w:asciiTheme="minorHAnsi" w:hAnsiTheme="minorHAnsi"/>
              </w:rPr>
            </w:pPr>
            <w:r w:rsidRPr="007029CB">
              <w:rPr>
                <w:rFonts w:asciiTheme="minorHAnsi" w:hAnsiTheme="minorHAnsi"/>
              </w:rPr>
              <w:t>FPOs limit rights under the Human Rights Act 2004, including:</w:t>
            </w:r>
          </w:p>
          <w:p w14:paraId="5FB98A88" w14:textId="77777777" w:rsidR="009041C7" w:rsidRPr="007029CB" w:rsidRDefault="009041C7" w:rsidP="00913FA9">
            <w:pPr>
              <w:numPr>
                <w:ilvl w:val="0"/>
                <w:numId w:val="2"/>
              </w:numPr>
              <w:spacing w:before="60" w:after="60" w:line="240" w:lineRule="auto"/>
              <w:ind w:left="369" w:hanging="284"/>
              <w:rPr>
                <w:rFonts w:asciiTheme="minorHAnsi" w:hAnsiTheme="minorHAnsi"/>
              </w:rPr>
            </w:pPr>
            <w:r w:rsidRPr="007029CB">
              <w:rPr>
                <w:rFonts w:asciiTheme="minorHAnsi" w:hAnsiTheme="minorHAnsi"/>
              </w:rPr>
              <w:t>Section 8 – Recognition and equality  before the law</w:t>
            </w:r>
          </w:p>
          <w:p w14:paraId="6C047D03" w14:textId="77777777" w:rsidR="009041C7" w:rsidRPr="007029CB" w:rsidRDefault="009041C7" w:rsidP="00913FA9">
            <w:pPr>
              <w:numPr>
                <w:ilvl w:val="0"/>
                <w:numId w:val="2"/>
              </w:numPr>
              <w:spacing w:before="60" w:after="60" w:line="240" w:lineRule="auto"/>
              <w:ind w:left="369" w:hanging="284"/>
              <w:rPr>
                <w:rFonts w:asciiTheme="minorHAnsi" w:hAnsiTheme="minorHAnsi"/>
              </w:rPr>
            </w:pPr>
            <w:r w:rsidRPr="007029CB">
              <w:rPr>
                <w:rFonts w:asciiTheme="minorHAnsi" w:hAnsiTheme="minorHAnsi"/>
              </w:rPr>
              <w:t>Section 11 – Protection of family and children</w:t>
            </w:r>
          </w:p>
          <w:p w14:paraId="033CD4BA" w14:textId="77777777" w:rsidR="009041C7" w:rsidRPr="007029CB" w:rsidRDefault="009041C7" w:rsidP="00913FA9">
            <w:pPr>
              <w:numPr>
                <w:ilvl w:val="0"/>
                <w:numId w:val="2"/>
              </w:numPr>
              <w:spacing w:before="60" w:after="60" w:line="240" w:lineRule="auto"/>
              <w:ind w:left="369" w:hanging="284"/>
              <w:rPr>
                <w:rFonts w:asciiTheme="minorHAnsi" w:hAnsiTheme="minorHAnsi"/>
              </w:rPr>
            </w:pPr>
            <w:r w:rsidRPr="007029CB">
              <w:rPr>
                <w:rFonts w:asciiTheme="minorHAnsi" w:hAnsiTheme="minorHAnsi"/>
              </w:rPr>
              <w:t>Section 12 – Right to privacy and reputation</w:t>
            </w:r>
          </w:p>
          <w:p w14:paraId="4FB9A821" w14:textId="77777777" w:rsidR="009041C7" w:rsidRPr="007029CB" w:rsidRDefault="009041C7" w:rsidP="00913FA9">
            <w:pPr>
              <w:numPr>
                <w:ilvl w:val="0"/>
                <w:numId w:val="2"/>
              </w:numPr>
              <w:spacing w:before="60" w:after="60" w:line="240" w:lineRule="auto"/>
              <w:ind w:left="369" w:hanging="284"/>
              <w:rPr>
                <w:rFonts w:asciiTheme="minorHAnsi" w:hAnsiTheme="minorHAnsi"/>
              </w:rPr>
            </w:pPr>
            <w:r w:rsidRPr="007029CB">
              <w:rPr>
                <w:rFonts w:asciiTheme="minorHAnsi" w:hAnsiTheme="minorHAnsi"/>
              </w:rPr>
              <w:t>Section 13 – Freedom of movement</w:t>
            </w:r>
          </w:p>
          <w:p w14:paraId="2073DB8D" w14:textId="77777777" w:rsidR="009041C7" w:rsidRPr="007029CB" w:rsidRDefault="009041C7" w:rsidP="00913FA9">
            <w:pPr>
              <w:numPr>
                <w:ilvl w:val="0"/>
                <w:numId w:val="2"/>
              </w:numPr>
              <w:spacing w:before="60" w:after="60" w:line="240" w:lineRule="auto"/>
              <w:ind w:left="369" w:hanging="284"/>
              <w:rPr>
                <w:rFonts w:asciiTheme="minorHAnsi" w:hAnsiTheme="minorHAnsi"/>
              </w:rPr>
            </w:pPr>
            <w:r w:rsidRPr="007029CB">
              <w:rPr>
                <w:rFonts w:asciiTheme="minorHAnsi" w:hAnsiTheme="minorHAnsi"/>
              </w:rPr>
              <w:t>Section 15 – Peaceful assembly and freedom of association</w:t>
            </w:r>
          </w:p>
          <w:p w14:paraId="17BA675F" w14:textId="77777777" w:rsidR="009041C7" w:rsidRPr="007029CB" w:rsidRDefault="009041C7" w:rsidP="00913FA9">
            <w:pPr>
              <w:numPr>
                <w:ilvl w:val="0"/>
                <w:numId w:val="2"/>
              </w:numPr>
              <w:spacing w:before="60" w:after="60" w:line="240" w:lineRule="auto"/>
              <w:ind w:left="369" w:hanging="284"/>
              <w:rPr>
                <w:rFonts w:asciiTheme="minorHAnsi" w:hAnsiTheme="minorHAnsi"/>
                <w:bCs/>
              </w:rPr>
            </w:pPr>
            <w:r w:rsidRPr="007029CB">
              <w:rPr>
                <w:rFonts w:asciiTheme="minorHAnsi" w:hAnsiTheme="minorHAnsi"/>
              </w:rPr>
              <w:t>Section 21 – Right to a fair trial</w:t>
            </w:r>
          </w:p>
          <w:p w14:paraId="0FCF4010" w14:textId="77777777" w:rsidR="009041C7" w:rsidRPr="007029CB" w:rsidRDefault="009041C7" w:rsidP="00913FA9">
            <w:pPr>
              <w:spacing w:before="60" w:after="60" w:line="240" w:lineRule="auto"/>
              <w:rPr>
                <w:rFonts w:asciiTheme="minorHAnsi" w:hAnsiTheme="minorHAnsi"/>
              </w:rPr>
            </w:pPr>
            <w:r w:rsidRPr="007029CB">
              <w:rPr>
                <w:rFonts w:asciiTheme="minorHAnsi" w:hAnsiTheme="minorHAnsi"/>
              </w:rPr>
              <w:t>Legislative safeguards have been included in the Bill to address limitations of human rights. The safeguards attempt to ensure that the least restrictive means of meeting the objective of the Bill are employed.</w:t>
            </w:r>
          </w:p>
        </w:tc>
      </w:tr>
    </w:tbl>
    <w:p w14:paraId="5A45F1EA" w14:textId="77777777" w:rsidR="009041C7" w:rsidRPr="007029CB" w:rsidRDefault="009041C7" w:rsidP="00091628">
      <w:pPr>
        <w:spacing w:before="120" w:after="120" w:line="240" w:lineRule="auto"/>
        <w:rPr>
          <w:rFonts w:asciiTheme="minorHAnsi" w:hAnsiTheme="minorHAnsi"/>
          <w:b/>
          <w:bCs/>
        </w:rPr>
      </w:pPr>
      <w:r w:rsidRPr="007029CB">
        <w:rPr>
          <w:rFonts w:asciiTheme="minorHAnsi" w:hAnsiTheme="minorHAnsi"/>
          <w:b/>
          <w:bCs/>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7520"/>
      </w:tblGrid>
      <w:tr w:rsidR="008C071B" w:rsidRPr="00A144C6" w14:paraId="337EB153" w14:textId="77777777" w:rsidTr="00C911F8">
        <w:trPr>
          <w:jc w:val="center"/>
        </w:trPr>
        <w:tc>
          <w:tcPr>
            <w:tcW w:w="1518" w:type="dxa"/>
            <w:shd w:val="clear" w:color="auto" w:fill="00B0F0"/>
          </w:tcPr>
          <w:p w14:paraId="485E8423" w14:textId="77777777" w:rsidR="009041C7" w:rsidRPr="007029CB" w:rsidRDefault="009041C7" w:rsidP="00913FA9">
            <w:pPr>
              <w:spacing w:before="60" w:after="60" w:line="240" w:lineRule="auto"/>
              <w:jc w:val="both"/>
              <w:rPr>
                <w:rFonts w:asciiTheme="minorHAnsi" w:hAnsiTheme="minorHAnsi"/>
              </w:rPr>
            </w:pPr>
            <w:r w:rsidRPr="007029CB">
              <w:rPr>
                <w:rFonts w:asciiTheme="minorHAnsi" w:hAnsiTheme="minorHAnsi"/>
                <w:b/>
                <w:bCs/>
              </w:rPr>
              <w:t>ACT Government Budget</w:t>
            </w:r>
          </w:p>
        </w:tc>
        <w:tc>
          <w:tcPr>
            <w:tcW w:w="7520" w:type="dxa"/>
          </w:tcPr>
          <w:p w14:paraId="6CFFFC4B" w14:textId="77777777" w:rsidR="009041C7" w:rsidRPr="007029CB" w:rsidRDefault="009041C7" w:rsidP="00913FA9">
            <w:pPr>
              <w:numPr>
                <w:ilvl w:val="0"/>
                <w:numId w:val="2"/>
              </w:numPr>
              <w:spacing w:before="60" w:after="60" w:line="240" w:lineRule="auto"/>
              <w:ind w:left="357" w:hanging="357"/>
              <w:rPr>
                <w:rFonts w:asciiTheme="minorHAnsi" w:hAnsiTheme="minorHAnsi"/>
              </w:rPr>
            </w:pPr>
            <w:r w:rsidRPr="007029CB">
              <w:rPr>
                <w:rFonts w:asciiTheme="minorHAnsi" w:hAnsiTheme="minorHAnsi"/>
              </w:rPr>
              <w:t xml:space="preserve">The Bill is expected to have moderate resource implications that will be absorbed within existing resources or will be the subject of a budget bid. </w:t>
            </w:r>
          </w:p>
        </w:tc>
      </w:tr>
      <w:tr w:rsidR="008C071B" w:rsidRPr="00A144C6" w14:paraId="0AC175F9" w14:textId="77777777" w:rsidTr="00C911F8">
        <w:trPr>
          <w:jc w:val="center"/>
        </w:trPr>
        <w:tc>
          <w:tcPr>
            <w:tcW w:w="1518" w:type="dxa"/>
            <w:shd w:val="clear" w:color="auto" w:fill="00B0F0"/>
          </w:tcPr>
          <w:p w14:paraId="36594E3F" w14:textId="77777777" w:rsidR="009041C7" w:rsidRPr="007029CB" w:rsidRDefault="009041C7" w:rsidP="00913FA9">
            <w:pPr>
              <w:spacing w:before="60" w:after="60" w:line="240" w:lineRule="auto"/>
              <w:jc w:val="both"/>
              <w:rPr>
                <w:rFonts w:asciiTheme="minorHAnsi" w:hAnsiTheme="minorHAnsi"/>
                <w:b/>
                <w:bCs/>
              </w:rPr>
            </w:pPr>
            <w:r w:rsidRPr="007029CB">
              <w:rPr>
                <w:rFonts w:asciiTheme="minorHAnsi" w:hAnsiTheme="minorHAnsi"/>
                <w:b/>
                <w:bCs/>
              </w:rPr>
              <w:t>Productivity</w:t>
            </w:r>
          </w:p>
        </w:tc>
        <w:tc>
          <w:tcPr>
            <w:tcW w:w="7520" w:type="dxa"/>
          </w:tcPr>
          <w:p w14:paraId="1B1B8B73" w14:textId="77777777" w:rsidR="009041C7" w:rsidRPr="007029CB" w:rsidRDefault="009041C7" w:rsidP="0049492D">
            <w:pPr>
              <w:numPr>
                <w:ilvl w:val="0"/>
                <w:numId w:val="2"/>
              </w:numPr>
              <w:spacing w:before="60" w:after="60" w:line="240" w:lineRule="auto"/>
              <w:ind w:left="357" w:hanging="357"/>
              <w:rPr>
                <w:rFonts w:asciiTheme="minorHAnsi" w:hAnsiTheme="minorHAnsi"/>
              </w:rPr>
            </w:pPr>
            <w:r w:rsidRPr="007029CB">
              <w:rPr>
                <w:rFonts w:asciiTheme="minorHAnsi" w:hAnsiTheme="minorHAnsi"/>
              </w:rPr>
              <w:t>Nil</w:t>
            </w:r>
          </w:p>
        </w:tc>
      </w:tr>
      <w:tr w:rsidR="008C071B" w:rsidRPr="00A144C6" w14:paraId="66F21FD8" w14:textId="77777777" w:rsidTr="00C911F8">
        <w:trPr>
          <w:jc w:val="center"/>
        </w:trPr>
        <w:tc>
          <w:tcPr>
            <w:tcW w:w="1518" w:type="dxa"/>
            <w:shd w:val="clear" w:color="auto" w:fill="00B0F0"/>
          </w:tcPr>
          <w:p w14:paraId="7BEDB5A5" w14:textId="77777777" w:rsidR="009041C7" w:rsidRPr="007029CB" w:rsidRDefault="009041C7" w:rsidP="00913FA9">
            <w:pPr>
              <w:spacing w:before="60" w:after="60" w:line="240" w:lineRule="auto"/>
              <w:jc w:val="both"/>
              <w:rPr>
                <w:rFonts w:asciiTheme="minorHAnsi" w:hAnsiTheme="minorHAnsi"/>
                <w:b/>
                <w:bCs/>
              </w:rPr>
            </w:pPr>
            <w:r w:rsidRPr="007029CB">
              <w:rPr>
                <w:rFonts w:asciiTheme="minorHAnsi" w:hAnsiTheme="minorHAnsi"/>
                <w:b/>
                <w:bCs/>
              </w:rPr>
              <w:t>Investment</w:t>
            </w:r>
          </w:p>
        </w:tc>
        <w:tc>
          <w:tcPr>
            <w:tcW w:w="7520" w:type="dxa"/>
          </w:tcPr>
          <w:p w14:paraId="695E6FC1" w14:textId="45B8FF2D" w:rsidR="009041C7" w:rsidRPr="007029CB" w:rsidRDefault="009041C7" w:rsidP="00913FA9">
            <w:pPr>
              <w:numPr>
                <w:ilvl w:val="0"/>
                <w:numId w:val="2"/>
              </w:numPr>
              <w:spacing w:before="60" w:after="60" w:line="240" w:lineRule="auto"/>
              <w:ind w:left="357" w:hanging="357"/>
              <w:rPr>
                <w:rFonts w:asciiTheme="minorHAnsi" w:hAnsiTheme="minorHAnsi"/>
              </w:rPr>
            </w:pPr>
            <w:r w:rsidRPr="007029CB">
              <w:rPr>
                <w:rFonts w:asciiTheme="minorHAnsi" w:hAnsiTheme="minorHAnsi"/>
              </w:rPr>
              <w:t>Nil</w:t>
            </w:r>
          </w:p>
        </w:tc>
      </w:tr>
      <w:tr w:rsidR="008C071B" w:rsidRPr="00A144C6" w14:paraId="6E551FB7" w14:textId="77777777" w:rsidTr="00C911F8">
        <w:trPr>
          <w:jc w:val="center"/>
        </w:trPr>
        <w:tc>
          <w:tcPr>
            <w:tcW w:w="1518" w:type="dxa"/>
            <w:shd w:val="clear" w:color="auto" w:fill="00B0F0"/>
          </w:tcPr>
          <w:p w14:paraId="69B05664" w14:textId="77777777" w:rsidR="009041C7" w:rsidRPr="007029CB" w:rsidRDefault="009041C7" w:rsidP="00913FA9">
            <w:pPr>
              <w:spacing w:before="60" w:after="60" w:line="240" w:lineRule="auto"/>
              <w:jc w:val="both"/>
              <w:rPr>
                <w:rFonts w:asciiTheme="minorHAnsi" w:hAnsiTheme="minorHAnsi"/>
              </w:rPr>
            </w:pPr>
            <w:r w:rsidRPr="007029CB">
              <w:rPr>
                <w:rFonts w:asciiTheme="minorHAnsi" w:hAnsiTheme="minorHAnsi"/>
                <w:b/>
                <w:bCs/>
              </w:rPr>
              <w:t>Competition</w:t>
            </w:r>
          </w:p>
        </w:tc>
        <w:tc>
          <w:tcPr>
            <w:tcW w:w="7520" w:type="dxa"/>
          </w:tcPr>
          <w:p w14:paraId="2CEF2B19" w14:textId="65222C46" w:rsidR="009041C7" w:rsidRPr="007029CB" w:rsidRDefault="009041C7" w:rsidP="00913FA9">
            <w:pPr>
              <w:numPr>
                <w:ilvl w:val="0"/>
                <w:numId w:val="2"/>
              </w:numPr>
              <w:spacing w:before="60" w:after="60" w:line="240" w:lineRule="auto"/>
              <w:ind w:left="357" w:hanging="357"/>
              <w:rPr>
                <w:rFonts w:asciiTheme="minorHAnsi" w:hAnsiTheme="minorHAnsi"/>
              </w:rPr>
            </w:pPr>
            <w:r w:rsidRPr="007029CB">
              <w:rPr>
                <w:rFonts w:asciiTheme="minorHAnsi" w:hAnsiTheme="minorHAnsi"/>
              </w:rPr>
              <w:t>Nil</w:t>
            </w:r>
          </w:p>
        </w:tc>
      </w:tr>
    </w:tbl>
    <w:p w14:paraId="52AEB42D" w14:textId="77777777" w:rsidR="009041C7" w:rsidRPr="007029CB" w:rsidRDefault="009041C7" w:rsidP="00091628">
      <w:pPr>
        <w:spacing w:before="120" w:after="120" w:line="240" w:lineRule="auto"/>
        <w:rPr>
          <w:rFonts w:asciiTheme="minorHAnsi" w:hAnsiTheme="minorHAnsi"/>
          <w:b/>
          <w:bCs/>
        </w:rPr>
      </w:pPr>
      <w:r w:rsidRPr="007029CB">
        <w:rPr>
          <w:rFonts w:asciiTheme="minorHAnsi" w:hAnsiTheme="minorHAnsi"/>
          <w:b/>
          <w:bCs/>
        </w:rPr>
        <w:t>Environmental</w:t>
      </w:r>
    </w:p>
    <w:p w14:paraId="47C0DAAD" w14:textId="4C9204D3" w:rsidR="00B41519" w:rsidRPr="007029CB" w:rsidRDefault="00B41519" w:rsidP="00F65981">
      <w:pPr>
        <w:rPr>
          <w:rFonts w:asciiTheme="minorHAnsi" w:hAnsiTheme="minorHAnsi"/>
          <w:bCs/>
        </w:rPr>
      </w:pPr>
      <w:r w:rsidRPr="007029CB">
        <w:rPr>
          <w:rFonts w:asciiTheme="minorHAnsi" w:hAnsiTheme="minorHAnsi"/>
          <w:bCs/>
        </w:rPr>
        <w:t>Not applicable</w:t>
      </w:r>
    </w:p>
    <w:p w14:paraId="08A3A3C7" w14:textId="76C5FBC8" w:rsidR="009041C7" w:rsidRPr="007029CB" w:rsidRDefault="009041C7">
      <w:pPr>
        <w:spacing w:after="160" w:line="259" w:lineRule="auto"/>
        <w:rPr>
          <w:rFonts w:asciiTheme="minorHAnsi" w:hAnsiTheme="minorHAnsi"/>
        </w:rPr>
      </w:pPr>
      <w:bookmarkStart w:id="0" w:name="_GoBack"/>
      <w:bookmarkEnd w:id="0"/>
    </w:p>
    <w:sectPr w:rsidR="009041C7" w:rsidRPr="007029CB" w:rsidSect="00534E14">
      <w:footerReference w:type="default" r:id="rId8"/>
      <w:type w:val="continuous"/>
      <w:pgSz w:w="11906" w:h="16838"/>
      <w:pgMar w:top="1242" w:right="1440" w:bottom="993"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BC4A9E" w:rsidRDefault="00BC4A9E" w:rsidP="009041C7">
      <w:pPr>
        <w:spacing w:after="0" w:line="240" w:lineRule="auto"/>
      </w:pPr>
      <w:r>
        <w:separator/>
      </w:r>
    </w:p>
  </w:endnote>
  <w:endnote w:type="continuationSeparator" w:id="0">
    <w:p w14:paraId="559A4ACD" w14:textId="77777777" w:rsidR="00BC4A9E" w:rsidRDefault="00BC4A9E"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936812"/>
      <w:docPartObj>
        <w:docPartGallery w:val="Page Numbers (Bottom of Page)"/>
        <w:docPartUnique/>
      </w:docPartObj>
    </w:sdtPr>
    <w:sdtEndPr>
      <w:rPr>
        <w:noProof/>
      </w:rPr>
    </w:sdtEndPr>
    <w:sdtContent>
      <w:p w14:paraId="32318247" w14:textId="5EA246BC" w:rsidR="00160FE5" w:rsidRDefault="00160FE5">
        <w:pPr>
          <w:pStyle w:val="Footer"/>
          <w:jc w:val="center"/>
        </w:pPr>
        <w:r>
          <w:fldChar w:fldCharType="begin"/>
        </w:r>
        <w:r>
          <w:instrText xml:space="preserve"> PAGE   \* MERGEFORMAT </w:instrText>
        </w:r>
        <w:r>
          <w:fldChar w:fldCharType="separate"/>
        </w:r>
        <w:r w:rsidR="009200F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BC4A9E" w:rsidRDefault="00BC4A9E" w:rsidP="009041C7">
      <w:pPr>
        <w:spacing w:after="0" w:line="240" w:lineRule="auto"/>
      </w:pPr>
      <w:r>
        <w:separator/>
      </w:r>
    </w:p>
  </w:footnote>
  <w:footnote w:type="continuationSeparator" w:id="0">
    <w:p w14:paraId="4A30B665" w14:textId="77777777" w:rsidR="00BC4A9E" w:rsidRDefault="00BC4A9E" w:rsidP="0090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D6461B"/>
    <w:multiLevelType w:val="hybridMultilevel"/>
    <w:tmpl w:val="4058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7123D"/>
    <w:rsid w:val="00091628"/>
    <w:rsid w:val="000A4EED"/>
    <w:rsid w:val="00160FE5"/>
    <w:rsid w:val="00196E34"/>
    <w:rsid w:val="002E146C"/>
    <w:rsid w:val="002F15D9"/>
    <w:rsid w:val="00306B44"/>
    <w:rsid w:val="0038149F"/>
    <w:rsid w:val="00426BD2"/>
    <w:rsid w:val="0049492D"/>
    <w:rsid w:val="004958F1"/>
    <w:rsid w:val="004A6A8B"/>
    <w:rsid w:val="004D51BB"/>
    <w:rsid w:val="00534E14"/>
    <w:rsid w:val="005D0341"/>
    <w:rsid w:val="005E0582"/>
    <w:rsid w:val="006033C5"/>
    <w:rsid w:val="0065455C"/>
    <w:rsid w:val="007029CB"/>
    <w:rsid w:val="007B70DE"/>
    <w:rsid w:val="007E0AD7"/>
    <w:rsid w:val="00850B04"/>
    <w:rsid w:val="00872456"/>
    <w:rsid w:val="008B2545"/>
    <w:rsid w:val="008C071B"/>
    <w:rsid w:val="008C4BC9"/>
    <w:rsid w:val="009041C7"/>
    <w:rsid w:val="00913FA9"/>
    <w:rsid w:val="009200F0"/>
    <w:rsid w:val="00961470"/>
    <w:rsid w:val="009C24CB"/>
    <w:rsid w:val="00A144C6"/>
    <w:rsid w:val="00A41FC1"/>
    <w:rsid w:val="00A71DF3"/>
    <w:rsid w:val="00AC35A2"/>
    <w:rsid w:val="00B14155"/>
    <w:rsid w:val="00B41519"/>
    <w:rsid w:val="00B727F6"/>
    <w:rsid w:val="00BC4A9E"/>
    <w:rsid w:val="00C17089"/>
    <w:rsid w:val="00C911F8"/>
    <w:rsid w:val="00CE50C8"/>
    <w:rsid w:val="00CF5FA5"/>
    <w:rsid w:val="00D34FF1"/>
    <w:rsid w:val="00D848AA"/>
    <w:rsid w:val="00DC7E8B"/>
    <w:rsid w:val="00F32B7B"/>
    <w:rsid w:val="00F36E3A"/>
    <w:rsid w:val="00F548F5"/>
    <w:rsid w:val="00F65981"/>
    <w:rsid w:val="00FB3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79ABE-D026-4F66-9866-068B04B2B34F}">
  <ds:schemaRefs>
    <ds:schemaRef ds:uri="http://schemas.openxmlformats.org/officeDocument/2006/bibliography"/>
  </ds:schemaRefs>
</ds:datastoreItem>
</file>

<file path=customXml/itemProps2.xml><?xml version="1.0" encoding="utf-8"?>
<ds:datastoreItem xmlns:ds="http://schemas.openxmlformats.org/officeDocument/2006/customXml" ds:itemID="{F85AF3C9-7BAE-4F3B-9755-DF1CA6779A84}"/>
</file>

<file path=customXml/itemProps3.xml><?xml version="1.0" encoding="utf-8"?>
<ds:datastoreItem xmlns:ds="http://schemas.openxmlformats.org/officeDocument/2006/customXml" ds:itemID="{FCB8A3F5-9DAB-4817-9DA2-BB21B33BC699}"/>
</file>

<file path=customXml/itemProps4.xml><?xml version="1.0" encoding="utf-8"?>
<ds:datastoreItem xmlns:ds="http://schemas.openxmlformats.org/officeDocument/2006/customXml" ds:itemID="{EDAE61EF-EDEC-4AED-BB3A-642145CC5FD5}"/>
</file>

<file path=docProps/app.xml><?xml version="1.0" encoding="utf-8"?>
<Properties xmlns="http://schemas.openxmlformats.org/officeDocument/2006/extended-properties" xmlns:vt="http://schemas.openxmlformats.org/officeDocument/2006/docPropsVTypes">
  <Template>Normal</Template>
  <TotalTime>11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Triple Bottom Line Assessment</vt:lpstr>
    </vt:vector>
  </TitlesOfParts>
  <Company>ACT Government</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18/007 Triple Bottom Line Assessment</dc:title>
  <dc:subject/>
  <dc:creator>Thomas, Lachlan;CabinetOffice@act.gov.au</dc:creator>
  <cp:keywords/>
  <dc:description/>
  <cp:lastModifiedBy>Thomas, Lachlan</cp:lastModifiedBy>
  <cp:revision>7</cp:revision>
  <cp:lastPrinted>2018-06-18T05:47:00Z</cp:lastPrinted>
  <dcterms:created xsi:type="dcterms:W3CDTF">2018-06-18T05:50:00Z</dcterms:created>
  <dcterms:modified xsi:type="dcterms:W3CDTF">2018-07-04T00:25:00Z</dcterms:modified>
</cp:coreProperties>
</file>