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420" w:rsidRPr="0045472F" w:rsidRDefault="00CE5420" w:rsidP="00CE5420">
      <w:pPr>
        <w:spacing w:after="120"/>
        <w:jc w:val="both"/>
        <w:rPr>
          <w:rFonts w:asciiTheme="minorHAnsi" w:hAnsiTheme="minorHAnsi"/>
          <w:b/>
          <w:bCs/>
          <w:color w:val="000000" w:themeColor="text1"/>
          <w:sz w:val="20"/>
          <w:szCs w:val="20"/>
        </w:rPr>
      </w:pPr>
      <w:r>
        <w:rPr>
          <w:rFonts w:asciiTheme="minorHAnsi" w:hAnsiTheme="minorHAnsi"/>
          <w:b/>
          <w:color w:val="000000" w:themeColor="text1"/>
          <w:sz w:val="20"/>
          <w:szCs w:val="20"/>
          <w:lang w:val="en-US"/>
        </w:rPr>
        <w:t>18/365:</w:t>
      </w:r>
      <w:r w:rsidRPr="0045472F">
        <w:rPr>
          <w:rFonts w:asciiTheme="minorHAnsi" w:hAnsiTheme="minorHAnsi"/>
          <w:b/>
          <w:bCs/>
          <w:color w:val="000000" w:themeColor="text1"/>
          <w:sz w:val="20"/>
          <w:szCs w:val="20"/>
        </w:rPr>
        <w:t xml:space="preserve">  ACT Language Services Policy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CE5420" w:rsidRPr="0045472F" w:rsidTr="00A54AF8">
        <w:trPr>
          <w:jc w:val="center"/>
        </w:trPr>
        <w:tc>
          <w:tcPr>
            <w:tcW w:w="9105" w:type="dxa"/>
          </w:tcPr>
          <w:p w:rsidR="00CE5420" w:rsidRPr="0045472F" w:rsidRDefault="00CE5420" w:rsidP="00A54AF8">
            <w:pPr>
              <w:spacing w:before="60" w:after="0"/>
              <w:jc w:val="both"/>
              <w:rPr>
                <w:rFonts w:asciiTheme="minorHAnsi" w:hAnsiTheme="minorHAnsi"/>
                <w:b/>
                <w:bCs/>
                <w:color w:val="000000" w:themeColor="text1"/>
                <w:sz w:val="20"/>
                <w:szCs w:val="20"/>
              </w:rPr>
            </w:pPr>
            <w:r w:rsidRPr="0045472F">
              <w:rPr>
                <w:rFonts w:asciiTheme="minorHAnsi" w:hAnsiTheme="minorHAnsi"/>
                <w:b/>
                <w:bCs/>
                <w:color w:val="000000" w:themeColor="text1"/>
                <w:sz w:val="20"/>
                <w:szCs w:val="20"/>
              </w:rPr>
              <w:t>Summary of Impacts</w:t>
            </w:r>
          </w:p>
        </w:tc>
      </w:tr>
      <w:tr w:rsidR="00CE5420" w:rsidRPr="0045472F" w:rsidTr="00A54AF8">
        <w:trPr>
          <w:jc w:val="center"/>
        </w:trPr>
        <w:tc>
          <w:tcPr>
            <w:tcW w:w="9105" w:type="dxa"/>
          </w:tcPr>
          <w:p w:rsidR="00CE5420" w:rsidRPr="0045472F" w:rsidRDefault="00CE5420" w:rsidP="00A54AF8">
            <w:pPr>
              <w:spacing w:after="0" w:line="240" w:lineRule="auto"/>
              <w:rPr>
                <w:rFonts w:asciiTheme="minorHAnsi" w:hAnsiTheme="minorHAnsi"/>
                <w:color w:val="000000" w:themeColor="text1"/>
                <w:sz w:val="20"/>
                <w:szCs w:val="20"/>
              </w:rPr>
            </w:pPr>
            <w:r w:rsidRPr="0045472F">
              <w:rPr>
                <w:rFonts w:asciiTheme="minorHAnsi" w:hAnsiTheme="minorHAnsi"/>
                <w:bCs/>
                <w:color w:val="000000" w:themeColor="text1"/>
                <w:sz w:val="20"/>
                <w:szCs w:val="20"/>
              </w:rPr>
              <w:t xml:space="preserve">The </w:t>
            </w:r>
            <w:r w:rsidRPr="0008771A">
              <w:rPr>
                <w:rFonts w:asciiTheme="minorHAnsi" w:hAnsiTheme="minorHAnsi"/>
                <w:bCs/>
                <w:color w:val="000000" w:themeColor="text1"/>
                <w:sz w:val="20"/>
                <w:szCs w:val="20"/>
              </w:rPr>
              <w:t>ACT Language Services Policy</w:t>
            </w:r>
            <w:r w:rsidRPr="0045472F">
              <w:rPr>
                <w:rFonts w:asciiTheme="minorHAnsi" w:hAnsiTheme="minorHAnsi"/>
                <w:bCs/>
                <w:i/>
                <w:color w:val="000000" w:themeColor="text1"/>
                <w:sz w:val="20"/>
                <w:szCs w:val="20"/>
              </w:rPr>
              <w:t xml:space="preserve"> </w:t>
            </w:r>
            <w:r w:rsidRPr="0045472F">
              <w:rPr>
                <w:rFonts w:asciiTheme="minorHAnsi" w:hAnsiTheme="minorHAnsi"/>
                <w:bCs/>
                <w:color w:val="000000" w:themeColor="text1"/>
                <w:sz w:val="20"/>
                <w:szCs w:val="20"/>
              </w:rPr>
              <w:t>will have a positive impact in the ACT.</w:t>
            </w:r>
          </w:p>
        </w:tc>
      </w:tr>
    </w:tbl>
    <w:p w:rsidR="00CE5420" w:rsidRPr="0045472F" w:rsidRDefault="00CE5420" w:rsidP="00CE5420">
      <w:pPr>
        <w:spacing w:after="120"/>
        <w:rPr>
          <w:rFonts w:asciiTheme="minorHAnsi" w:hAnsiTheme="minorHAnsi"/>
          <w:i/>
          <w:color w:val="000000" w:themeColor="text1"/>
          <w:sz w:val="20"/>
          <w:szCs w:val="20"/>
        </w:rPr>
      </w:pPr>
      <w:r w:rsidRPr="0045472F">
        <w:rPr>
          <w:rFonts w:asciiTheme="minorHAnsi" w:hAnsiTheme="minorHAnsi"/>
          <w:i/>
          <w:color w:val="000000" w:themeColor="text1"/>
          <w:sz w:val="20"/>
          <w:szCs w:val="20"/>
        </w:rPr>
        <w:t xml:space="preserve">Key to impacts: Red – negative, </w:t>
      </w:r>
      <w:proofErr w:type="gramStart"/>
      <w:r w:rsidRPr="0045472F">
        <w:rPr>
          <w:rFonts w:asciiTheme="minorHAnsi" w:hAnsiTheme="minorHAnsi"/>
          <w:i/>
          <w:color w:val="000000" w:themeColor="text1"/>
          <w:sz w:val="20"/>
          <w:szCs w:val="20"/>
        </w:rPr>
        <w:t>Blue</w:t>
      </w:r>
      <w:proofErr w:type="gramEnd"/>
      <w:r w:rsidRPr="0045472F">
        <w:rPr>
          <w:rFonts w:asciiTheme="minorHAnsi" w:hAnsiTheme="minorHAnsi"/>
          <w:i/>
          <w:color w:val="000000" w:themeColor="text1"/>
          <w:sz w:val="20"/>
          <w:szCs w:val="20"/>
        </w:rPr>
        <w:t xml:space="preserve"> </w:t>
      </w:r>
      <w:r>
        <w:rPr>
          <w:rFonts w:asciiTheme="minorHAnsi" w:hAnsiTheme="minorHAnsi"/>
          <w:i/>
          <w:color w:val="000000" w:themeColor="text1"/>
          <w:sz w:val="20"/>
          <w:szCs w:val="20"/>
        </w:rPr>
        <w:t xml:space="preserve">- </w:t>
      </w:r>
      <w:r w:rsidRPr="0045472F">
        <w:rPr>
          <w:rFonts w:asciiTheme="minorHAnsi" w:hAnsiTheme="minorHAnsi"/>
          <w:i/>
          <w:color w:val="000000" w:themeColor="text1"/>
          <w:sz w:val="20"/>
          <w:szCs w:val="20"/>
        </w:rPr>
        <w:t xml:space="preserve">neutral and Green </w:t>
      </w:r>
      <w:r>
        <w:rPr>
          <w:rFonts w:asciiTheme="minorHAnsi" w:hAnsiTheme="minorHAnsi"/>
          <w:i/>
          <w:color w:val="000000" w:themeColor="text1"/>
          <w:sz w:val="20"/>
          <w:szCs w:val="20"/>
        </w:rPr>
        <w:t>- p</w:t>
      </w:r>
      <w:r w:rsidRPr="0045472F">
        <w:rPr>
          <w:rFonts w:asciiTheme="minorHAnsi" w:hAnsiTheme="minorHAnsi"/>
          <w:i/>
          <w:color w:val="000000" w:themeColor="text1"/>
          <w:sz w:val="20"/>
          <w:szCs w:val="20"/>
        </w:rPr>
        <w:t>ositive.</w:t>
      </w:r>
    </w:p>
    <w:p w:rsidR="00CE5420" w:rsidRPr="0045472F" w:rsidRDefault="00CE5420" w:rsidP="00CE5420">
      <w:pPr>
        <w:spacing w:after="0"/>
        <w:jc w:val="both"/>
        <w:rPr>
          <w:rFonts w:asciiTheme="minorHAnsi" w:hAnsiTheme="minorHAnsi"/>
          <w:b/>
          <w:bCs/>
          <w:color w:val="000000" w:themeColor="text1"/>
          <w:sz w:val="20"/>
          <w:szCs w:val="20"/>
        </w:rPr>
      </w:pPr>
      <w:r w:rsidRPr="0045472F">
        <w:rPr>
          <w:rFonts w:asciiTheme="minorHAnsi" w:hAnsiTheme="minorHAnsi"/>
          <w:b/>
          <w:bCs/>
          <w:color w:val="000000" w:themeColor="text1"/>
          <w:sz w:val="20"/>
          <w:szCs w:val="20"/>
        </w:rPr>
        <w:t>Social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1"/>
        <w:gridCol w:w="7515"/>
      </w:tblGrid>
      <w:tr w:rsidR="00CE5420" w:rsidRPr="0045472F" w:rsidTr="00A54AF8">
        <w:trPr>
          <w:jc w:val="center"/>
        </w:trPr>
        <w:tc>
          <w:tcPr>
            <w:tcW w:w="1526" w:type="dxa"/>
            <w:shd w:val="clear" w:color="auto" w:fill="92D050"/>
          </w:tcPr>
          <w:p w:rsidR="00CE5420" w:rsidRPr="0045472F" w:rsidRDefault="00CE5420" w:rsidP="00A54AF8">
            <w:pPr>
              <w:rPr>
                <w:rFonts w:asciiTheme="minorHAnsi" w:hAnsiTheme="minorHAnsi"/>
                <w:color w:val="000000" w:themeColor="text1"/>
                <w:sz w:val="20"/>
                <w:szCs w:val="20"/>
              </w:rPr>
            </w:pPr>
            <w:r w:rsidRPr="0045472F">
              <w:rPr>
                <w:rFonts w:asciiTheme="minorHAnsi" w:hAnsiTheme="minorHAnsi"/>
                <w:b/>
                <w:bCs/>
                <w:color w:val="000000" w:themeColor="text1"/>
                <w:sz w:val="20"/>
                <w:szCs w:val="20"/>
              </w:rPr>
              <w:t>Justice and rights</w:t>
            </w:r>
          </w:p>
        </w:tc>
        <w:tc>
          <w:tcPr>
            <w:tcW w:w="7716" w:type="dxa"/>
          </w:tcPr>
          <w:p w:rsidR="00CE5420" w:rsidRPr="0045472F" w:rsidRDefault="00CE5420" w:rsidP="00A54AF8">
            <w:pPr>
              <w:numPr>
                <w:ilvl w:val="0"/>
                <w:numId w:val="1"/>
              </w:numPr>
              <w:spacing w:after="0" w:line="240" w:lineRule="auto"/>
              <w:ind w:left="360"/>
              <w:rPr>
                <w:rFonts w:asciiTheme="minorHAnsi" w:hAnsiTheme="minorHAnsi"/>
                <w:color w:val="000000" w:themeColor="text1"/>
                <w:sz w:val="20"/>
                <w:szCs w:val="20"/>
              </w:rPr>
            </w:pPr>
            <w:r w:rsidRPr="0045472F">
              <w:rPr>
                <w:rFonts w:asciiTheme="minorHAnsi" w:hAnsiTheme="minorHAnsi" w:cs="Tahoma"/>
                <w:color w:val="000000" w:themeColor="text1"/>
                <w:sz w:val="20"/>
                <w:szCs w:val="20"/>
              </w:rPr>
              <w:t xml:space="preserve">Removing barriers to the full and equal participation is a human rights issue and is legislated in the ACT by the ACT </w:t>
            </w:r>
            <w:r w:rsidRPr="0045472F">
              <w:rPr>
                <w:rFonts w:asciiTheme="minorHAnsi" w:hAnsiTheme="minorHAnsi" w:cs="Tahoma"/>
                <w:i/>
                <w:color w:val="000000" w:themeColor="text1"/>
                <w:sz w:val="20"/>
                <w:szCs w:val="20"/>
              </w:rPr>
              <w:t xml:space="preserve">Human Rights Act 2004 and </w:t>
            </w:r>
            <w:r w:rsidRPr="0045472F">
              <w:rPr>
                <w:rFonts w:asciiTheme="minorHAnsi" w:hAnsiTheme="minorHAnsi" w:cs="Tahoma"/>
                <w:color w:val="000000" w:themeColor="text1"/>
                <w:sz w:val="20"/>
                <w:szCs w:val="20"/>
              </w:rPr>
              <w:t>the ACT</w:t>
            </w:r>
            <w:r w:rsidRPr="0045472F">
              <w:rPr>
                <w:rFonts w:asciiTheme="minorHAnsi" w:hAnsiTheme="minorHAnsi" w:cs="Tahoma"/>
                <w:i/>
                <w:color w:val="000000" w:themeColor="text1"/>
                <w:sz w:val="20"/>
                <w:szCs w:val="20"/>
              </w:rPr>
              <w:t xml:space="preserve"> Discrimination Act 1991.</w:t>
            </w:r>
          </w:p>
        </w:tc>
      </w:tr>
    </w:tbl>
    <w:p w:rsidR="00CE5420" w:rsidRPr="0045472F" w:rsidRDefault="00CE5420" w:rsidP="00CE5420">
      <w:pPr>
        <w:spacing w:before="120" w:after="0"/>
        <w:jc w:val="both"/>
        <w:rPr>
          <w:rFonts w:asciiTheme="minorHAnsi" w:hAnsiTheme="minorHAnsi"/>
          <w:b/>
          <w:bCs/>
          <w:color w:val="000000" w:themeColor="text1"/>
          <w:sz w:val="20"/>
          <w:szCs w:val="20"/>
        </w:rPr>
      </w:pPr>
      <w:r w:rsidRPr="0045472F">
        <w:rPr>
          <w:rFonts w:asciiTheme="minorHAnsi" w:hAnsiTheme="minorHAnsi"/>
          <w:b/>
          <w:bCs/>
          <w:color w:val="000000" w:themeColor="text1"/>
          <w:sz w:val="20"/>
          <w:szCs w:val="20"/>
        </w:rPr>
        <w:t>Economic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7"/>
        <w:gridCol w:w="7499"/>
      </w:tblGrid>
      <w:tr w:rsidR="00CE5420" w:rsidRPr="0045472F" w:rsidTr="00A54AF8">
        <w:trPr>
          <w:jc w:val="center"/>
        </w:trPr>
        <w:tc>
          <w:tcPr>
            <w:tcW w:w="1526" w:type="dxa"/>
            <w:shd w:val="clear" w:color="auto" w:fill="0070C0"/>
          </w:tcPr>
          <w:p w:rsidR="00CE5420" w:rsidRPr="0045472F" w:rsidRDefault="00CE5420" w:rsidP="00A54AF8">
            <w:pPr>
              <w:jc w:val="both"/>
              <w:rPr>
                <w:rFonts w:asciiTheme="minorHAnsi" w:hAnsiTheme="minorHAnsi"/>
                <w:color w:val="000000" w:themeColor="text1"/>
                <w:sz w:val="20"/>
                <w:szCs w:val="20"/>
              </w:rPr>
            </w:pPr>
            <w:r w:rsidRPr="0045472F">
              <w:rPr>
                <w:rFonts w:asciiTheme="minorHAnsi" w:hAnsiTheme="minorHAnsi"/>
                <w:b/>
                <w:bCs/>
                <w:color w:val="000000" w:themeColor="text1"/>
                <w:sz w:val="20"/>
                <w:szCs w:val="20"/>
              </w:rPr>
              <w:t>ACT Government Budget</w:t>
            </w:r>
          </w:p>
        </w:tc>
        <w:tc>
          <w:tcPr>
            <w:tcW w:w="7716" w:type="dxa"/>
          </w:tcPr>
          <w:p w:rsidR="00CE5420" w:rsidRPr="00AA6F1D" w:rsidRDefault="00CE5420" w:rsidP="00A54AF8">
            <w:pPr>
              <w:numPr>
                <w:ilvl w:val="0"/>
                <w:numId w:val="1"/>
              </w:numPr>
              <w:spacing w:after="0" w:line="240" w:lineRule="auto"/>
              <w:ind w:left="357" w:hanging="357"/>
              <w:rPr>
                <w:rFonts w:asciiTheme="minorHAnsi" w:hAnsiTheme="minorHAnsi" w:cs="Tahoma"/>
                <w:color w:val="000000" w:themeColor="text1"/>
                <w:sz w:val="20"/>
                <w:szCs w:val="20"/>
              </w:rPr>
            </w:pPr>
            <w:r w:rsidRPr="00AA6F1D">
              <w:rPr>
                <w:rFonts w:asciiTheme="minorHAnsi" w:hAnsiTheme="minorHAnsi" w:cs="Tahoma"/>
                <w:color w:val="000000" w:themeColor="text1"/>
                <w:sz w:val="20"/>
                <w:szCs w:val="20"/>
              </w:rPr>
              <w:t>The ACT Language Services Policy does not have a direct impact on the ACT Government budget.  All initiatives to implement the policy will be undertaken within existing resources or will be required to undergo individual budget assessments as per the accepted process as required.</w:t>
            </w:r>
          </w:p>
        </w:tc>
      </w:tr>
      <w:tr w:rsidR="00CE5420" w:rsidRPr="0045472F" w:rsidTr="00A54AF8">
        <w:trPr>
          <w:jc w:val="center"/>
        </w:trPr>
        <w:tc>
          <w:tcPr>
            <w:tcW w:w="1526" w:type="dxa"/>
            <w:shd w:val="clear" w:color="auto" w:fill="92D050"/>
          </w:tcPr>
          <w:p w:rsidR="00CE5420" w:rsidRPr="0045472F" w:rsidRDefault="00CE5420" w:rsidP="00A54AF8">
            <w:pPr>
              <w:shd w:val="clear" w:color="auto" w:fill="92D050"/>
              <w:jc w:val="both"/>
              <w:rPr>
                <w:rFonts w:asciiTheme="minorHAnsi" w:hAnsiTheme="minorHAnsi"/>
                <w:color w:val="000000" w:themeColor="text1"/>
                <w:sz w:val="20"/>
                <w:szCs w:val="20"/>
              </w:rPr>
            </w:pPr>
            <w:r w:rsidRPr="0045472F">
              <w:rPr>
                <w:rFonts w:asciiTheme="minorHAnsi" w:hAnsiTheme="minorHAnsi"/>
                <w:b/>
                <w:bCs/>
                <w:color w:val="000000" w:themeColor="text1"/>
                <w:sz w:val="20"/>
                <w:szCs w:val="20"/>
              </w:rPr>
              <w:t>Productivity</w:t>
            </w:r>
          </w:p>
        </w:tc>
        <w:tc>
          <w:tcPr>
            <w:tcW w:w="7716" w:type="dxa"/>
          </w:tcPr>
          <w:p w:rsidR="00CE5420" w:rsidRPr="00AA6F1D" w:rsidRDefault="00CE5420" w:rsidP="00A54AF8">
            <w:pPr>
              <w:numPr>
                <w:ilvl w:val="0"/>
                <w:numId w:val="1"/>
              </w:numPr>
              <w:spacing w:after="0" w:line="240" w:lineRule="auto"/>
              <w:ind w:left="360"/>
              <w:rPr>
                <w:rFonts w:asciiTheme="minorHAnsi" w:hAnsiTheme="minorHAnsi" w:cs="Tahoma"/>
                <w:color w:val="000000" w:themeColor="text1"/>
                <w:sz w:val="20"/>
                <w:szCs w:val="20"/>
              </w:rPr>
            </w:pPr>
            <w:r w:rsidRPr="00AA6F1D">
              <w:rPr>
                <w:rFonts w:asciiTheme="minorHAnsi" w:hAnsiTheme="minorHAnsi" w:cs="Tahoma"/>
                <w:color w:val="000000" w:themeColor="text1"/>
                <w:sz w:val="20"/>
                <w:szCs w:val="20"/>
              </w:rPr>
              <w:t>The ACT Language Services Policy aims to remove language barriers to improve economic participation through both direct and indirect measures. Direct measures include supporting access to employment. Indirect measures include improving access to sustainable housing security and health needs.</w:t>
            </w:r>
          </w:p>
        </w:tc>
      </w:tr>
      <w:tr w:rsidR="00CE5420" w:rsidRPr="0045472F" w:rsidTr="00A54AF8">
        <w:trPr>
          <w:jc w:val="center"/>
        </w:trPr>
        <w:tc>
          <w:tcPr>
            <w:tcW w:w="1526" w:type="dxa"/>
            <w:shd w:val="clear" w:color="auto" w:fill="92D050"/>
          </w:tcPr>
          <w:p w:rsidR="00CE5420" w:rsidRPr="0045472F" w:rsidRDefault="00CE5420" w:rsidP="00A54AF8">
            <w:pPr>
              <w:jc w:val="both"/>
              <w:rPr>
                <w:rFonts w:asciiTheme="minorHAnsi" w:hAnsiTheme="minorHAnsi"/>
                <w:b/>
                <w:bCs/>
                <w:color w:val="000000" w:themeColor="text1"/>
                <w:sz w:val="20"/>
                <w:szCs w:val="20"/>
              </w:rPr>
            </w:pPr>
            <w:r w:rsidRPr="0045472F">
              <w:rPr>
                <w:rFonts w:asciiTheme="minorHAnsi" w:hAnsiTheme="minorHAnsi"/>
                <w:b/>
                <w:bCs/>
                <w:color w:val="000000" w:themeColor="text1"/>
                <w:sz w:val="20"/>
                <w:szCs w:val="20"/>
              </w:rPr>
              <w:t>Investment</w:t>
            </w:r>
          </w:p>
        </w:tc>
        <w:tc>
          <w:tcPr>
            <w:tcW w:w="7716" w:type="dxa"/>
          </w:tcPr>
          <w:p w:rsidR="00CE5420" w:rsidRPr="00AA6F1D" w:rsidRDefault="00CE5420" w:rsidP="00A54AF8">
            <w:pPr>
              <w:numPr>
                <w:ilvl w:val="0"/>
                <w:numId w:val="1"/>
              </w:numPr>
              <w:spacing w:after="0" w:line="240" w:lineRule="auto"/>
              <w:ind w:left="360"/>
              <w:rPr>
                <w:rFonts w:asciiTheme="minorHAnsi" w:hAnsiTheme="minorHAnsi" w:cs="Tahoma"/>
                <w:color w:val="000000" w:themeColor="text1"/>
                <w:sz w:val="20"/>
                <w:szCs w:val="20"/>
              </w:rPr>
            </w:pPr>
            <w:r w:rsidRPr="00AA6F1D">
              <w:rPr>
                <w:rFonts w:asciiTheme="minorHAnsi" w:hAnsiTheme="minorHAnsi" w:cs="Tahoma"/>
                <w:color w:val="000000" w:themeColor="text1"/>
                <w:sz w:val="20"/>
                <w:szCs w:val="20"/>
              </w:rPr>
              <w:t xml:space="preserve">The ACT Language Services Policy is intended to have a positive economic impact on the whole of the ACT community through the greater economic and social participation of people from a culturally and linguistically diverse background.  </w:t>
            </w:r>
          </w:p>
        </w:tc>
      </w:tr>
      <w:tr w:rsidR="00CE5420" w:rsidRPr="0045472F" w:rsidTr="00A54AF8">
        <w:trPr>
          <w:jc w:val="center"/>
        </w:trPr>
        <w:tc>
          <w:tcPr>
            <w:tcW w:w="1526" w:type="dxa"/>
            <w:shd w:val="clear" w:color="auto" w:fill="0070C0"/>
          </w:tcPr>
          <w:p w:rsidR="00CE5420" w:rsidRPr="0045472F" w:rsidRDefault="00CE5420" w:rsidP="00A54AF8">
            <w:pPr>
              <w:jc w:val="both"/>
              <w:rPr>
                <w:rFonts w:asciiTheme="minorHAnsi" w:hAnsiTheme="minorHAnsi"/>
                <w:color w:val="000000" w:themeColor="text1"/>
                <w:sz w:val="20"/>
                <w:szCs w:val="20"/>
              </w:rPr>
            </w:pPr>
            <w:r w:rsidRPr="0045472F">
              <w:rPr>
                <w:rFonts w:asciiTheme="minorHAnsi" w:hAnsiTheme="minorHAnsi"/>
                <w:b/>
                <w:bCs/>
                <w:color w:val="000000" w:themeColor="text1"/>
                <w:sz w:val="20"/>
                <w:szCs w:val="20"/>
              </w:rPr>
              <w:t>Competition</w:t>
            </w:r>
          </w:p>
        </w:tc>
        <w:tc>
          <w:tcPr>
            <w:tcW w:w="7716" w:type="dxa"/>
          </w:tcPr>
          <w:p w:rsidR="00CE5420" w:rsidRPr="00AA6F1D" w:rsidRDefault="00CE5420" w:rsidP="00A54AF8">
            <w:pPr>
              <w:numPr>
                <w:ilvl w:val="0"/>
                <w:numId w:val="1"/>
              </w:numPr>
              <w:spacing w:after="0" w:line="240" w:lineRule="auto"/>
              <w:ind w:left="360"/>
              <w:rPr>
                <w:rFonts w:asciiTheme="minorHAnsi" w:hAnsiTheme="minorHAnsi" w:cs="Tahoma"/>
                <w:color w:val="000000" w:themeColor="text1"/>
                <w:sz w:val="20"/>
                <w:szCs w:val="20"/>
              </w:rPr>
            </w:pPr>
            <w:r w:rsidRPr="00AA6F1D">
              <w:rPr>
                <w:rFonts w:asciiTheme="minorHAnsi" w:hAnsiTheme="minorHAnsi" w:cs="Tahoma"/>
                <w:color w:val="000000" w:themeColor="text1"/>
                <w:sz w:val="20"/>
                <w:szCs w:val="20"/>
              </w:rPr>
              <w:t xml:space="preserve">There is no negative impacts to competition anticipated from the </w:t>
            </w:r>
            <w:r w:rsidRPr="00AA6F1D">
              <w:rPr>
                <w:rFonts w:asciiTheme="minorHAnsi" w:hAnsiTheme="minorHAnsi" w:cs="Tahoma"/>
                <w:color w:val="000000" w:themeColor="text1"/>
                <w:sz w:val="20"/>
                <w:szCs w:val="20"/>
              </w:rPr>
              <w:br/>
              <w:t>ACT Language Services Policy.</w:t>
            </w:r>
          </w:p>
        </w:tc>
      </w:tr>
    </w:tbl>
    <w:p w:rsidR="00CE5420" w:rsidRPr="0045472F" w:rsidRDefault="00CE5420" w:rsidP="00CE5420">
      <w:pPr>
        <w:spacing w:before="120" w:after="0"/>
        <w:jc w:val="both"/>
        <w:rPr>
          <w:rFonts w:asciiTheme="minorHAnsi" w:hAnsiTheme="minorHAnsi"/>
          <w:b/>
          <w:bCs/>
          <w:color w:val="000000" w:themeColor="text1"/>
          <w:sz w:val="20"/>
          <w:szCs w:val="20"/>
        </w:rPr>
      </w:pPr>
      <w:r w:rsidRPr="0045472F">
        <w:rPr>
          <w:rFonts w:asciiTheme="minorHAnsi" w:hAnsiTheme="minorHAnsi"/>
          <w:b/>
          <w:bCs/>
          <w:color w:val="000000" w:themeColor="text1"/>
          <w:sz w:val="20"/>
          <w:szCs w:val="20"/>
        </w:rPr>
        <w:t>Environmental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3"/>
        <w:gridCol w:w="7513"/>
      </w:tblGrid>
      <w:tr w:rsidR="00CE5420" w:rsidRPr="0045472F" w:rsidTr="00A54AF8">
        <w:trPr>
          <w:jc w:val="center"/>
        </w:trPr>
        <w:tc>
          <w:tcPr>
            <w:tcW w:w="1526" w:type="dxa"/>
            <w:shd w:val="clear" w:color="auto" w:fill="0070C0"/>
          </w:tcPr>
          <w:p w:rsidR="00CE5420" w:rsidRPr="0045472F" w:rsidRDefault="00CE5420" w:rsidP="00A54AF8">
            <w:pPr>
              <w:jc w:val="both"/>
              <w:rPr>
                <w:rFonts w:asciiTheme="minorHAnsi" w:hAnsiTheme="minorHAnsi"/>
                <w:color w:val="000000" w:themeColor="text1"/>
                <w:sz w:val="20"/>
                <w:szCs w:val="20"/>
              </w:rPr>
            </w:pPr>
            <w:r w:rsidRPr="0045472F">
              <w:rPr>
                <w:rFonts w:asciiTheme="minorHAnsi" w:hAnsiTheme="minorHAnsi"/>
                <w:b/>
                <w:bCs/>
                <w:color w:val="000000" w:themeColor="text1"/>
                <w:sz w:val="20"/>
                <w:szCs w:val="20"/>
              </w:rPr>
              <w:t>Energy</w:t>
            </w:r>
          </w:p>
        </w:tc>
        <w:tc>
          <w:tcPr>
            <w:tcW w:w="7716" w:type="dxa"/>
          </w:tcPr>
          <w:p w:rsidR="00CE5420" w:rsidRPr="0045472F" w:rsidRDefault="00CE5420" w:rsidP="00A54AF8">
            <w:pPr>
              <w:spacing w:after="0" w:line="240" w:lineRule="auto"/>
              <w:rPr>
                <w:rFonts w:asciiTheme="minorHAnsi" w:hAnsiTheme="minorHAnsi"/>
                <w:color w:val="000000" w:themeColor="text1"/>
                <w:sz w:val="20"/>
                <w:szCs w:val="20"/>
              </w:rPr>
            </w:pPr>
            <w:r w:rsidRPr="0045472F">
              <w:rPr>
                <w:rFonts w:asciiTheme="minorHAnsi" w:hAnsiTheme="minorHAnsi"/>
                <w:bCs/>
                <w:color w:val="000000" w:themeColor="text1"/>
                <w:sz w:val="20"/>
                <w:szCs w:val="20"/>
              </w:rPr>
              <w:t>There are no negative impacts to the environment anticipated from the</w:t>
            </w:r>
            <w:r w:rsidRPr="0045472F">
              <w:rPr>
                <w:rFonts w:asciiTheme="minorHAnsi" w:hAnsiTheme="minorHAnsi"/>
                <w:bCs/>
                <w:i/>
                <w:color w:val="000000" w:themeColor="text1"/>
                <w:sz w:val="20"/>
                <w:szCs w:val="20"/>
              </w:rPr>
              <w:t xml:space="preserve"> </w:t>
            </w:r>
            <w:r w:rsidRPr="0045472F">
              <w:rPr>
                <w:rFonts w:asciiTheme="minorHAnsi" w:hAnsiTheme="minorHAnsi"/>
                <w:bCs/>
                <w:i/>
                <w:color w:val="000000" w:themeColor="text1"/>
                <w:sz w:val="20"/>
                <w:szCs w:val="20"/>
              </w:rPr>
              <w:br/>
              <w:t>ACT Language Services Policy.</w:t>
            </w:r>
          </w:p>
        </w:tc>
      </w:tr>
    </w:tbl>
    <w:p w:rsidR="00CE5420" w:rsidRPr="0045472F" w:rsidRDefault="00CE5420" w:rsidP="00CE5420">
      <w:pPr>
        <w:spacing w:after="160" w:line="259" w:lineRule="auto"/>
        <w:rPr>
          <w:rFonts w:asciiTheme="minorHAnsi" w:hAnsiTheme="minorHAnsi"/>
          <w:color w:val="000000" w:themeColor="text1"/>
          <w:sz w:val="20"/>
          <w:szCs w:val="20"/>
        </w:rPr>
      </w:pPr>
    </w:p>
    <w:p w:rsidR="00CE5420" w:rsidRPr="0045472F" w:rsidRDefault="00CE5420" w:rsidP="00CE5420">
      <w:pPr>
        <w:spacing w:after="160" w:line="259" w:lineRule="auto"/>
        <w:rPr>
          <w:rFonts w:asciiTheme="minorHAnsi" w:hAnsiTheme="minorHAnsi"/>
          <w:color w:val="000000" w:themeColor="text1"/>
          <w:sz w:val="20"/>
          <w:szCs w:val="20"/>
        </w:rPr>
      </w:pPr>
      <w:bookmarkStart w:id="0" w:name="_GoBack"/>
      <w:bookmarkEnd w:id="0"/>
    </w:p>
    <w:p w:rsidR="00EC4C52" w:rsidRDefault="00EC4C52"/>
    <w:sectPr w:rsidR="00EC4C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6461B"/>
    <w:multiLevelType w:val="hybridMultilevel"/>
    <w:tmpl w:val="7696F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575"/>
    <w:rsid w:val="000A1575"/>
    <w:rsid w:val="00AC51BF"/>
    <w:rsid w:val="00CE5420"/>
    <w:rsid w:val="00EC4C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FE7BBC-1A9E-4156-90C8-730CBF402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1BF"/>
    <w:pPr>
      <w:spacing w:after="200" w:line="276" w:lineRule="auto"/>
    </w:pPr>
    <w:rPr>
      <w:rFonts w:ascii="Arial" w:eastAsia="Times New Roman" w:hAnsi="Arial" w:cs="Arial"/>
      <w:sz w:val="21"/>
      <w:szCs w:val="2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7D81A0-734E-4991-9991-34C162FD1867}"/>
</file>

<file path=customXml/itemProps2.xml><?xml version="1.0" encoding="utf-8"?>
<ds:datastoreItem xmlns:ds="http://schemas.openxmlformats.org/officeDocument/2006/customXml" ds:itemID="{AD99AF51-E1B0-4C53-9DD3-595242608727}"/>
</file>

<file path=customXml/itemProps3.xml><?xml version="1.0" encoding="utf-8"?>
<ds:datastoreItem xmlns:ds="http://schemas.openxmlformats.org/officeDocument/2006/customXml" ds:itemID="{480FFA65-3E34-4535-9F98-060AAF908A34}"/>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1284</Characters>
  <Application>Microsoft Office Word</Application>
  <DocSecurity>0</DocSecurity>
  <Lines>10</Lines>
  <Paragraphs>3</Paragraphs>
  <ScaleCrop>false</ScaleCrop>
  <Company>ACT Government</Company>
  <LinksUpToDate>false</LinksUpToDate>
  <CharactersWithSpaces>1506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Hood, Amy</dc:creator>
  <cp:keywords/>
  <dc:description/>
  <cp:lastModifiedBy>Hood, Amy</cp:lastModifiedBy>
  <cp:revision>3</cp:revision>
  <dcterms:created xsi:type="dcterms:W3CDTF">2018-12-13T22:54:00Z</dcterms:created>
  <dcterms:modified xsi:type="dcterms:W3CDTF">2018-12-19T01:22:00Z</dcterms:modified>
</cp:coreProperties>
</file>