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55017" w14:textId="009D7CCA" w:rsidR="005E69BD" w:rsidRPr="001628EB" w:rsidRDefault="00BD2CB1">
      <w:pPr>
        <w:spacing w:before="0" w:after="160" w:line="259" w:lineRule="auto"/>
        <w:rPr>
          <w:rFonts w:ascii="Arial" w:hAnsi="Arial"/>
          <w:b/>
          <w:caps/>
          <w:color w:val="000000" w:themeColor="text1"/>
          <w:kern w:val="28"/>
          <w:sz w:val="44"/>
        </w:rPr>
      </w:pPr>
      <w:r>
        <w:rPr>
          <w:b/>
          <w:caps/>
          <w:noProof/>
          <w:color w:val="000000" w:themeColor="text1"/>
          <w:sz w:val="44"/>
        </w:rPr>
        <mc:AlternateContent>
          <mc:Choice Requires="wps">
            <w:drawing>
              <wp:anchor distT="0" distB="0" distL="114300" distR="114300" simplePos="0" relativeHeight="251662336" behindDoc="0" locked="0" layoutInCell="1" allowOverlap="1" wp14:anchorId="59948A67" wp14:editId="242CF66C">
                <wp:simplePos x="0" y="0"/>
                <wp:positionH relativeFrom="margin">
                  <wp:align>right</wp:align>
                </wp:positionH>
                <wp:positionV relativeFrom="paragraph">
                  <wp:posOffset>1499234</wp:posOffset>
                </wp:positionV>
                <wp:extent cx="5287736" cy="3571875"/>
                <wp:effectExtent l="0" t="0" r="0" b="0"/>
                <wp:wrapNone/>
                <wp:docPr id="22" name="Text Box 22"/>
                <wp:cNvGraphicFramePr/>
                <a:graphic xmlns:a="http://schemas.openxmlformats.org/drawingml/2006/main">
                  <a:graphicData uri="http://schemas.microsoft.com/office/word/2010/wordprocessingShape">
                    <wps:wsp>
                      <wps:cNvSpPr txBox="1"/>
                      <wps:spPr>
                        <a:xfrm>
                          <a:off x="0" y="0"/>
                          <a:ext cx="5287736" cy="3571875"/>
                        </a:xfrm>
                        <a:prstGeom prst="rect">
                          <a:avLst/>
                        </a:prstGeom>
                        <a:noFill/>
                        <a:ln w="6350">
                          <a:noFill/>
                        </a:ln>
                      </wps:spPr>
                      <wps:txbx>
                        <w:txbxContent>
                          <w:p w14:paraId="1FC37179" w14:textId="4B7A4605" w:rsidR="00F939BC" w:rsidRDefault="00D31877" w:rsidP="00D17F50">
                            <w:pPr>
                              <w:pStyle w:val="Title"/>
                              <w:spacing w:after="0"/>
                            </w:pPr>
                            <w:bookmarkStart w:id="0" w:name="_Toc158122211"/>
                            <w:bookmarkStart w:id="1" w:name="_Toc163155580"/>
                            <w:r>
                              <w:t>Attraction and Retention Incentives Policy</w:t>
                            </w:r>
                            <w:bookmarkEnd w:id="0"/>
                            <w:bookmarkEnd w:id="1"/>
                          </w:p>
                          <w:p w14:paraId="6B887E2D" w14:textId="16185605" w:rsidR="00F939BC" w:rsidRPr="00F939BC" w:rsidRDefault="00D31877" w:rsidP="00D31877">
                            <w:pPr>
                              <w:pStyle w:val="Subtitle"/>
                              <w:spacing w:before="240" w:line="240" w:lineRule="auto"/>
                              <w:jc w:val="left"/>
                            </w:pPr>
                            <w:r>
                              <w:t>Office of Industrial Relations and Workforce Strategy</w:t>
                            </w:r>
                          </w:p>
                          <w:p w14:paraId="67F06E80" w14:textId="793B4BFF" w:rsidR="00F939BC" w:rsidRPr="00222C35" w:rsidRDefault="00BD2CB1" w:rsidP="00D17F50">
                            <w:pPr>
                              <w:pStyle w:val="IntroParagraph"/>
                              <w:spacing w:before="0" w:after="0"/>
                              <w:rPr>
                                <w:color w:val="FFFFFF" w:themeColor="background1"/>
                              </w:rPr>
                            </w:pPr>
                            <w:r>
                              <w:rPr>
                                <w:color w:val="FFFFFF" w:themeColor="background1"/>
                              </w:rPr>
                              <w:t>Chief Minister, Treasury and Economic Development Directorate (CMTEDD)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948A67" id="_x0000_t202" coordsize="21600,21600" o:spt="202" path="m,l,21600r21600,l21600,xe">
                <v:stroke joinstyle="miter"/>
                <v:path gradientshapeok="t" o:connecttype="rect"/>
              </v:shapetype>
              <v:shape id="Text Box 22" o:spid="_x0000_s1026" type="#_x0000_t202" style="position:absolute;margin-left:365.15pt;margin-top:118.05pt;width:416.35pt;height:281.2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" filled="f" stroked="f" strokeweight=".5pt">
                <v:textbox>
                  <w:txbxContent>
                    <w:p w14:paraId="1FC37179" w14:textId="4B7A4605" w:rsidR="00F939BC" w:rsidRDefault="00D31877" w:rsidP="00D17F50">
                      <w:pPr>
                        <w:pStyle w:val="Title"/>
                        <w:spacing w:after="0"/>
                      </w:pPr>
                      <w:bookmarkStart w:id="2" w:name="_Toc158122211"/>
                      <w:bookmarkStart w:id="3" w:name="_Toc163155580"/>
                      <w:r>
                        <w:t>Attraction and Retention Incentives Policy</w:t>
                      </w:r>
                      <w:bookmarkEnd w:id="2"/>
                      <w:bookmarkEnd w:id="3"/>
                    </w:p>
                    <w:p w14:paraId="6B887E2D" w14:textId="16185605" w:rsidR="00F939BC" w:rsidRPr="00F939BC" w:rsidRDefault="00D31877" w:rsidP="00D31877">
                      <w:pPr>
                        <w:pStyle w:val="Subtitle"/>
                        <w:spacing w:before="240" w:line="240" w:lineRule="auto"/>
                        <w:jc w:val="left"/>
                      </w:pPr>
                      <w:r>
                        <w:t>Office of Industrial Relations and Workforce Strategy</w:t>
                      </w:r>
                    </w:p>
                    <w:p w14:paraId="67F06E80" w14:textId="793B4BFF" w:rsidR="00F939BC" w:rsidRPr="00222C35" w:rsidRDefault="00BD2CB1" w:rsidP="00D17F50">
                      <w:pPr>
                        <w:pStyle w:val="IntroParagraph"/>
                        <w:spacing w:before="0" w:after="0"/>
                        <w:rPr>
                          <w:color w:val="FFFFFF" w:themeColor="background1"/>
                        </w:rPr>
                      </w:pPr>
                      <w:r>
                        <w:rPr>
                          <w:color w:val="FFFFFF" w:themeColor="background1"/>
                        </w:rPr>
                        <w:t>Chief Minister, Treasury and Economic Development Directorate (CMTEDD)</w:t>
                      </w:r>
                    </w:p>
                  </w:txbxContent>
                </v:textbox>
                <w10:wrap anchorx="margin"/>
              </v:shape>
            </w:pict>
          </mc:Fallback>
        </mc:AlternateContent>
      </w:r>
      <w:r w:rsidR="00797552">
        <w:rPr>
          <w:b/>
          <w:caps/>
          <w:noProof/>
          <w:color w:val="000000" w:themeColor="text1"/>
          <w:sz w:val="44"/>
        </w:rPr>
        <mc:AlternateContent>
          <mc:Choice Requires="wps">
            <w:drawing>
              <wp:anchor distT="0" distB="0" distL="114300" distR="114300" simplePos="0" relativeHeight="251661312" behindDoc="0" locked="0" layoutInCell="1" allowOverlap="1" wp14:anchorId="5C356A46" wp14:editId="17A13B8A">
                <wp:simplePos x="0" y="0"/>
                <wp:positionH relativeFrom="column">
                  <wp:posOffset>-50619</wp:posOffset>
                </wp:positionH>
                <wp:positionV relativeFrom="paragraph">
                  <wp:posOffset>8619853</wp:posOffset>
                </wp:positionV>
                <wp:extent cx="5080000" cy="800100"/>
                <wp:effectExtent l="0" t="0" r="0" b="0"/>
                <wp:wrapNone/>
                <wp:docPr id="25" name="Text Box 25"/>
                <wp:cNvGraphicFramePr/>
                <a:graphic xmlns:a="http://schemas.openxmlformats.org/drawingml/2006/main">
                  <a:graphicData uri="http://schemas.microsoft.com/office/word/2010/wordprocessingShape">
                    <wps:wsp>
                      <wps:cNvSpPr txBox="1"/>
                      <wps:spPr>
                        <a:xfrm>
                          <a:off x="0" y="0"/>
                          <a:ext cx="5080000" cy="800100"/>
                        </a:xfrm>
                        <a:prstGeom prst="rect">
                          <a:avLst/>
                        </a:prstGeom>
                        <a:noFill/>
                        <a:ln w="6350">
                          <a:noFill/>
                        </a:ln>
                      </wps:spPr>
                      <wps:txbx>
                        <w:txbxContent>
                          <w:p w14:paraId="63333CCA" w14:textId="00D4D822" w:rsidR="00797552" w:rsidRPr="00797552" w:rsidRDefault="00797552" w:rsidP="00797552">
                            <w:pPr>
                              <w:pStyle w:val="Directoratename"/>
                              <w:spacing w:line="240" w:lineRule="auto"/>
                              <w:rPr>
                                <w:color w:val="000000" w:themeColor="text1"/>
                                <w:sz w:val="26"/>
                                <w:szCs w:val="26"/>
                              </w:rPr>
                            </w:pPr>
                            <w:r w:rsidRPr="00797552">
                              <w:rPr>
                                <w:color w:val="000000" w:themeColor="text1"/>
                                <w:sz w:val="26"/>
                                <w:szCs w:val="26"/>
                              </w:rPr>
                              <w:t xml:space="preserve">Policy Number: </w:t>
                            </w:r>
                            <w:r w:rsidR="007849C3">
                              <w:rPr>
                                <w:color w:val="000000" w:themeColor="text1"/>
                                <w:sz w:val="26"/>
                                <w:szCs w:val="26"/>
                              </w:rPr>
                              <w:t>7/2024</w:t>
                            </w:r>
                          </w:p>
                          <w:p w14:paraId="6216E613" w14:textId="0B159776" w:rsidR="00222C35" w:rsidRPr="00825C83" w:rsidRDefault="00797552" w:rsidP="00797552">
                            <w:pPr>
                              <w:pStyle w:val="Directoratename"/>
                              <w:spacing w:line="240" w:lineRule="auto"/>
                            </w:pPr>
                            <w:r w:rsidRPr="00797552">
                              <w:rPr>
                                <w:color w:val="000000" w:themeColor="text1"/>
                                <w:sz w:val="26"/>
                                <w:szCs w:val="26"/>
                              </w:rPr>
                              <w:t>Issued:</w:t>
                            </w:r>
                            <w:r w:rsidR="007849C3">
                              <w:rPr>
                                <w:color w:val="000000" w:themeColor="text1"/>
                                <w:sz w:val="26"/>
                                <w:szCs w:val="26"/>
                              </w:rPr>
                              <w:t xml:space="preserve"> April 2024</w:t>
                            </w:r>
                            <w: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356A46" id="Text Box 25" o:spid="_x0000_s1027" type="#_x0000_t202" style="position:absolute;margin-left:-4pt;margin-top:678.75pt;width:400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" filled="f" stroked="f" strokeweight=".5pt">
                <v:textbox>
                  <w:txbxContent>
                    <w:p w14:paraId="63333CCA" w14:textId="00D4D822" w:rsidR="00797552" w:rsidRPr="00797552" w:rsidRDefault="00797552" w:rsidP="00797552">
                      <w:pPr>
                        <w:pStyle w:val="Directoratename"/>
                        <w:spacing w:line="240" w:lineRule="auto"/>
                        <w:rPr>
                          <w:color w:val="000000" w:themeColor="text1"/>
                          <w:sz w:val="26"/>
                          <w:szCs w:val="26"/>
                        </w:rPr>
                      </w:pPr>
                      <w:r w:rsidRPr="00797552">
                        <w:rPr>
                          <w:color w:val="000000" w:themeColor="text1"/>
                          <w:sz w:val="26"/>
                          <w:szCs w:val="26"/>
                        </w:rPr>
                        <w:t xml:space="preserve">Policy Number: </w:t>
                      </w:r>
                      <w:r w:rsidR="007849C3">
                        <w:rPr>
                          <w:color w:val="000000" w:themeColor="text1"/>
                          <w:sz w:val="26"/>
                          <w:szCs w:val="26"/>
                        </w:rPr>
                        <w:t>7/2024</w:t>
                      </w:r>
                    </w:p>
                    <w:p w14:paraId="6216E613" w14:textId="0B159776" w:rsidR="00222C35" w:rsidRPr="00825C83" w:rsidRDefault="00797552" w:rsidP="00797552">
                      <w:pPr>
                        <w:pStyle w:val="Directoratename"/>
                        <w:spacing w:line="240" w:lineRule="auto"/>
                      </w:pPr>
                      <w:r w:rsidRPr="00797552">
                        <w:rPr>
                          <w:color w:val="000000" w:themeColor="text1"/>
                          <w:sz w:val="26"/>
                          <w:szCs w:val="26"/>
                        </w:rPr>
                        <w:t>Issued:</w:t>
                      </w:r>
                      <w:r w:rsidR="007849C3">
                        <w:rPr>
                          <w:color w:val="000000" w:themeColor="text1"/>
                          <w:sz w:val="26"/>
                          <w:szCs w:val="26"/>
                        </w:rPr>
                        <w:t xml:space="preserve"> April 2024</w:t>
                      </w:r>
                      <w:r>
                        <w:br/>
                      </w:r>
                    </w:p>
                  </w:txbxContent>
                </v:textbox>
              </v:shape>
            </w:pict>
          </mc:Fallback>
        </mc:AlternateContent>
      </w:r>
      <w:r w:rsidR="007227F0">
        <w:rPr>
          <w:noProof/>
          <w:color w:val="000000" w:themeColor="text1"/>
        </w:rPr>
        <w:drawing>
          <wp:anchor distT="0" distB="0" distL="114300" distR="114300" simplePos="0" relativeHeight="251658240" behindDoc="0" locked="0" layoutInCell="1" allowOverlap="1" wp14:anchorId="61CEEF2A" wp14:editId="516CF417">
            <wp:simplePos x="0" y="0"/>
            <wp:positionH relativeFrom="margin">
              <wp:align>left</wp:align>
            </wp:positionH>
            <wp:positionV relativeFrom="paragraph">
              <wp:posOffset>187325</wp:posOffset>
            </wp:positionV>
            <wp:extent cx="1753235" cy="890270"/>
            <wp:effectExtent l="0" t="0" r="0" b="0"/>
            <wp:wrapNone/>
            <wp:docPr id="16" name="Picture 16" descr="ACT Government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CT Government crest"/>
                    <pic:cNvPicPr/>
                  </pic:nvPicPr>
                  <pic:blipFill>
                    <a:blip r:embed="rId11">
                      <a:extLst>
                        <a:ext uri="{28A0092B-C50C-407E-A947-70E740481C1C}">
                          <a14:useLocalDpi xmlns:a14="http://schemas.microsoft.com/office/drawing/2010/main" val="0"/>
                        </a:ext>
                      </a:extLst>
                    </a:blip>
                    <a:stretch>
                      <a:fillRect/>
                    </a:stretch>
                  </pic:blipFill>
                  <pic:spPr>
                    <a:xfrm>
                      <a:off x="0" y="0"/>
                      <a:ext cx="1753235" cy="890422"/>
                    </a:xfrm>
                    <a:prstGeom prst="rect">
                      <a:avLst/>
                    </a:prstGeom>
                  </pic:spPr>
                </pic:pic>
              </a:graphicData>
            </a:graphic>
            <wp14:sizeRelH relativeFrom="page">
              <wp14:pctWidth>0</wp14:pctWidth>
            </wp14:sizeRelH>
            <wp14:sizeRelV relativeFrom="page">
              <wp14:pctHeight>0</wp14:pctHeight>
            </wp14:sizeRelV>
          </wp:anchor>
        </w:drawing>
      </w:r>
      <w:r w:rsidR="00825C83">
        <w:rPr>
          <w:noProof/>
        </w:rPr>
        <w:drawing>
          <wp:anchor distT="0" distB="0" distL="114300" distR="114300" simplePos="0" relativeHeight="251657215" behindDoc="1" locked="0" layoutInCell="1" allowOverlap="1" wp14:anchorId="7838AA5C" wp14:editId="6172B5D9">
            <wp:simplePos x="0" y="0"/>
            <wp:positionH relativeFrom="column">
              <wp:posOffset>-364490</wp:posOffset>
            </wp:positionH>
            <wp:positionV relativeFrom="paragraph">
              <wp:posOffset>-434340</wp:posOffset>
            </wp:positionV>
            <wp:extent cx="6885305" cy="10690225"/>
            <wp:effectExtent l="0" t="0" r="0"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2" r:link="rId13">
                      <a:extLst>
                        <a:ext uri="{28A0092B-C50C-407E-A947-70E740481C1C}">
                          <a14:useLocalDpi xmlns:a14="http://schemas.microsoft.com/office/drawing/2010/main" val="0"/>
                        </a:ext>
                      </a:extLst>
                    </a:blip>
                    <a:stretch>
                      <a:fillRect/>
                    </a:stretch>
                  </pic:blipFill>
                  <pic:spPr>
                    <a:xfrm>
                      <a:off x="0" y="0"/>
                      <a:ext cx="6885305" cy="10690225"/>
                    </a:xfrm>
                    <a:prstGeom prst="rect">
                      <a:avLst/>
                    </a:prstGeom>
                  </pic:spPr>
                </pic:pic>
              </a:graphicData>
            </a:graphic>
            <wp14:sizeRelH relativeFrom="page">
              <wp14:pctWidth>0</wp14:pctWidth>
            </wp14:sizeRelH>
            <wp14:sizeRelV relativeFrom="page">
              <wp14:pctHeight>0</wp14:pctHeight>
            </wp14:sizeRelV>
          </wp:anchor>
        </w:drawing>
      </w:r>
      <w:bookmarkStart w:id="4" w:name="OLE_LINK2"/>
      <w:bookmarkEnd w:id="4"/>
      <w:r w:rsidR="005E69BD">
        <w:br w:type="page"/>
      </w:r>
    </w:p>
    <w:p w14:paraId="2926E197" w14:textId="77777777" w:rsidR="009266DD" w:rsidRDefault="009266DD" w:rsidP="00825C83">
      <w:pPr>
        <w:pStyle w:val="Heading1"/>
        <w:sectPr w:rsidR="009266DD" w:rsidSect="00F51125">
          <w:headerReference w:type="even" r:id="rId14"/>
          <w:headerReference w:type="default" r:id="rId15"/>
          <w:footerReference w:type="even" r:id="rId16"/>
          <w:footerReference w:type="default" r:id="rId17"/>
          <w:headerReference w:type="first" r:id="rId18"/>
          <w:footerReference w:type="first" r:id="rId19"/>
          <w:type w:val="continuous"/>
          <w:pgSz w:w="11907" w:h="16840" w:code="9"/>
          <w:pgMar w:top="1134" w:right="1134" w:bottom="1701" w:left="1134" w:header="567" w:footer="254" w:gutter="0"/>
          <w:cols w:num="2" w:space="720"/>
          <w:titlePg/>
          <w:docGrid w:linePitch="299"/>
        </w:sectPr>
      </w:pPr>
    </w:p>
    <w:p w14:paraId="72484448" w14:textId="3B227F5D" w:rsidR="004532BF" w:rsidRPr="006F367A" w:rsidRDefault="004532BF" w:rsidP="004532BF">
      <w:pPr>
        <w:pStyle w:val="Heading1"/>
      </w:pPr>
      <w:bookmarkStart w:id="5" w:name="_Toc158122212"/>
      <w:bookmarkStart w:id="6" w:name="_Toc163155581"/>
      <w:r>
        <w:lastRenderedPageBreak/>
        <w:t>Contents</w:t>
      </w:r>
      <w:bookmarkEnd w:id="5"/>
      <w:bookmarkEnd w:id="6"/>
    </w:p>
    <w:sdt>
      <w:sdtPr>
        <w:rPr>
          <w:rFonts w:ascii="Calibri" w:eastAsia="Times New Roman" w:hAnsi="Calibri" w:cs="Times New Roman"/>
          <w:color w:val="auto"/>
          <w:sz w:val="22"/>
          <w:szCs w:val="20"/>
          <w:lang w:val="en-AU"/>
        </w:rPr>
        <w:id w:val="-555166187"/>
        <w:docPartObj>
          <w:docPartGallery w:val="Table of Contents"/>
          <w:docPartUnique/>
        </w:docPartObj>
      </w:sdtPr>
      <w:sdtEndPr>
        <w:rPr>
          <w:b/>
          <w:bCs/>
          <w:noProof/>
        </w:rPr>
      </w:sdtEndPr>
      <w:sdtContent>
        <w:p w14:paraId="06309A03" w14:textId="6D00DDB6" w:rsidR="00CD436C" w:rsidRDefault="00CD436C">
          <w:pPr>
            <w:pStyle w:val="TOCHeading"/>
          </w:pPr>
        </w:p>
        <w:p w14:paraId="142B8D94" w14:textId="33B246DE" w:rsidR="002414B3" w:rsidRDefault="00CD436C">
          <w:pPr>
            <w:pStyle w:val="TOC1"/>
            <w:tabs>
              <w:tab w:val="right" w:leader="dot" w:pos="9629"/>
            </w:tabs>
            <w:rPr>
              <w:rFonts w:asciiTheme="minorHAnsi" w:eastAsiaTheme="minorEastAsia" w:hAnsiTheme="minorHAnsi" w:cstheme="minorBidi"/>
              <w:noProof/>
              <w:kern w:val="2"/>
              <w:szCs w:val="22"/>
              <w:lang w:eastAsia="en-AU"/>
              <w14:ligatures w14:val="standardContextual"/>
            </w:rPr>
          </w:pPr>
          <w:r>
            <w:fldChar w:fldCharType="begin"/>
          </w:r>
          <w:r>
            <w:instrText xml:space="preserve"> TOC \o "1-3" \h \z \u </w:instrText>
          </w:r>
          <w:r>
            <w:fldChar w:fldCharType="separate"/>
          </w:r>
          <w:hyperlink w:anchor="_Toc163155580" w:history="1">
            <w:r w:rsidR="002414B3" w:rsidRPr="00E224D2">
              <w:rPr>
                <w:rStyle w:val="Hyperlink"/>
                <w:noProof/>
              </w:rPr>
              <w:t>Attraction and Retention Incentives Policy</w:t>
            </w:r>
            <w:r w:rsidR="002414B3">
              <w:rPr>
                <w:noProof/>
                <w:webHidden/>
              </w:rPr>
              <w:tab/>
            </w:r>
            <w:r w:rsidR="002414B3">
              <w:rPr>
                <w:noProof/>
                <w:webHidden/>
              </w:rPr>
              <w:fldChar w:fldCharType="begin"/>
            </w:r>
            <w:r w:rsidR="002414B3">
              <w:rPr>
                <w:noProof/>
                <w:webHidden/>
              </w:rPr>
              <w:instrText xml:space="preserve"> PAGEREF _Toc163155580 \h </w:instrText>
            </w:r>
            <w:r w:rsidR="002414B3">
              <w:rPr>
                <w:noProof/>
                <w:webHidden/>
              </w:rPr>
            </w:r>
            <w:r w:rsidR="002414B3">
              <w:rPr>
                <w:noProof/>
                <w:webHidden/>
              </w:rPr>
              <w:fldChar w:fldCharType="separate"/>
            </w:r>
            <w:r w:rsidR="002414B3">
              <w:rPr>
                <w:noProof/>
                <w:webHidden/>
              </w:rPr>
              <w:t>1</w:t>
            </w:r>
            <w:r w:rsidR="002414B3">
              <w:rPr>
                <w:noProof/>
                <w:webHidden/>
              </w:rPr>
              <w:fldChar w:fldCharType="end"/>
            </w:r>
          </w:hyperlink>
        </w:p>
        <w:p w14:paraId="65E3252E" w14:textId="4D8CE1B8" w:rsidR="002414B3" w:rsidRDefault="00B330AF">
          <w:pPr>
            <w:pStyle w:val="TOC1"/>
            <w:tabs>
              <w:tab w:val="right" w:leader="dot" w:pos="9629"/>
            </w:tabs>
            <w:rPr>
              <w:rFonts w:asciiTheme="minorHAnsi" w:eastAsiaTheme="minorEastAsia" w:hAnsiTheme="minorHAnsi" w:cstheme="minorBidi"/>
              <w:noProof/>
              <w:kern w:val="2"/>
              <w:szCs w:val="22"/>
              <w:lang w:eastAsia="en-AU"/>
              <w14:ligatures w14:val="standardContextual"/>
            </w:rPr>
          </w:pPr>
          <w:hyperlink w:anchor="_Toc163155581" w:history="1">
            <w:r w:rsidR="002414B3" w:rsidRPr="00E224D2">
              <w:rPr>
                <w:rStyle w:val="Hyperlink"/>
                <w:noProof/>
              </w:rPr>
              <w:t>Contents</w:t>
            </w:r>
            <w:r w:rsidR="002414B3">
              <w:rPr>
                <w:noProof/>
                <w:webHidden/>
              </w:rPr>
              <w:tab/>
            </w:r>
            <w:r w:rsidR="002414B3">
              <w:rPr>
                <w:noProof/>
                <w:webHidden/>
              </w:rPr>
              <w:fldChar w:fldCharType="begin"/>
            </w:r>
            <w:r w:rsidR="002414B3">
              <w:rPr>
                <w:noProof/>
                <w:webHidden/>
              </w:rPr>
              <w:instrText xml:space="preserve"> PAGEREF _Toc163155581 \h </w:instrText>
            </w:r>
            <w:r w:rsidR="002414B3">
              <w:rPr>
                <w:noProof/>
                <w:webHidden/>
              </w:rPr>
            </w:r>
            <w:r w:rsidR="002414B3">
              <w:rPr>
                <w:noProof/>
                <w:webHidden/>
              </w:rPr>
              <w:fldChar w:fldCharType="separate"/>
            </w:r>
            <w:r w:rsidR="002414B3">
              <w:rPr>
                <w:noProof/>
                <w:webHidden/>
              </w:rPr>
              <w:t>2</w:t>
            </w:r>
            <w:r w:rsidR="002414B3">
              <w:rPr>
                <w:noProof/>
                <w:webHidden/>
              </w:rPr>
              <w:fldChar w:fldCharType="end"/>
            </w:r>
          </w:hyperlink>
        </w:p>
        <w:p w14:paraId="56163B50" w14:textId="5BF2D9BD" w:rsidR="002414B3" w:rsidRDefault="00B330AF">
          <w:pPr>
            <w:pStyle w:val="TOC1"/>
            <w:tabs>
              <w:tab w:val="right" w:leader="dot" w:pos="9629"/>
            </w:tabs>
            <w:rPr>
              <w:rFonts w:asciiTheme="minorHAnsi" w:eastAsiaTheme="minorEastAsia" w:hAnsiTheme="minorHAnsi" w:cstheme="minorBidi"/>
              <w:noProof/>
              <w:kern w:val="2"/>
              <w:szCs w:val="22"/>
              <w:lang w:eastAsia="en-AU"/>
              <w14:ligatures w14:val="standardContextual"/>
            </w:rPr>
          </w:pPr>
          <w:hyperlink w:anchor="_Toc163155582" w:history="1">
            <w:r w:rsidR="002414B3" w:rsidRPr="00E224D2">
              <w:rPr>
                <w:rStyle w:val="Hyperlink"/>
                <w:noProof/>
              </w:rPr>
              <w:t>Attraction and Retention Incentives Policy</w:t>
            </w:r>
            <w:r w:rsidR="002414B3">
              <w:rPr>
                <w:noProof/>
                <w:webHidden/>
              </w:rPr>
              <w:tab/>
            </w:r>
            <w:r w:rsidR="002414B3">
              <w:rPr>
                <w:noProof/>
                <w:webHidden/>
              </w:rPr>
              <w:fldChar w:fldCharType="begin"/>
            </w:r>
            <w:r w:rsidR="002414B3">
              <w:rPr>
                <w:noProof/>
                <w:webHidden/>
              </w:rPr>
              <w:instrText xml:space="preserve"> PAGEREF _Toc163155582 \h </w:instrText>
            </w:r>
            <w:r w:rsidR="002414B3">
              <w:rPr>
                <w:noProof/>
                <w:webHidden/>
              </w:rPr>
            </w:r>
            <w:r w:rsidR="002414B3">
              <w:rPr>
                <w:noProof/>
                <w:webHidden/>
              </w:rPr>
              <w:fldChar w:fldCharType="separate"/>
            </w:r>
            <w:r w:rsidR="002414B3">
              <w:rPr>
                <w:noProof/>
                <w:webHidden/>
              </w:rPr>
              <w:t>4</w:t>
            </w:r>
            <w:r w:rsidR="002414B3">
              <w:rPr>
                <w:noProof/>
                <w:webHidden/>
              </w:rPr>
              <w:fldChar w:fldCharType="end"/>
            </w:r>
          </w:hyperlink>
        </w:p>
        <w:p w14:paraId="2DEE5197" w14:textId="17028AAC" w:rsidR="002414B3" w:rsidRDefault="00B330AF">
          <w:pPr>
            <w:pStyle w:val="TOC2"/>
            <w:tabs>
              <w:tab w:val="right" w:leader="dot" w:pos="9629"/>
            </w:tabs>
            <w:rPr>
              <w:rFonts w:asciiTheme="minorHAnsi" w:eastAsiaTheme="minorEastAsia" w:hAnsiTheme="minorHAnsi" w:cstheme="minorBidi"/>
              <w:noProof/>
              <w:kern w:val="2"/>
              <w:szCs w:val="22"/>
              <w:lang w:eastAsia="en-AU"/>
              <w14:ligatures w14:val="standardContextual"/>
            </w:rPr>
          </w:pPr>
          <w:hyperlink w:anchor="_Toc163155583" w:history="1">
            <w:r w:rsidR="002414B3" w:rsidRPr="00E224D2">
              <w:rPr>
                <w:rStyle w:val="Hyperlink"/>
                <w:noProof/>
              </w:rPr>
              <w:t>Introduction / Purpose</w:t>
            </w:r>
            <w:r w:rsidR="002414B3">
              <w:rPr>
                <w:noProof/>
                <w:webHidden/>
              </w:rPr>
              <w:tab/>
            </w:r>
            <w:r w:rsidR="002414B3">
              <w:rPr>
                <w:noProof/>
                <w:webHidden/>
              </w:rPr>
              <w:fldChar w:fldCharType="begin"/>
            </w:r>
            <w:r w:rsidR="002414B3">
              <w:rPr>
                <w:noProof/>
                <w:webHidden/>
              </w:rPr>
              <w:instrText xml:space="preserve"> PAGEREF _Toc163155583 \h </w:instrText>
            </w:r>
            <w:r w:rsidR="002414B3">
              <w:rPr>
                <w:noProof/>
                <w:webHidden/>
              </w:rPr>
            </w:r>
            <w:r w:rsidR="002414B3">
              <w:rPr>
                <w:noProof/>
                <w:webHidden/>
              </w:rPr>
              <w:fldChar w:fldCharType="separate"/>
            </w:r>
            <w:r w:rsidR="002414B3">
              <w:rPr>
                <w:noProof/>
                <w:webHidden/>
              </w:rPr>
              <w:t>4</w:t>
            </w:r>
            <w:r w:rsidR="002414B3">
              <w:rPr>
                <w:noProof/>
                <w:webHidden/>
              </w:rPr>
              <w:fldChar w:fldCharType="end"/>
            </w:r>
          </w:hyperlink>
        </w:p>
        <w:p w14:paraId="2ABCEC6B" w14:textId="15CBDB79" w:rsidR="002414B3" w:rsidRDefault="00B330AF">
          <w:pPr>
            <w:pStyle w:val="TOC2"/>
            <w:tabs>
              <w:tab w:val="right" w:leader="dot" w:pos="9629"/>
            </w:tabs>
            <w:rPr>
              <w:rFonts w:asciiTheme="minorHAnsi" w:eastAsiaTheme="minorEastAsia" w:hAnsiTheme="minorHAnsi" w:cstheme="minorBidi"/>
              <w:noProof/>
              <w:kern w:val="2"/>
              <w:szCs w:val="22"/>
              <w:lang w:eastAsia="en-AU"/>
              <w14:ligatures w14:val="standardContextual"/>
            </w:rPr>
          </w:pPr>
          <w:hyperlink w:anchor="_Toc163155584" w:history="1">
            <w:r w:rsidR="002414B3" w:rsidRPr="00E224D2">
              <w:rPr>
                <w:rStyle w:val="Hyperlink"/>
                <w:noProof/>
              </w:rPr>
              <w:t>Application</w:t>
            </w:r>
            <w:r w:rsidR="002414B3">
              <w:rPr>
                <w:noProof/>
                <w:webHidden/>
              </w:rPr>
              <w:tab/>
            </w:r>
            <w:r w:rsidR="002414B3">
              <w:rPr>
                <w:noProof/>
                <w:webHidden/>
              </w:rPr>
              <w:fldChar w:fldCharType="begin"/>
            </w:r>
            <w:r w:rsidR="002414B3">
              <w:rPr>
                <w:noProof/>
                <w:webHidden/>
              </w:rPr>
              <w:instrText xml:space="preserve"> PAGEREF _Toc163155584 \h </w:instrText>
            </w:r>
            <w:r w:rsidR="002414B3">
              <w:rPr>
                <w:noProof/>
                <w:webHidden/>
              </w:rPr>
            </w:r>
            <w:r w:rsidR="002414B3">
              <w:rPr>
                <w:noProof/>
                <w:webHidden/>
              </w:rPr>
              <w:fldChar w:fldCharType="separate"/>
            </w:r>
            <w:r w:rsidR="002414B3">
              <w:rPr>
                <w:noProof/>
                <w:webHidden/>
              </w:rPr>
              <w:t>4</w:t>
            </w:r>
            <w:r w:rsidR="002414B3">
              <w:rPr>
                <w:noProof/>
                <w:webHidden/>
              </w:rPr>
              <w:fldChar w:fldCharType="end"/>
            </w:r>
          </w:hyperlink>
        </w:p>
        <w:p w14:paraId="2CC68131" w14:textId="62C8DC2B" w:rsidR="002414B3" w:rsidRDefault="00B330AF">
          <w:pPr>
            <w:pStyle w:val="TOC2"/>
            <w:tabs>
              <w:tab w:val="right" w:leader="dot" w:pos="9629"/>
            </w:tabs>
            <w:rPr>
              <w:rFonts w:asciiTheme="minorHAnsi" w:eastAsiaTheme="minorEastAsia" w:hAnsiTheme="minorHAnsi" w:cstheme="minorBidi"/>
              <w:noProof/>
              <w:kern w:val="2"/>
              <w:szCs w:val="22"/>
              <w:lang w:eastAsia="en-AU"/>
              <w14:ligatures w14:val="standardContextual"/>
            </w:rPr>
          </w:pPr>
          <w:hyperlink w:anchor="_Toc163155585" w:history="1">
            <w:r w:rsidR="002414B3" w:rsidRPr="00E224D2">
              <w:rPr>
                <w:rStyle w:val="Hyperlink"/>
                <w:noProof/>
              </w:rPr>
              <w:t>Key Legislative Provisions</w:t>
            </w:r>
            <w:r w:rsidR="002414B3">
              <w:rPr>
                <w:noProof/>
                <w:webHidden/>
              </w:rPr>
              <w:tab/>
            </w:r>
            <w:r w:rsidR="002414B3">
              <w:rPr>
                <w:noProof/>
                <w:webHidden/>
              </w:rPr>
              <w:fldChar w:fldCharType="begin"/>
            </w:r>
            <w:r w:rsidR="002414B3">
              <w:rPr>
                <w:noProof/>
                <w:webHidden/>
              </w:rPr>
              <w:instrText xml:space="preserve"> PAGEREF _Toc163155585 \h </w:instrText>
            </w:r>
            <w:r w:rsidR="002414B3">
              <w:rPr>
                <w:noProof/>
                <w:webHidden/>
              </w:rPr>
            </w:r>
            <w:r w:rsidR="002414B3">
              <w:rPr>
                <w:noProof/>
                <w:webHidden/>
              </w:rPr>
              <w:fldChar w:fldCharType="separate"/>
            </w:r>
            <w:r w:rsidR="002414B3">
              <w:rPr>
                <w:noProof/>
                <w:webHidden/>
              </w:rPr>
              <w:t>4</w:t>
            </w:r>
            <w:r w:rsidR="002414B3">
              <w:rPr>
                <w:noProof/>
                <w:webHidden/>
              </w:rPr>
              <w:fldChar w:fldCharType="end"/>
            </w:r>
          </w:hyperlink>
        </w:p>
        <w:p w14:paraId="5656F0BE" w14:textId="504A9F30" w:rsidR="002414B3" w:rsidRDefault="00B330AF">
          <w:pPr>
            <w:pStyle w:val="TOC2"/>
            <w:tabs>
              <w:tab w:val="right" w:leader="dot" w:pos="9629"/>
            </w:tabs>
            <w:rPr>
              <w:rFonts w:asciiTheme="minorHAnsi" w:eastAsiaTheme="minorEastAsia" w:hAnsiTheme="minorHAnsi" w:cstheme="minorBidi"/>
              <w:noProof/>
              <w:kern w:val="2"/>
              <w:szCs w:val="22"/>
              <w:lang w:eastAsia="en-AU"/>
              <w14:ligatures w14:val="standardContextual"/>
            </w:rPr>
          </w:pPr>
          <w:hyperlink w:anchor="_Toc163155586" w:history="1">
            <w:r w:rsidR="002414B3" w:rsidRPr="00E224D2">
              <w:rPr>
                <w:rStyle w:val="Hyperlink"/>
                <w:noProof/>
              </w:rPr>
              <w:t>Principles</w:t>
            </w:r>
            <w:r w:rsidR="002414B3">
              <w:rPr>
                <w:noProof/>
                <w:webHidden/>
              </w:rPr>
              <w:tab/>
            </w:r>
            <w:r w:rsidR="002414B3">
              <w:rPr>
                <w:noProof/>
                <w:webHidden/>
              </w:rPr>
              <w:fldChar w:fldCharType="begin"/>
            </w:r>
            <w:r w:rsidR="002414B3">
              <w:rPr>
                <w:noProof/>
                <w:webHidden/>
              </w:rPr>
              <w:instrText xml:space="preserve"> PAGEREF _Toc163155586 \h </w:instrText>
            </w:r>
            <w:r w:rsidR="002414B3">
              <w:rPr>
                <w:noProof/>
                <w:webHidden/>
              </w:rPr>
            </w:r>
            <w:r w:rsidR="002414B3">
              <w:rPr>
                <w:noProof/>
                <w:webHidden/>
              </w:rPr>
              <w:fldChar w:fldCharType="separate"/>
            </w:r>
            <w:r w:rsidR="002414B3">
              <w:rPr>
                <w:noProof/>
                <w:webHidden/>
              </w:rPr>
              <w:t>4</w:t>
            </w:r>
            <w:r w:rsidR="002414B3">
              <w:rPr>
                <w:noProof/>
                <w:webHidden/>
              </w:rPr>
              <w:fldChar w:fldCharType="end"/>
            </w:r>
          </w:hyperlink>
        </w:p>
        <w:p w14:paraId="605E8ED9" w14:textId="32124BDC" w:rsidR="002414B3" w:rsidRDefault="00B330AF">
          <w:pPr>
            <w:pStyle w:val="TOC2"/>
            <w:tabs>
              <w:tab w:val="right" w:leader="dot" w:pos="9629"/>
            </w:tabs>
            <w:rPr>
              <w:rFonts w:asciiTheme="minorHAnsi" w:eastAsiaTheme="minorEastAsia" w:hAnsiTheme="minorHAnsi" w:cstheme="minorBidi"/>
              <w:noProof/>
              <w:kern w:val="2"/>
              <w:szCs w:val="22"/>
              <w:lang w:eastAsia="en-AU"/>
              <w14:ligatures w14:val="standardContextual"/>
            </w:rPr>
          </w:pPr>
          <w:hyperlink w:anchor="_Toc163155587" w:history="1">
            <w:r w:rsidR="002414B3" w:rsidRPr="00E224D2">
              <w:rPr>
                <w:rStyle w:val="Hyperlink"/>
                <w:noProof/>
              </w:rPr>
              <w:t>Considerations before offering an ARIn</w:t>
            </w:r>
            <w:r w:rsidR="002414B3">
              <w:rPr>
                <w:noProof/>
                <w:webHidden/>
              </w:rPr>
              <w:tab/>
            </w:r>
            <w:r w:rsidR="002414B3">
              <w:rPr>
                <w:noProof/>
                <w:webHidden/>
              </w:rPr>
              <w:fldChar w:fldCharType="begin"/>
            </w:r>
            <w:r w:rsidR="002414B3">
              <w:rPr>
                <w:noProof/>
                <w:webHidden/>
              </w:rPr>
              <w:instrText xml:space="preserve"> PAGEREF _Toc163155587 \h </w:instrText>
            </w:r>
            <w:r w:rsidR="002414B3">
              <w:rPr>
                <w:noProof/>
                <w:webHidden/>
              </w:rPr>
            </w:r>
            <w:r w:rsidR="002414B3">
              <w:rPr>
                <w:noProof/>
                <w:webHidden/>
              </w:rPr>
              <w:fldChar w:fldCharType="separate"/>
            </w:r>
            <w:r w:rsidR="002414B3">
              <w:rPr>
                <w:noProof/>
                <w:webHidden/>
              </w:rPr>
              <w:t>5</w:t>
            </w:r>
            <w:r w:rsidR="002414B3">
              <w:rPr>
                <w:noProof/>
                <w:webHidden/>
              </w:rPr>
              <w:fldChar w:fldCharType="end"/>
            </w:r>
          </w:hyperlink>
        </w:p>
        <w:p w14:paraId="269B1544" w14:textId="004A9F19" w:rsidR="002414B3" w:rsidRDefault="00B330AF">
          <w:pPr>
            <w:pStyle w:val="TOC3"/>
            <w:tabs>
              <w:tab w:val="right" w:leader="dot" w:pos="9629"/>
            </w:tabs>
            <w:rPr>
              <w:rFonts w:asciiTheme="minorHAnsi" w:eastAsiaTheme="minorEastAsia" w:hAnsiTheme="minorHAnsi" w:cstheme="minorBidi"/>
              <w:noProof/>
              <w:kern w:val="2"/>
              <w:szCs w:val="22"/>
              <w:lang w:eastAsia="en-AU"/>
              <w14:ligatures w14:val="standardContextual"/>
            </w:rPr>
          </w:pPr>
          <w:hyperlink w:anchor="_Toc163155588" w:history="1">
            <w:r w:rsidR="002414B3" w:rsidRPr="00E224D2">
              <w:rPr>
                <w:rStyle w:val="Hyperlink"/>
                <w:noProof/>
              </w:rPr>
              <w:t>Organisational Structure and Classification of the Substantive Position</w:t>
            </w:r>
            <w:r w:rsidR="002414B3">
              <w:rPr>
                <w:noProof/>
                <w:webHidden/>
              </w:rPr>
              <w:tab/>
            </w:r>
            <w:r w:rsidR="002414B3">
              <w:rPr>
                <w:noProof/>
                <w:webHidden/>
              </w:rPr>
              <w:fldChar w:fldCharType="begin"/>
            </w:r>
            <w:r w:rsidR="002414B3">
              <w:rPr>
                <w:noProof/>
                <w:webHidden/>
              </w:rPr>
              <w:instrText xml:space="preserve"> PAGEREF _Toc163155588 \h </w:instrText>
            </w:r>
            <w:r w:rsidR="002414B3">
              <w:rPr>
                <w:noProof/>
                <w:webHidden/>
              </w:rPr>
            </w:r>
            <w:r w:rsidR="002414B3">
              <w:rPr>
                <w:noProof/>
                <w:webHidden/>
              </w:rPr>
              <w:fldChar w:fldCharType="separate"/>
            </w:r>
            <w:r w:rsidR="002414B3">
              <w:rPr>
                <w:noProof/>
                <w:webHidden/>
              </w:rPr>
              <w:t>5</w:t>
            </w:r>
            <w:r w:rsidR="002414B3">
              <w:rPr>
                <w:noProof/>
                <w:webHidden/>
              </w:rPr>
              <w:fldChar w:fldCharType="end"/>
            </w:r>
          </w:hyperlink>
        </w:p>
        <w:p w14:paraId="268BA3E7" w14:textId="6E1C6050" w:rsidR="002414B3" w:rsidRDefault="00B330AF">
          <w:pPr>
            <w:pStyle w:val="TOC3"/>
            <w:tabs>
              <w:tab w:val="right" w:leader="dot" w:pos="9629"/>
            </w:tabs>
            <w:rPr>
              <w:rFonts w:asciiTheme="minorHAnsi" w:eastAsiaTheme="minorEastAsia" w:hAnsiTheme="minorHAnsi" w:cstheme="minorBidi"/>
              <w:noProof/>
              <w:kern w:val="2"/>
              <w:szCs w:val="22"/>
              <w:lang w:eastAsia="en-AU"/>
              <w14:ligatures w14:val="standardContextual"/>
            </w:rPr>
          </w:pPr>
          <w:hyperlink w:anchor="_Toc163155589" w:history="1">
            <w:r w:rsidR="002414B3" w:rsidRPr="00E224D2">
              <w:rPr>
                <w:rStyle w:val="Hyperlink"/>
                <w:noProof/>
              </w:rPr>
              <w:t>Market Rate Information</w:t>
            </w:r>
            <w:r w:rsidR="002414B3">
              <w:rPr>
                <w:noProof/>
                <w:webHidden/>
              </w:rPr>
              <w:tab/>
            </w:r>
            <w:r w:rsidR="002414B3">
              <w:rPr>
                <w:noProof/>
                <w:webHidden/>
              </w:rPr>
              <w:fldChar w:fldCharType="begin"/>
            </w:r>
            <w:r w:rsidR="002414B3">
              <w:rPr>
                <w:noProof/>
                <w:webHidden/>
              </w:rPr>
              <w:instrText xml:space="preserve"> PAGEREF _Toc163155589 \h </w:instrText>
            </w:r>
            <w:r w:rsidR="002414B3">
              <w:rPr>
                <w:noProof/>
                <w:webHidden/>
              </w:rPr>
            </w:r>
            <w:r w:rsidR="002414B3">
              <w:rPr>
                <w:noProof/>
                <w:webHidden/>
              </w:rPr>
              <w:fldChar w:fldCharType="separate"/>
            </w:r>
            <w:r w:rsidR="002414B3">
              <w:rPr>
                <w:noProof/>
                <w:webHidden/>
              </w:rPr>
              <w:t>6</w:t>
            </w:r>
            <w:r w:rsidR="002414B3">
              <w:rPr>
                <w:noProof/>
                <w:webHidden/>
              </w:rPr>
              <w:fldChar w:fldCharType="end"/>
            </w:r>
          </w:hyperlink>
        </w:p>
        <w:p w14:paraId="561B925C" w14:textId="431FCAE1" w:rsidR="002414B3" w:rsidRDefault="00B330AF">
          <w:pPr>
            <w:pStyle w:val="TOC3"/>
            <w:tabs>
              <w:tab w:val="right" w:leader="dot" w:pos="9629"/>
            </w:tabs>
            <w:rPr>
              <w:rFonts w:asciiTheme="minorHAnsi" w:eastAsiaTheme="minorEastAsia" w:hAnsiTheme="minorHAnsi" w:cstheme="minorBidi"/>
              <w:noProof/>
              <w:kern w:val="2"/>
              <w:szCs w:val="22"/>
              <w:lang w:eastAsia="en-AU"/>
              <w14:ligatures w14:val="standardContextual"/>
            </w:rPr>
          </w:pPr>
          <w:hyperlink w:anchor="_Toc163155590" w:history="1">
            <w:r w:rsidR="002414B3" w:rsidRPr="00E224D2">
              <w:rPr>
                <w:rStyle w:val="Hyperlink"/>
                <w:noProof/>
              </w:rPr>
              <w:t>Acting and Temporary Transfer Arrangements</w:t>
            </w:r>
            <w:r w:rsidR="002414B3">
              <w:rPr>
                <w:noProof/>
                <w:webHidden/>
              </w:rPr>
              <w:tab/>
            </w:r>
            <w:r w:rsidR="002414B3">
              <w:rPr>
                <w:noProof/>
                <w:webHidden/>
              </w:rPr>
              <w:fldChar w:fldCharType="begin"/>
            </w:r>
            <w:r w:rsidR="002414B3">
              <w:rPr>
                <w:noProof/>
                <w:webHidden/>
              </w:rPr>
              <w:instrText xml:space="preserve"> PAGEREF _Toc163155590 \h </w:instrText>
            </w:r>
            <w:r w:rsidR="002414B3">
              <w:rPr>
                <w:noProof/>
                <w:webHidden/>
              </w:rPr>
            </w:r>
            <w:r w:rsidR="002414B3">
              <w:rPr>
                <w:noProof/>
                <w:webHidden/>
              </w:rPr>
              <w:fldChar w:fldCharType="separate"/>
            </w:r>
            <w:r w:rsidR="002414B3">
              <w:rPr>
                <w:noProof/>
                <w:webHidden/>
              </w:rPr>
              <w:t>6</w:t>
            </w:r>
            <w:r w:rsidR="002414B3">
              <w:rPr>
                <w:noProof/>
                <w:webHidden/>
              </w:rPr>
              <w:fldChar w:fldCharType="end"/>
            </w:r>
          </w:hyperlink>
        </w:p>
        <w:p w14:paraId="7ACAAB29" w14:textId="3194F1CD" w:rsidR="002414B3" w:rsidRDefault="00B330AF">
          <w:pPr>
            <w:pStyle w:val="TOC3"/>
            <w:tabs>
              <w:tab w:val="right" w:leader="dot" w:pos="9629"/>
            </w:tabs>
            <w:rPr>
              <w:rFonts w:asciiTheme="minorHAnsi" w:eastAsiaTheme="minorEastAsia" w:hAnsiTheme="minorHAnsi" w:cstheme="minorBidi"/>
              <w:noProof/>
              <w:kern w:val="2"/>
              <w:szCs w:val="22"/>
              <w:lang w:eastAsia="en-AU"/>
              <w14:ligatures w14:val="standardContextual"/>
            </w:rPr>
          </w:pPr>
          <w:hyperlink w:anchor="_Toc163155591" w:history="1">
            <w:r w:rsidR="002414B3" w:rsidRPr="00E224D2">
              <w:rPr>
                <w:rStyle w:val="Hyperlink"/>
                <w:noProof/>
              </w:rPr>
              <w:t>Suspension with Pay, Misconduct and Performance Issues</w:t>
            </w:r>
            <w:r w:rsidR="002414B3">
              <w:rPr>
                <w:noProof/>
                <w:webHidden/>
              </w:rPr>
              <w:tab/>
            </w:r>
            <w:r w:rsidR="002414B3">
              <w:rPr>
                <w:noProof/>
                <w:webHidden/>
              </w:rPr>
              <w:fldChar w:fldCharType="begin"/>
            </w:r>
            <w:r w:rsidR="002414B3">
              <w:rPr>
                <w:noProof/>
                <w:webHidden/>
              </w:rPr>
              <w:instrText xml:space="preserve"> PAGEREF _Toc163155591 \h </w:instrText>
            </w:r>
            <w:r w:rsidR="002414B3">
              <w:rPr>
                <w:noProof/>
                <w:webHidden/>
              </w:rPr>
            </w:r>
            <w:r w:rsidR="002414B3">
              <w:rPr>
                <w:noProof/>
                <w:webHidden/>
              </w:rPr>
              <w:fldChar w:fldCharType="separate"/>
            </w:r>
            <w:r w:rsidR="002414B3">
              <w:rPr>
                <w:noProof/>
                <w:webHidden/>
              </w:rPr>
              <w:t>6</w:t>
            </w:r>
            <w:r w:rsidR="002414B3">
              <w:rPr>
                <w:noProof/>
                <w:webHidden/>
              </w:rPr>
              <w:fldChar w:fldCharType="end"/>
            </w:r>
          </w:hyperlink>
        </w:p>
        <w:p w14:paraId="4C1538A2" w14:textId="2AC0B63A" w:rsidR="002414B3" w:rsidRDefault="00B330AF">
          <w:pPr>
            <w:pStyle w:val="TOC3"/>
            <w:tabs>
              <w:tab w:val="right" w:leader="dot" w:pos="9629"/>
            </w:tabs>
            <w:rPr>
              <w:rFonts w:asciiTheme="minorHAnsi" w:eastAsiaTheme="minorEastAsia" w:hAnsiTheme="minorHAnsi" w:cstheme="minorBidi"/>
              <w:noProof/>
              <w:kern w:val="2"/>
              <w:szCs w:val="22"/>
              <w:lang w:eastAsia="en-AU"/>
              <w14:ligatures w14:val="standardContextual"/>
            </w:rPr>
          </w:pPr>
          <w:hyperlink w:anchor="_Toc163155592" w:history="1">
            <w:r w:rsidR="002414B3" w:rsidRPr="00E224D2">
              <w:rPr>
                <w:rStyle w:val="Hyperlink"/>
                <w:noProof/>
              </w:rPr>
              <w:t>Essential Qualification</w:t>
            </w:r>
            <w:r w:rsidR="002414B3">
              <w:rPr>
                <w:noProof/>
                <w:webHidden/>
              </w:rPr>
              <w:tab/>
            </w:r>
            <w:r w:rsidR="002414B3">
              <w:rPr>
                <w:noProof/>
                <w:webHidden/>
              </w:rPr>
              <w:fldChar w:fldCharType="begin"/>
            </w:r>
            <w:r w:rsidR="002414B3">
              <w:rPr>
                <w:noProof/>
                <w:webHidden/>
              </w:rPr>
              <w:instrText xml:space="preserve"> PAGEREF _Toc163155592 \h </w:instrText>
            </w:r>
            <w:r w:rsidR="002414B3">
              <w:rPr>
                <w:noProof/>
                <w:webHidden/>
              </w:rPr>
            </w:r>
            <w:r w:rsidR="002414B3">
              <w:rPr>
                <w:noProof/>
                <w:webHidden/>
              </w:rPr>
              <w:fldChar w:fldCharType="separate"/>
            </w:r>
            <w:r w:rsidR="002414B3">
              <w:rPr>
                <w:noProof/>
                <w:webHidden/>
              </w:rPr>
              <w:t>7</w:t>
            </w:r>
            <w:r w:rsidR="002414B3">
              <w:rPr>
                <w:noProof/>
                <w:webHidden/>
              </w:rPr>
              <w:fldChar w:fldCharType="end"/>
            </w:r>
          </w:hyperlink>
        </w:p>
        <w:p w14:paraId="652A78B0" w14:textId="202F3580" w:rsidR="002414B3" w:rsidRDefault="00B330AF">
          <w:pPr>
            <w:pStyle w:val="TOC2"/>
            <w:tabs>
              <w:tab w:val="right" w:leader="dot" w:pos="9629"/>
            </w:tabs>
            <w:rPr>
              <w:rFonts w:asciiTheme="minorHAnsi" w:eastAsiaTheme="minorEastAsia" w:hAnsiTheme="minorHAnsi" w:cstheme="minorBidi"/>
              <w:noProof/>
              <w:kern w:val="2"/>
              <w:szCs w:val="22"/>
              <w:lang w:eastAsia="en-AU"/>
              <w14:ligatures w14:val="standardContextual"/>
            </w:rPr>
          </w:pPr>
          <w:hyperlink w:anchor="_Toc163155593" w:history="1">
            <w:r w:rsidR="002414B3" w:rsidRPr="00E224D2">
              <w:rPr>
                <w:rStyle w:val="Hyperlink"/>
                <w:noProof/>
              </w:rPr>
              <w:t>Using ARIns during a Recruitment Process</w:t>
            </w:r>
            <w:r w:rsidR="002414B3">
              <w:rPr>
                <w:noProof/>
                <w:webHidden/>
              </w:rPr>
              <w:tab/>
            </w:r>
            <w:r w:rsidR="002414B3">
              <w:rPr>
                <w:noProof/>
                <w:webHidden/>
              </w:rPr>
              <w:fldChar w:fldCharType="begin"/>
            </w:r>
            <w:r w:rsidR="002414B3">
              <w:rPr>
                <w:noProof/>
                <w:webHidden/>
              </w:rPr>
              <w:instrText xml:space="preserve"> PAGEREF _Toc163155593 \h </w:instrText>
            </w:r>
            <w:r w:rsidR="002414B3">
              <w:rPr>
                <w:noProof/>
                <w:webHidden/>
              </w:rPr>
            </w:r>
            <w:r w:rsidR="002414B3">
              <w:rPr>
                <w:noProof/>
                <w:webHidden/>
              </w:rPr>
              <w:fldChar w:fldCharType="separate"/>
            </w:r>
            <w:r w:rsidR="002414B3">
              <w:rPr>
                <w:noProof/>
                <w:webHidden/>
              </w:rPr>
              <w:t>7</w:t>
            </w:r>
            <w:r w:rsidR="002414B3">
              <w:rPr>
                <w:noProof/>
                <w:webHidden/>
              </w:rPr>
              <w:fldChar w:fldCharType="end"/>
            </w:r>
          </w:hyperlink>
        </w:p>
        <w:p w14:paraId="2964EFF9" w14:textId="560A1F90" w:rsidR="002414B3" w:rsidRDefault="00B330AF">
          <w:pPr>
            <w:pStyle w:val="TOC2"/>
            <w:tabs>
              <w:tab w:val="right" w:leader="dot" w:pos="9629"/>
            </w:tabs>
            <w:rPr>
              <w:rFonts w:asciiTheme="minorHAnsi" w:eastAsiaTheme="minorEastAsia" w:hAnsiTheme="minorHAnsi" w:cstheme="minorBidi"/>
              <w:noProof/>
              <w:kern w:val="2"/>
              <w:szCs w:val="22"/>
              <w:lang w:eastAsia="en-AU"/>
              <w14:ligatures w14:val="standardContextual"/>
            </w:rPr>
          </w:pPr>
          <w:hyperlink w:anchor="_Toc163155594" w:history="1">
            <w:r w:rsidR="002414B3" w:rsidRPr="00E224D2">
              <w:rPr>
                <w:rStyle w:val="Hyperlink"/>
                <w:noProof/>
              </w:rPr>
              <w:t>Procedure</w:t>
            </w:r>
            <w:r w:rsidR="002414B3">
              <w:rPr>
                <w:noProof/>
                <w:webHidden/>
              </w:rPr>
              <w:tab/>
            </w:r>
            <w:r w:rsidR="002414B3">
              <w:rPr>
                <w:noProof/>
                <w:webHidden/>
              </w:rPr>
              <w:fldChar w:fldCharType="begin"/>
            </w:r>
            <w:r w:rsidR="002414B3">
              <w:rPr>
                <w:noProof/>
                <w:webHidden/>
              </w:rPr>
              <w:instrText xml:space="preserve"> PAGEREF _Toc163155594 \h </w:instrText>
            </w:r>
            <w:r w:rsidR="002414B3">
              <w:rPr>
                <w:noProof/>
                <w:webHidden/>
              </w:rPr>
            </w:r>
            <w:r w:rsidR="002414B3">
              <w:rPr>
                <w:noProof/>
                <w:webHidden/>
              </w:rPr>
              <w:fldChar w:fldCharType="separate"/>
            </w:r>
            <w:r w:rsidR="002414B3">
              <w:rPr>
                <w:noProof/>
                <w:webHidden/>
              </w:rPr>
              <w:t>7</w:t>
            </w:r>
            <w:r w:rsidR="002414B3">
              <w:rPr>
                <w:noProof/>
                <w:webHidden/>
              </w:rPr>
              <w:fldChar w:fldCharType="end"/>
            </w:r>
          </w:hyperlink>
        </w:p>
        <w:p w14:paraId="2056FCD9" w14:textId="39DD7669" w:rsidR="002414B3" w:rsidRDefault="00B330AF">
          <w:pPr>
            <w:pStyle w:val="TOC3"/>
            <w:tabs>
              <w:tab w:val="right" w:leader="dot" w:pos="9629"/>
            </w:tabs>
            <w:rPr>
              <w:rFonts w:asciiTheme="minorHAnsi" w:eastAsiaTheme="minorEastAsia" w:hAnsiTheme="minorHAnsi" w:cstheme="minorBidi"/>
              <w:noProof/>
              <w:kern w:val="2"/>
              <w:szCs w:val="22"/>
              <w:lang w:eastAsia="en-AU"/>
              <w14:ligatures w14:val="standardContextual"/>
            </w:rPr>
          </w:pPr>
          <w:hyperlink w:anchor="_Toc163155595" w:history="1">
            <w:r w:rsidR="002414B3" w:rsidRPr="00E224D2">
              <w:rPr>
                <w:rStyle w:val="Hyperlink"/>
                <w:noProof/>
              </w:rPr>
              <w:t>Process Flow</w:t>
            </w:r>
            <w:r w:rsidR="002414B3">
              <w:rPr>
                <w:noProof/>
                <w:webHidden/>
              </w:rPr>
              <w:tab/>
            </w:r>
            <w:r w:rsidR="002414B3">
              <w:rPr>
                <w:noProof/>
                <w:webHidden/>
              </w:rPr>
              <w:fldChar w:fldCharType="begin"/>
            </w:r>
            <w:r w:rsidR="002414B3">
              <w:rPr>
                <w:noProof/>
                <w:webHidden/>
              </w:rPr>
              <w:instrText xml:space="preserve"> PAGEREF _Toc163155595 \h </w:instrText>
            </w:r>
            <w:r w:rsidR="002414B3">
              <w:rPr>
                <w:noProof/>
                <w:webHidden/>
              </w:rPr>
            </w:r>
            <w:r w:rsidR="002414B3">
              <w:rPr>
                <w:noProof/>
                <w:webHidden/>
              </w:rPr>
              <w:fldChar w:fldCharType="separate"/>
            </w:r>
            <w:r w:rsidR="002414B3">
              <w:rPr>
                <w:noProof/>
                <w:webHidden/>
              </w:rPr>
              <w:t>7</w:t>
            </w:r>
            <w:r w:rsidR="002414B3">
              <w:rPr>
                <w:noProof/>
                <w:webHidden/>
              </w:rPr>
              <w:fldChar w:fldCharType="end"/>
            </w:r>
          </w:hyperlink>
        </w:p>
        <w:p w14:paraId="442EDF0F" w14:textId="00111F3B" w:rsidR="002414B3" w:rsidRDefault="00B330AF">
          <w:pPr>
            <w:pStyle w:val="TOC3"/>
            <w:tabs>
              <w:tab w:val="right" w:leader="dot" w:pos="9629"/>
            </w:tabs>
            <w:rPr>
              <w:rFonts w:asciiTheme="minorHAnsi" w:eastAsiaTheme="minorEastAsia" w:hAnsiTheme="minorHAnsi" w:cstheme="minorBidi"/>
              <w:noProof/>
              <w:kern w:val="2"/>
              <w:szCs w:val="22"/>
              <w:lang w:eastAsia="en-AU"/>
              <w14:ligatures w14:val="standardContextual"/>
            </w:rPr>
          </w:pPr>
          <w:hyperlink w:anchor="_Toc163155596" w:history="1">
            <w:r w:rsidR="002414B3" w:rsidRPr="00E224D2">
              <w:rPr>
                <w:rStyle w:val="Hyperlink"/>
                <w:noProof/>
              </w:rPr>
              <w:t>Content of ARIns</w:t>
            </w:r>
            <w:r w:rsidR="002414B3">
              <w:rPr>
                <w:noProof/>
                <w:webHidden/>
              </w:rPr>
              <w:tab/>
            </w:r>
            <w:r w:rsidR="002414B3">
              <w:rPr>
                <w:noProof/>
                <w:webHidden/>
              </w:rPr>
              <w:fldChar w:fldCharType="begin"/>
            </w:r>
            <w:r w:rsidR="002414B3">
              <w:rPr>
                <w:noProof/>
                <w:webHidden/>
              </w:rPr>
              <w:instrText xml:space="preserve"> PAGEREF _Toc163155596 \h </w:instrText>
            </w:r>
            <w:r w:rsidR="002414B3">
              <w:rPr>
                <w:noProof/>
                <w:webHidden/>
              </w:rPr>
            </w:r>
            <w:r w:rsidR="002414B3">
              <w:rPr>
                <w:noProof/>
                <w:webHidden/>
              </w:rPr>
              <w:fldChar w:fldCharType="separate"/>
            </w:r>
            <w:r w:rsidR="002414B3">
              <w:rPr>
                <w:noProof/>
                <w:webHidden/>
              </w:rPr>
              <w:t>7</w:t>
            </w:r>
            <w:r w:rsidR="002414B3">
              <w:rPr>
                <w:noProof/>
                <w:webHidden/>
              </w:rPr>
              <w:fldChar w:fldCharType="end"/>
            </w:r>
          </w:hyperlink>
        </w:p>
        <w:p w14:paraId="55300E33" w14:textId="612131E9" w:rsidR="002414B3" w:rsidRDefault="00B330AF">
          <w:pPr>
            <w:pStyle w:val="TOC3"/>
            <w:tabs>
              <w:tab w:val="right" w:leader="dot" w:pos="9629"/>
            </w:tabs>
            <w:rPr>
              <w:rFonts w:asciiTheme="minorHAnsi" w:eastAsiaTheme="minorEastAsia" w:hAnsiTheme="minorHAnsi" w:cstheme="minorBidi"/>
              <w:noProof/>
              <w:kern w:val="2"/>
              <w:szCs w:val="22"/>
              <w:lang w:eastAsia="en-AU"/>
              <w14:ligatures w14:val="standardContextual"/>
            </w:rPr>
          </w:pPr>
          <w:hyperlink w:anchor="_Toc163155597" w:history="1">
            <w:r w:rsidR="002414B3" w:rsidRPr="00E224D2">
              <w:rPr>
                <w:rStyle w:val="Hyperlink"/>
                <w:noProof/>
              </w:rPr>
              <w:t>Commencement and Payment of ARIns</w:t>
            </w:r>
            <w:r w:rsidR="002414B3">
              <w:rPr>
                <w:noProof/>
                <w:webHidden/>
              </w:rPr>
              <w:tab/>
            </w:r>
            <w:r w:rsidR="002414B3">
              <w:rPr>
                <w:noProof/>
                <w:webHidden/>
              </w:rPr>
              <w:fldChar w:fldCharType="begin"/>
            </w:r>
            <w:r w:rsidR="002414B3">
              <w:rPr>
                <w:noProof/>
                <w:webHidden/>
              </w:rPr>
              <w:instrText xml:space="preserve"> PAGEREF _Toc163155597 \h </w:instrText>
            </w:r>
            <w:r w:rsidR="002414B3">
              <w:rPr>
                <w:noProof/>
                <w:webHidden/>
              </w:rPr>
            </w:r>
            <w:r w:rsidR="002414B3">
              <w:rPr>
                <w:noProof/>
                <w:webHidden/>
              </w:rPr>
              <w:fldChar w:fldCharType="separate"/>
            </w:r>
            <w:r w:rsidR="002414B3">
              <w:rPr>
                <w:noProof/>
                <w:webHidden/>
              </w:rPr>
              <w:t>8</w:t>
            </w:r>
            <w:r w:rsidR="002414B3">
              <w:rPr>
                <w:noProof/>
                <w:webHidden/>
              </w:rPr>
              <w:fldChar w:fldCharType="end"/>
            </w:r>
          </w:hyperlink>
        </w:p>
        <w:p w14:paraId="2F9DACDF" w14:textId="3166E126" w:rsidR="002414B3" w:rsidRDefault="00B330AF">
          <w:pPr>
            <w:pStyle w:val="TOC3"/>
            <w:tabs>
              <w:tab w:val="right" w:leader="dot" w:pos="9629"/>
            </w:tabs>
            <w:rPr>
              <w:rFonts w:asciiTheme="minorHAnsi" w:eastAsiaTheme="minorEastAsia" w:hAnsiTheme="minorHAnsi" w:cstheme="minorBidi"/>
              <w:noProof/>
              <w:kern w:val="2"/>
              <w:szCs w:val="22"/>
              <w:lang w:eastAsia="en-AU"/>
              <w14:ligatures w14:val="standardContextual"/>
            </w:rPr>
          </w:pPr>
          <w:hyperlink w:anchor="_Toc163155598" w:history="1">
            <w:r w:rsidR="002414B3" w:rsidRPr="00E224D2">
              <w:rPr>
                <w:rStyle w:val="Hyperlink"/>
                <w:noProof/>
              </w:rPr>
              <w:t>New Enterprise Agreements and Transition Arrangements for current ARIns</w:t>
            </w:r>
            <w:r w:rsidR="002414B3">
              <w:rPr>
                <w:noProof/>
                <w:webHidden/>
              </w:rPr>
              <w:tab/>
            </w:r>
            <w:r w:rsidR="002414B3">
              <w:rPr>
                <w:noProof/>
                <w:webHidden/>
              </w:rPr>
              <w:fldChar w:fldCharType="begin"/>
            </w:r>
            <w:r w:rsidR="002414B3">
              <w:rPr>
                <w:noProof/>
                <w:webHidden/>
              </w:rPr>
              <w:instrText xml:space="preserve"> PAGEREF _Toc163155598 \h </w:instrText>
            </w:r>
            <w:r w:rsidR="002414B3">
              <w:rPr>
                <w:noProof/>
                <w:webHidden/>
              </w:rPr>
            </w:r>
            <w:r w:rsidR="002414B3">
              <w:rPr>
                <w:noProof/>
                <w:webHidden/>
              </w:rPr>
              <w:fldChar w:fldCharType="separate"/>
            </w:r>
            <w:r w:rsidR="002414B3">
              <w:rPr>
                <w:noProof/>
                <w:webHidden/>
              </w:rPr>
              <w:t>8</w:t>
            </w:r>
            <w:r w:rsidR="002414B3">
              <w:rPr>
                <w:noProof/>
                <w:webHidden/>
              </w:rPr>
              <w:fldChar w:fldCharType="end"/>
            </w:r>
          </w:hyperlink>
        </w:p>
        <w:p w14:paraId="4EFDA188" w14:textId="2EE67FE7" w:rsidR="002414B3" w:rsidRDefault="00B330AF">
          <w:pPr>
            <w:pStyle w:val="TOC3"/>
            <w:tabs>
              <w:tab w:val="right" w:leader="dot" w:pos="9629"/>
            </w:tabs>
            <w:rPr>
              <w:rFonts w:asciiTheme="minorHAnsi" w:eastAsiaTheme="minorEastAsia" w:hAnsiTheme="minorHAnsi" w:cstheme="minorBidi"/>
              <w:noProof/>
              <w:kern w:val="2"/>
              <w:szCs w:val="22"/>
              <w:lang w:eastAsia="en-AU"/>
              <w14:ligatures w14:val="standardContextual"/>
            </w:rPr>
          </w:pPr>
          <w:hyperlink w:anchor="_Toc163155599" w:history="1">
            <w:r w:rsidR="002414B3" w:rsidRPr="00E224D2">
              <w:rPr>
                <w:rStyle w:val="Hyperlink"/>
                <w:noProof/>
              </w:rPr>
              <w:t>Comprehensive Submissions</w:t>
            </w:r>
            <w:r w:rsidR="002414B3">
              <w:rPr>
                <w:noProof/>
                <w:webHidden/>
              </w:rPr>
              <w:tab/>
            </w:r>
            <w:r w:rsidR="002414B3">
              <w:rPr>
                <w:noProof/>
                <w:webHidden/>
              </w:rPr>
              <w:fldChar w:fldCharType="begin"/>
            </w:r>
            <w:r w:rsidR="002414B3">
              <w:rPr>
                <w:noProof/>
                <w:webHidden/>
              </w:rPr>
              <w:instrText xml:space="preserve"> PAGEREF _Toc163155599 \h </w:instrText>
            </w:r>
            <w:r w:rsidR="002414B3">
              <w:rPr>
                <w:noProof/>
                <w:webHidden/>
              </w:rPr>
            </w:r>
            <w:r w:rsidR="002414B3">
              <w:rPr>
                <w:noProof/>
                <w:webHidden/>
              </w:rPr>
              <w:fldChar w:fldCharType="separate"/>
            </w:r>
            <w:r w:rsidR="002414B3">
              <w:rPr>
                <w:noProof/>
                <w:webHidden/>
              </w:rPr>
              <w:t>9</w:t>
            </w:r>
            <w:r w:rsidR="002414B3">
              <w:rPr>
                <w:noProof/>
                <w:webHidden/>
              </w:rPr>
              <w:fldChar w:fldCharType="end"/>
            </w:r>
          </w:hyperlink>
        </w:p>
        <w:p w14:paraId="732AB2EC" w14:textId="5E943692" w:rsidR="002414B3" w:rsidRDefault="00B330AF">
          <w:pPr>
            <w:pStyle w:val="TOC3"/>
            <w:tabs>
              <w:tab w:val="right" w:leader="dot" w:pos="9629"/>
            </w:tabs>
            <w:rPr>
              <w:rFonts w:asciiTheme="minorHAnsi" w:eastAsiaTheme="minorEastAsia" w:hAnsiTheme="minorHAnsi" w:cstheme="minorBidi"/>
              <w:noProof/>
              <w:kern w:val="2"/>
              <w:szCs w:val="22"/>
              <w:lang w:eastAsia="en-AU"/>
              <w14:ligatures w14:val="standardContextual"/>
            </w:rPr>
          </w:pPr>
          <w:hyperlink w:anchor="_Toc163155600" w:history="1">
            <w:r w:rsidR="002414B3" w:rsidRPr="00E224D2">
              <w:rPr>
                <w:rStyle w:val="Hyperlink"/>
                <w:noProof/>
              </w:rPr>
              <w:t>Types of ARIns</w:t>
            </w:r>
            <w:r w:rsidR="002414B3">
              <w:rPr>
                <w:noProof/>
                <w:webHidden/>
              </w:rPr>
              <w:tab/>
            </w:r>
            <w:r w:rsidR="002414B3">
              <w:rPr>
                <w:noProof/>
                <w:webHidden/>
              </w:rPr>
              <w:fldChar w:fldCharType="begin"/>
            </w:r>
            <w:r w:rsidR="002414B3">
              <w:rPr>
                <w:noProof/>
                <w:webHidden/>
              </w:rPr>
              <w:instrText xml:space="preserve"> PAGEREF _Toc163155600 \h </w:instrText>
            </w:r>
            <w:r w:rsidR="002414B3">
              <w:rPr>
                <w:noProof/>
                <w:webHidden/>
              </w:rPr>
            </w:r>
            <w:r w:rsidR="002414B3">
              <w:rPr>
                <w:noProof/>
                <w:webHidden/>
              </w:rPr>
              <w:fldChar w:fldCharType="separate"/>
            </w:r>
            <w:r w:rsidR="002414B3">
              <w:rPr>
                <w:noProof/>
                <w:webHidden/>
              </w:rPr>
              <w:t>9</w:t>
            </w:r>
            <w:r w:rsidR="002414B3">
              <w:rPr>
                <w:noProof/>
                <w:webHidden/>
              </w:rPr>
              <w:fldChar w:fldCharType="end"/>
            </w:r>
          </w:hyperlink>
        </w:p>
        <w:p w14:paraId="481F03BE" w14:textId="2C64F870" w:rsidR="002414B3" w:rsidRDefault="00B330AF">
          <w:pPr>
            <w:pStyle w:val="TOC3"/>
            <w:tabs>
              <w:tab w:val="right" w:leader="dot" w:pos="9629"/>
            </w:tabs>
            <w:rPr>
              <w:rFonts w:asciiTheme="minorHAnsi" w:eastAsiaTheme="minorEastAsia" w:hAnsiTheme="minorHAnsi" w:cstheme="minorBidi"/>
              <w:noProof/>
              <w:kern w:val="2"/>
              <w:szCs w:val="22"/>
              <w:lang w:eastAsia="en-AU"/>
              <w14:ligatures w14:val="standardContextual"/>
            </w:rPr>
          </w:pPr>
          <w:hyperlink w:anchor="_Toc163155601" w:history="1">
            <w:r w:rsidR="002414B3" w:rsidRPr="00E224D2">
              <w:rPr>
                <w:rStyle w:val="Hyperlink"/>
                <w:noProof/>
              </w:rPr>
              <w:t>Reviewing an ARIn</w:t>
            </w:r>
            <w:r w:rsidR="002414B3">
              <w:rPr>
                <w:noProof/>
                <w:webHidden/>
              </w:rPr>
              <w:tab/>
            </w:r>
            <w:r w:rsidR="002414B3">
              <w:rPr>
                <w:noProof/>
                <w:webHidden/>
              </w:rPr>
              <w:fldChar w:fldCharType="begin"/>
            </w:r>
            <w:r w:rsidR="002414B3">
              <w:rPr>
                <w:noProof/>
                <w:webHidden/>
              </w:rPr>
              <w:instrText xml:space="preserve"> PAGEREF _Toc163155601 \h </w:instrText>
            </w:r>
            <w:r w:rsidR="002414B3">
              <w:rPr>
                <w:noProof/>
                <w:webHidden/>
              </w:rPr>
            </w:r>
            <w:r w:rsidR="002414B3">
              <w:rPr>
                <w:noProof/>
                <w:webHidden/>
              </w:rPr>
              <w:fldChar w:fldCharType="separate"/>
            </w:r>
            <w:r w:rsidR="002414B3">
              <w:rPr>
                <w:noProof/>
                <w:webHidden/>
              </w:rPr>
              <w:t>10</w:t>
            </w:r>
            <w:r w:rsidR="002414B3">
              <w:rPr>
                <w:noProof/>
                <w:webHidden/>
              </w:rPr>
              <w:fldChar w:fldCharType="end"/>
            </w:r>
          </w:hyperlink>
        </w:p>
        <w:p w14:paraId="68DF5B2D" w14:textId="7758A3C8" w:rsidR="002414B3" w:rsidRDefault="00B330AF">
          <w:pPr>
            <w:pStyle w:val="TOC3"/>
            <w:tabs>
              <w:tab w:val="right" w:leader="dot" w:pos="9629"/>
            </w:tabs>
            <w:rPr>
              <w:rFonts w:asciiTheme="minorHAnsi" w:eastAsiaTheme="minorEastAsia" w:hAnsiTheme="minorHAnsi" w:cstheme="minorBidi"/>
              <w:noProof/>
              <w:kern w:val="2"/>
              <w:szCs w:val="22"/>
              <w:lang w:eastAsia="en-AU"/>
              <w14:ligatures w14:val="standardContextual"/>
            </w:rPr>
          </w:pPr>
          <w:hyperlink w:anchor="_Toc163155602" w:history="1">
            <w:r w:rsidR="002414B3" w:rsidRPr="00E224D2">
              <w:rPr>
                <w:rStyle w:val="Hyperlink"/>
                <w:noProof/>
              </w:rPr>
              <w:t>Monitoring of Reviews</w:t>
            </w:r>
            <w:r w:rsidR="002414B3">
              <w:rPr>
                <w:noProof/>
                <w:webHidden/>
              </w:rPr>
              <w:tab/>
            </w:r>
            <w:r w:rsidR="002414B3">
              <w:rPr>
                <w:noProof/>
                <w:webHidden/>
              </w:rPr>
              <w:fldChar w:fldCharType="begin"/>
            </w:r>
            <w:r w:rsidR="002414B3">
              <w:rPr>
                <w:noProof/>
                <w:webHidden/>
              </w:rPr>
              <w:instrText xml:space="preserve"> PAGEREF _Toc163155602 \h </w:instrText>
            </w:r>
            <w:r w:rsidR="002414B3">
              <w:rPr>
                <w:noProof/>
                <w:webHidden/>
              </w:rPr>
            </w:r>
            <w:r w:rsidR="002414B3">
              <w:rPr>
                <w:noProof/>
                <w:webHidden/>
              </w:rPr>
              <w:fldChar w:fldCharType="separate"/>
            </w:r>
            <w:r w:rsidR="002414B3">
              <w:rPr>
                <w:noProof/>
                <w:webHidden/>
              </w:rPr>
              <w:t>11</w:t>
            </w:r>
            <w:r w:rsidR="002414B3">
              <w:rPr>
                <w:noProof/>
                <w:webHidden/>
              </w:rPr>
              <w:fldChar w:fldCharType="end"/>
            </w:r>
          </w:hyperlink>
        </w:p>
        <w:p w14:paraId="5BB9AE4E" w14:textId="2A9BB708" w:rsidR="002414B3" w:rsidRDefault="00B330AF">
          <w:pPr>
            <w:pStyle w:val="TOC3"/>
            <w:tabs>
              <w:tab w:val="right" w:leader="dot" w:pos="9629"/>
            </w:tabs>
            <w:rPr>
              <w:rFonts w:asciiTheme="minorHAnsi" w:eastAsiaTheme="minorEastAsia" w:hAnsiTheme="minorHAnsi" w:cstheme="minorBidi"/>
              <w:noProof/>
              <w:kern w:val="2"/>
              <w:szCs w:val="22"/>
              <w:lang w:eastAsia="en-AU"/>
              <w14:ligatures w14:val="standardContextual"/>
            </w:rPr>
          </w:pPr>
          <w:hyperlink w:anchor="_Toc163155603" w:history="1">
            <w:r w:rsidR="002414B3" w:rsidRPr="00E224D2">
              <w:rPr>
                <w:rStyle w:val="Hyperlink"/>
                <w:noProof/>
              </w:rPr>
              <w:t>Ceasing an ARIn</w:t>
            </w:r>
            <w:r w:rsidR="002414B3">
              <w:rPr>
                <w:noProof/>
                <w:webHidden/>
              </w:rPr>
              <w:tab/>
            </w:r>
            <w:r w:rsidR="002414B3">
              <w:rPr>
                <w:noProof/>
                <w:webHidden/>
              </w:rPr>
              <w:fldChar w:fldCharType="begin"/>
            </w:r>
            <w:r w:rsidR="002414B3">
              <w:rPr>
                <w:noProof/>
                <w:webHidden/>
              </w:rPr>
              <w:instrText xml:space="preserve"> PAGEREF _Toc163155603 \h </w:instrText>
            </w:r>
            <w:r w:rsidR="002414B3">
              <w:rPr>
                <w:noProof/>
                <w:webHidden/>
              </w:rPr>
            </w:r>
            <w:r w:rsidR="002414B3">
              <w:rPr>
                <w:noProof/>
                <w:webHidden/>
              </w:rPr>
              <w:fldChar w:fldCharType="separate"/>
            </w:r>
            <w:r w:rsidR="002414B3">
              <w:rPr>
                <w:noProof/>
                <w:webHidden/>
              </w:rPr>
              <w:t>12</w:t>
            </w:r>
            <w:r w:rsidR="002414B3">
              <w:rPr>
                <w:noProof/>
                <w:webHidden/>
              </w:rPr>
              <w:fldChar w:fldCharType="end"/>
            </w:r>
          </w:hyperlink>
        </w:p>
        <w:p w14:paraId="7D60C1D2" w14:textId="17EC149D" w:rsidR="002414B3" w:rsidRDefault="00B330AF">
          <w:pPr>
            <w:pStyle w:val="TOC2"/>
            <w:tabs>
              <w:tab w:val="right" w:leader="dot" w:pos="9629"/>
            </w:tabs>
            <w:rPr>
              <w:rFonts w:asciiTheme="minorHAnsi" w:eastAsiaTheme="minorEastAsia" w:hAnsiTheme="minorHAnsi" w:cstheme="minorBidi"/>
              <w:noProof/>
              <w:kern w:val="2"/>
              <w:szCs w:val="22"/>
              <w:lang w:eastAsia="en-AU"/>
              <w14:ligatures w14:val="standardContextual"/>
            </w:rPr>
          </w:pPr>
          <w:hyperlink w:anchor="_Toc163155604" w:history="1">
            <w:r w:rsidR="002414B3" w:rsidRPr="00E224D2">
              <w:rPr>
                <w:rStyle w:val="Hyperlink"/>
                <w:noProof/>
              </w:rPr>
              <w:t>Responsibilities</w:t>
            </w:r>
            <w:r w:rsidR="002414B3">
              <w:rPr>
                <w:noProof/>
                <w:webHidden/>
              </w:rPr>
              <w:tab/>
            </w:r>
            <w:r w:rsidR="002414B3">
              <w:rPr>
                <w:noProof/>
                <w:webHidden/>
              </w:rPr>
              <w:fldChar w:fldCharType="begin"/>
            </w:r>
            <w:r w:rsidR="002414B3">
              <w:rPr>
                <w:noProof/>
                <w:webHidden/>
              </w:rPr>
              <w:instrText xml:space="preserve"> PAGEREF _Toc163155604 \h </w:instrText>
            </w:r>
            <w:r w:rsidR="002414B3">
              <w:rPr>
                <w:noProof/>
                <w:webHidden/>
              </w:rPr>
            </w:r>
            <w:r w:rsidR="002414B3">
              <w:rPr>
                <w:noProof/>
                <w:webHidden/>
              </w:rPr>
              <w:fldChar w:fldCharType="separate"/>
            </w:r>
            <w:r w:rsidR="002414B3">
              <w:rPr>
                <w:noProof/>
                <w:webHidden/>
              </w:rPr>
              <w:t>13</w:t>
            </w:r>
            <w:r w:rsidR="002414B3">
              <w:rPr>
                <w:noProof/>
                <w:webHidden/>
              </w:rPr>
              <w:fldChar w:fldCharType="end"/>
            </w:r>
          </w:hyperlink>
        </w:p>
        <w:p w14:paraId="03F88D2E" w14:textId="3D40EC7C" w:rsidR="002414B3" w:rsidRDefault="00B330AF">
          <w:pPr>
            <w:pStyle w:val="TOC2"/>
            <w:tabs>
              <w:tab w:val="right" w:leader="dot" w:pos="9629"/>
            </w:tabs>
            <w:rPr>
              <w:rFonts w:asciiTheme="minorHAnsi" w:eastAsiaTheme="minorEastAsia" w:hAnsiTheme="minorHAnsi" w:cstheme="minorBidi"/>
              <w:noProof/>
              <w:kern w:val="2"/>
              <w:szCs w:val="22"/>
              <w:lang w:eastAsia="en-AU"/>
              <w14:ligatures w14:val="standardContextual"/>
            </w:rPr>
          </w:pPr>
          <w:hyperlink w:anchor="_Toc163155605" w:history="1">
            <w:r w:rsidR="002414B3" w:rsidRPr="00E224D2">
              <w:rPr>
                <w:rStyle w:val="Hyperlink"/>
                <w:noProof/>
              </w:rPr>
              <w:t>Consultation</w:t>
            </w:r>
            <w:r w:rsidR="002414B3">
              <w:rPr>
                <w:noProof/>
                <w:webHidden/>
              </w:rPr>
              <w:tab/>
            </w:r>
            <w:r w:rsidR="002414B3">
              <w:rPr>
                <w:noProof/>
                <w:webHidden/>
              </w:rPr>
              <w:fldChar w:fldCharType="begin"/>
            </w:r>
            <w:r w:rsidR="002414B3">
              <w:rPr>
                <w:noProof/>
                <w:webHidden/>
              </w:rPr>
              <w:instrText xml:space="preserve"> PAGEREF _Toc163155605 \h </w:instrText>
            </w:r>
            <w:r w:rsidR="002414B3">
              <w:rPr>
                <w:noProof/>
                <w:webHidden/>
              </w:rPr>
            </w:r>
            <w:r w:rsidR="002414B3">
              <w:rPr>
                <w:noProof/>
                <w:webHidden/>
              </w:rPr>
              <w:fldChar w:fldCharType="separate"/>
            </w:r>
            <w:r w:rsidR="002414B3">
              <w:rPr>
                <w:noProof/>
                <w:webHidden/>
              </w:rPr>
              <w:t>13</w:t>
            </w:r>
            <w:r w:rsidR="002414B3">
              <w:rPr>
                <w:noProof/>
                <w:webHidden/>
              </w:rPr>
              <w:fldChar w:fldCharType="end"/>
            </w:r>
          </w:hyperlink>
        </w:p>
        <w:p w14:paraId="714CC2CC" w14:textId="57F38DE1" w:rsidR="002414B3" w:rsidRDefault="00B330AF">
          <w:pPr>
            <w:pStyle w:val="TOC2"/>
            <w:tabs>
              <w:tab w:val="right" w:leader="dot" w:pos="9629"/>
            </w:tabs>
            <w:rPr>
              <w:rFonts w:asciiTheme="minorHAnsi" w:eastAsiaTheme="minorEastAsia" w:hAnsiTheme="minorHAnsi" w:cstheme="minorBidi"/>
              <w:noProof/>
              <w:kern w:val="2"/>
              <w:szCs w:val="22"/>
              <w:lang w:eastAsia="en-AU"/>
              <w14:ligatures w14:val="standardContextual"/>
            </w:rPr>
          </w:pPr>
          <w:hyperlink w:anchor="_Toc163155606" w:history="1">
            <w:r w:rsidR="002414B3" w:rsidRPr="00E224D2">
              <w:rPr>
                <w:rStyle w:val="Hyperlink"/>
                <w:noProof/>
              </w:rPr>
              <w:t>References</w:t>
            </w:r>
            <w:r w:rsidR="002414B3">
              <w:rPr>
                <w:noProof/>
                <w:webHidden/>
              </w:rPr>
              <w:tab/>
            </w:r>
            <w:r w:rsidR="002414B3">
              <w:rPr>
                <w:noProof/>
                <w:webHidden/>
              </w:rPr>
              <w:fldChar w:fldCharType="begin"/>
            </w:r>
            <w:r w:rsidR="002414B3">
              <w:rPr>
                <w:noProof/>
                <w:webHidden/>
              </w:rPr>
              <w:instrText xml:space="preserve"> PAGEREF _Toc163155606 \h </w:instrText>
            </w:r>
            <w:r w:rsidR="002414B3">
              <w:rPr>
                <w:noProof/>
                <w:webHidden/>
              </w:rPr>
            </w:r>
            <w:r w:rsidR="002414B3">
              <w:rPr>
                <w:noProof/>
                <w:webHidden/>
              </w:rPr>
              <w:fldChar w:fldCharType="separate"/>
            </w:r>
            <w:r w:rsidR="002414B3">
              <w:rPr>
                <w:noProof/>
                <w:webHidden/>
              </w:rPr>
              <w:t>13</w:t>
            </w:r>
            <w:r w:rsidR="002414B3">
              <w:rPr>
                <w:noProof/>
                <w:webHidden/>
              </w:rPr>
              <w:fldChar w:fldCharType="end"/>
            </w:r>
          </w:hyperlink>
        </w:p>
        <w:p w14:paraId="28DA08F1" w14:textId="27D3B65F" w:rsidR="002414B3" w:rsidRDefault="00B330AF">
          <w:pPr>
            <w:pStyle w:val="TOC2"/>
            <w:tabs>
              <w:tab w:val="right" w:leader="dot" w:pos="9629"/>
            </w:tabs>
            <w:rPr>
              <w:rFonts w:asciiTheme="minorHAnsi" w:eastAsiaTheme="minorEastAsia" w:hAnsiTheme="minorHAnsi" w:cstheme="minorBidi"/>
              <w:noProof/>
              <w:kern w:val="2"/>
              <w:szCs w:val="22"/>
              <w:lang w:eastAsia="en-AU"/>
              <w14:ligatures w14:val="standardContextual"/>
            </w:rPr>
          </w:pPr>
          <w:hyperlink w:anchor="_Toc163155607" w:history="1">
            <w:r w:rsidR="002414B3" w:rsidRPr="00E224D2">
              <w:rPr>
                <w:rStyle w:val="Hyperlink"/>
                <w:noProof/>
              </w:rPr>
              <w:t>Further Information</w:t>
            </w:r>
            <w:r w:rsidR="002414B3">
              <w:rPr>
                <w:noProof/>
                <w:webHidden/>
              </w:rPr>
              <w:tab/>
            </w:r>
            <w:r w:rsidR="002414B3">
              <w:rPr>
                <w:noProof/>
                <w:webHidden/>
              </w:rPr>
              <w:fldChar w:fldCharType="begin"/>
            </w:r>
            <w:r w:rsidR="002414B3">
              <w:rPr>
                <w:noProof/>
                <w:webHidden/>
              </w:rPr>
              <w:instrText xml:space="preserve"> PAGEREF _Toc163155607 \h </w:instrText>
            </w:r>
            <w:r w:rsidR="002414B3">
              <w:rPr>
                <w:noProof/>
                <w:webHidden/>
              </w:rPr>
            </w:r>
            <w:r w:rsidR="002414B3">
              <w:rPr>
                <w:noProof/>
                <w:webHidden/>
              </w:rPr>
              <w:fldChar w:fldCharType="separate"/>
            </w:r>
            <w:r w:rsidR="002414B3">
              <w:rPr>
                <w:noProof/>
                <w:webHidden/>
              </w:rPr>
              <w:t>13</w:t>
            </w:r>
            <w:r w:rsidR="002414B3">
              <w:rPr>
                <w:noProof/>
                <w:webHidden/>
              </w:rPr>
              <w:fldChar w:fldCharType="end"/>
            </w:r>
          </w:hyperlink>
        </w:p>
        <w:p w14:paraId="4F95D0B4" w14:textId="715DF8F9" w:rsidR="002414B3" w:rsidRDefault="00B330AF">
          <w:pPr>
            <w:pStyle w:val="TOC2"/>
            <w:tabs>
              <w:tab w:val="right" w:leader="dot" w:pos="9629"/>
            </w:tabs>
            <w:rPr>
              <w:rFonts w:asciiTheme="minorHAnsi" w:eastAsiaTheme="minorEastAsia" w:hAnsiTheme="minorHAnsi" w:cstheme="minorBidi"/>
              <w:noProof/>
              <w:kern w:val="2"/>
              <w:szCs w:val="22"/>
              <w:lang w:eastAsia="en-AU"/>
              <w14:ligatures w14:val="standardContextual"/>
            </w:rPr>
          </w:pPr>
          <w:hyperlink w:anchor="_Toc163155608" w:history="1">
            <w:r w:rsidR="002414B3" w:rsidRPr="00E224D2">
              <w:rPr>
                <w:rStyle w:val="Hyperlink"/>
                <w:noProof/>
              </w:rPr>
              <w:t>Review</w:t>
            </w:r>
            <w:r w:rsidR="002414B3">
              <w:rPr>
                <w:noProof/>
                <w:webHidden/>
              </w:rPr>
              <w:tab/>
            </w:r>
            <w:r w:rsidR="002414B3">
              <w:rPr>
                <w:noProof/>
                <w:webHidden/>
              </w:rPr>
              <w:fldChar w:fldCharType="begin"/>
            </w:r>
            <w:r w:rsidR="002414B3">
              <w:rPr>
                <w:noProof/>
                <w:webHidden/>
              </w:rPr>
              <w:instrText xml:space="preserve"> PAGEREF _Toc163155608 \h </w:instrText>
            </w:r>
            <w:r w:rsidR="002414B3">
              <w:rPr>
                <w:noProof/>
                <w:webHidden/>
              </w:rPr>
            </w:r>
            <w:r w:rsidR="002414B3">
              <w:rPr>
                <w:noProof/>
                <w:webHidden/>
              </w:rPr>
              <w:fldChar w:fldCharType="separate"/>
            </w:r>
            <w:r w:rsidR="002414B3">
              <w:rPr>
                <w:noProof/>
                <w:webHidden/>
              </w:rPr>
              <w:t>14</w:t>
            </w:r>
            <w:r w:rsidR="002414B3">
              <w:rPr>
                <w:noProof/>
                <w:webHidden/>
              </w:rPr>
              <w:fldChar w:fldCharType="end"/>
            </w:r>
          </w:hyperlink>
        </w:p>
        <w:p w14:paraId="41746A59" w14:textId="057DC688" w:rsidR="002414B3" w:rsidRDefault="00B330AF">
          <w:pPr>
            <w:pStyle w:val="TOC2"/>
            <w:tabs>
              <w:tab w:val="right" w:leader="dot" w:pos="9629"/>
            </w:tabs>
            <w:rPr>
              <w:rFonts w:asciiTheme="minorHAnsi" w:eastAsiaTheme="minorEastAsia" w:hAnsiTheme="minorHAnsi" w:cstheme="minorBidi"/>
              <w:noProof/>
              <w:kern w:val="2"/>
              <w:szCs w:val="22"/>
              <w:lang w:eastAsia="en-AU"/>
              <w14:ligatures w14:val="standardContextual"/>
            </w:rPr>
          </w:pPr>
          <w:hyperlink w:anchor="_Toc163155609" w:history="1">
            <w:r w:rsidR="002414B3" w:rsidRPr="00E224D2">
              <w:rPr>
                <w:rStyle w:val="Hyperlink"/>
                <w:noProof/>
              </w:rPr>
              <w:t>Approval Authority</w:t>
            </w:r>
            <w:r w:rsidR="002414B3">
              <w:rPr>
                <w:noProof/>
                <w:webHidden/>
              </w:rPr>
              <w:tab/>
            </w:r>
            <w:r w:rsidR="002414B3">
              <w:rPr>
                <w:noProof/>
                <w:webHidden/>
              </w:rPr>
              <w:fldChar w:fldCharType="begin"/>
            </w:r>
            <w:r w:rsidR="002414B3">
              <w:rPr>
                <w:noProof/>
                <w:webHidden/>
              </w:rPr>
              <w:instrText xml:space="preserve"> PAGEREF _Toc163155609 \h </w:instrText>
            </w:r>
            <w:r w:rsidR="002414B3">
              <w:rPr>
                <w:noProof/>
                <w:webHidden/>
              </w:rPr>
            </w:r>
            <w:r w:rsidR="002414B3">
              <w:rPr>
                <w:noProof/>
                <w:webHidden/>
              </w:rPr>
              <w:fldChar w:fldCharType="separate"/>
            </w:r>
            <w:r w:rsidR="002414B3">
              <w:rPr>
                <w:noProof/>
                <w:webHidden/>
              </w:rPr>
              <w:t>14</w:t>
            </w:r>
            <w:r w:rsidR="002414B3">
              <w:rPr>
                <w:noProof/>
                <w:webHidden/>
              </w:rPr>
              <w:fldChar w:fldCharType="end"/>
            </w:r>
          </w:hyperlink>
        </w:p>
        <w:p w14:paraId="2A20B3D2" w14:textId="05F1D67D" w:rsidR="002414B3" w:rsidRDefault="00B330AF">
          <w:pPr>
            <w:pStyle w:val="TOC2"/>
            <w:tabs>
              <w:tab w:val="right" w:leader="dot" w:pos="9629"/>
            </w:tabs>
            <w:rPr>
              <w:rFonts w:asciiTheme="minorHAnsi" w:eastAsiaTheme="minorEastAsia" w:hAnsiTheme="minorHAnsi" w:cstheme="minorBidi"/>
              <w:noProof/>
              <w:kern w:val="2"/>
              <w:szCs w:val="22"/>
              <w:lang w:eastAsia="en-AU"/>
              <w14:ligatures w14:val="standardContextual"/>
            </w:rPr>
          </w:pPr>
          <w:hyperlink w:anchor="_Toc163155610" w:history="1">
            <w:r w:rsidR="002414B3" w:rsidRPr="00E224D2">
              <w:rPr>
                <w:rStyle w:val="Hyperlink"/>
                <w:noProof/>
              </w:rPr>
              <w:t>Appendix 1: ARIn Process Flow</w:t>
            </w:r>
            <w:r w:rsidR="002414B3">
              <w:rPr>
                <w:noProof/>
                <w:webHidden/>
              </w:rPr>
              <w:tab/>
            </w:r>
            <w:r w:rsidR="002414B3">
              <w:rPr>
                <w:noProof/>
                <w:webHidden/>
              </w:rPr>
              <w:fldChar w:fldCharType="begin"/>
            </w:r>
            <w:r w:rsidR="002414B3">
              <w:rPr>
                <w:noProof/>
                <w:webHidden/>
              </w:rPr>
              <w:instrText xml:space="preserve"> PAGEREF _Toc163155610 \h </w:instrText>
            </w:r>
            <w:r w:rsidR="002414B3">
              <w:rPr>
                <w:noProof/>
                <w:webHidden/>
              </w:rPr>
            </w:r>
            <w:r w:rsidR="002414B3">
              <w:rPr>
                <w:noProof/>
                <w:webHidden/>
              </w:rPr>
              <w:fldChar w:fldCharType="separate"/>
            </w:r>
            <w:r w:rsidR="002414B3">
              <w:rPr>
                <w:noProof/>
                <w:webHidden/>
              </w:rPr>
              <w:t>15</w:t>
            </w:r>
            <w:r w:rsidR="002414B3">
              <w:rPr>
                <w:noProof/>
                <w:webHidden/>
              </w:rPr>
              <w:fldChar w:fldCharType="end"/>
            </w:r>
          </w:hyperlink>
        </w:p>
        <w:p w14:paraId="439F50D0" w14:textId="192B91D7" w:rsidR="002414B3" w:rsidRDefault="00B330AF">
          <w:pPr>
            <w:pStyle w:val="TOC2"/>
            <w:tabs>
              <w:tab w:val="right" w:leader="dot" w:pos="9629"/>
            </w:tabs>
            <w:rPr>
              <w:rFonts w:asciiTheme="minorHAnsi" w:eastAsiaTheme="minorEastAsia" w:hAnsiTheme="minorHAnsi" w:cstheme="minorBidi"/>
              <w:noProof/>
              <w:kern w:val="2"/>
              <w:szCs w:val="22"/>
              <w:lang w:eastAsia="en-AU"/>
              <w14:ligatures w14:val="standardContextual"/>
            </w:rPr>
          </w:pPr>
          <w:hyperlink w:anchor="_Toc163155611" w:history="1">
            <w:r w:rsidR="002414B3" w:rsidRPr="00E224D2">
              <w:rPr>
                <w:rStyle w:val="Hyperlink"/>
                <w:noProof/>
              </w:rPr>
              <w:t>Appendix 2: Recruitment and Advertising in relation to ARIn</w:t>
            </w:r>
            <w:r w:rsidR="002414B3">
              <w:rPr>
                <w:noProof/>
                <w:webHidden/>
              </w:rPr>
              <w:tab/>
            </w:r>
            <w:r w:rsidR="002414B3">
              <w:rPr>
                <w:noProof/>
                <w:webHidden/>
              </w:rPr>
              <w:fldChar w:fldCharType="begin"/>
            </w:r>
            <w:r w:rsidR="002414B3">
              <w:rPr>
                <w:noProof/>
                <w:webHidden/>
              </w:rPr>
              <w:instrText xml:space="preserve"> PAGEREF _Toc163155611 \h </w:instrText>
            </w:r>
            <w:r w:rsidR="002414B3">
              <w:rPr>
                <w:noProof/>
                <w:webHidden/>
              </w:rPr>
            </w:r>
            <w:r w:rsidR="002414B3">
              <w:rPr>
                <w:noProof/>
                <w:webHidden/>
              </w:rPr>
              <w:fldChar w:fldCharType="separate"/>
            </w:r>
            <w:r w:rsidR="002414B3">
              <w:rPr>
                <w:noProof/>
                <w:webHidden/>
              </w:rPr>
              <w:t>16</w:t>
            </w:r>
            <w:r w:rsidR="002414B3">
              <w:rPr>
                <w:noProof/>
                <w:webHidden/>
              </w:rPr>
              <w:fldChar w:fldCharType="end"/>
            </w:r>
          </w:hyperlink>
        </w:p>
        <w:p w14:paraId="51EC0704" w14:textId="251EF47C" w:rsidR="002414B3" w:rsidRDefault="00B330AF">
          <w:pPr>
            <w:pStyle w:val="TOC3"/>
            <w:tabs>
              <w:tab w:val="right" w:leader="dot" w:pos="9629"/>
            </w:tabs>
            <w:rPr>
              <w:rFonts w:asciiTheme="minorHAnsi" w:eastAsiaTheme="minorEastAsia" w:hAnsiTheme="minorHAnsi" w:cstheme="minorBidi"/>
              <w:noProof/>
              <w:kern w:val="2"/>
              <w:szCs w:val="22"/>
              <w:lang w:eastAsia="en-AU"/>
              <w14:ligatures w14:val="standardContextual"/>
            </w:rPr>
          </w:pPr>
          <w:hyperlink w:anchor="_Toc163155612" w:history="1">
            <w:r w:rsidR="002414B3" w:rsidRPr="00E224D2">
              <w:rPr>
                <w:rStyle w:val="Hyperlink"/>
                <w:noProof/>
              </w:rPr>
              <w:t>Advertising with an ARIn</w:t>
            </w:r>
            <w:r w:rsidR="002414B3">
              <w:rPr>
                <w:noProof/>
                <w:webHidden/>
              </w:rPr>
              <w:tab/>
            </w:r>
            <w:r w:rsidR="002414B3">
              <w:rPr>
                <w:noProof/>
                <w:webHidden/>
              </w:rPr>
              <w:fldChar w:fldCharType="begin"/>
            </w:r>
            <w:r w:rsidR="002414B3">
              <w:rPr>
                <w:noProof/>
                <w:webHidden/>
              </w:rPr>
              <w:instrText xml:space="preserve"> PAGEREF _Toc163155612 \h </w:instrText>
            </w:r>
            <w:r w:rsidR="002414B3">
              <w:rPr>
                <w:noProof/>
                <w:webHidden/>
              </w:rPr>
            </w:r>
            <w:r w:rsidR="002414B3">
              <w:rPr>
                <w:noProof/>
                <w:webHidden/>
              </w:rPr>
              <w:fldChar w:fldCharType="separate"/>
            </w:r>
            <w:r w:rsidR="002414B3">
              <w:rPr>
                <w:noProof/>
                <w:webHidden/>
              </w:rPr>
              <w:t>16</w:t>
            </w:r>
            <w:r w:rsidR="002414B3">
              <w:rPr>
                <w:noProof/>
                <w:webHidden/>
              </w:rPr>
              <w:fldChar w:fldCharType="end"/>
            </w:r>
          </w:hyperlink>
        </w:p>
        <w:p w14:paraId="66D5FAEB" w14:textId="4423A32E" w:rsidR="002414B3" w:rsidRDefault="00B330AF">
          <w:pPr>
            <w:pStyle w:val="TOC3"/>
            <w:tabs>
              <w:tab w:val="right" w:leader="dot" w:pos="9629"/>
            </w:tabs>
            <w:rPr>
              <w:rFonts w:asciiTheme="minorHAnsi" w:eastAsiaTheme="minorEastAsia" w:hAnsiTheme="minorHAnsi" w:cstheme="minorBidi"/>
              <w:noProof/>
              <w:kern w:val="2"/>
              <w:szCs w:val="22"/>
              <w:lang w:eastAsia="en-AU"/>
              <w14:ligatures w14:val="standardContextual"/>
            </w:rPr>
          </w:pPr>
          <w:hyperlink w:anchor="_Toc163155613" w:history="1">
            <w:r w:rsidR="002414B3" w:rsidRPr="00E224D2">
              <w:rPr>
                <w:rStyle w:val="Hyperlink"/>
                <w:noProof/>
              </w:rPr>
              <w:t>Offering an ARIn as Part of a Job Offer</w:t>
            </w:r>
            <w:r w:rsidR="002414B3">
              <w:rPr>
                <w:noProof/>
                <w:webHidden/>
              </w:rPr>
              <w:tab/>
            </w:r>
            <w:r w:rsidR="002414B3">
              <w:rPr>
                <w:noProof/>
                <w:webHidden/>
              </w:rPr>
              <w:fldChar w:fldCharType="begin"/>
            </w:r>
            <w:r w:rsidR="002414B3">
              <w:rPr>
                <w:noProof/>
                <w:webHidden/>
              </w:rPr>
              <w:instrText xml:space="preserve"> PAGEREF _Toc163155613 \h </w:instrText>
            </w:r>
            <w:r w:rsidR="002414B3">
              <w:rPr>
                <w:noProof/>
                <w:webHidden/>
              </w:rPr>
            </w:r>
            <w:r w:rsidR="002414B3">
              <w:rPr>
                <w:noProof/>
                <w:webHidden/>
              </w:rPr>
              <w:fldChar w:fldCharType="separate"/>
            </w:r>
            <w:r w:rsidR="002414B3">
              <w:rPr>
                <w:noProof/>
                <w:webHidden/>
              </w:rPr>
              <w:t>17</w:t>
            </w:r>
            <w:r w:rsidR="002414B3">
              <w:rPr>
                <w:noProof/>
                <w:webHidden/>
              </w:rPr>
              <w:fldChar w:fldCharType="end"/>
            </w:r>
          </w:hyperlink>
        </w:p>
        <w:p w14:paraId="3A07FABD" w14:textId="214C73ED" w:rsidR="002414B3" w:rsidRDefault="00B330AF">
          <w:pPr>
            <w:pStyle w:val="TOC3"/>
            <w:tabs>
              <w:tab w:val="right" w:leader="dot" w:pos="9629"/>
            </w:tabs>
            <w:rPr>
              <w:rFonts w:asciiTheme="minorHAnsi" w:eastAsiaTheme="minorEastAsia" w:hAnsiTheme="minorHAnsi" w:cstheme="minorBidi"/>
              <w:noProof/>
              <w:kern w:val="2"/>
              <w:szCs w:val="22"/>
              <w:lang w:eastAsia="en-AU"/>
              <w14:ligatures w14:val="standardContextual"/>
            </w:rPr>
          </w:pPr>
          <w:hyperlink w:anchor="_Toc163155614" w:history="1">
            <w:r w:rsidR="002414B3" w:rsidRPr="00E224D2">
              <w:rPr>
                <w:rStyle w:val="Hyperlink"/>
                <w:noProof/>
              </w:rPr>
              <w:t>Advertising Positions Covered by a Group ARIn</w:t>
            </w:r>
            <w:r w:rsidR="002414B3">
              <w:rPr>
                <w:noProof/>
                <w:webHidden/>
              </w:rPr>
              <w:tab/>
            </w:r>
            <w:r w:rsidR="002414B3">
              <w:rPr>
                <w:noProof/>
                <w:webHidden/>
              </w:rPr>
              <w:fldChar w:fldCharType="begin"/>
            </w:r>
            <w:r w:rsidR="002414B3">
              <w:rPr>
                <w:noProof/>
                <w:webHidden/>
              </w:rPr>
              <w:instrText xml:space="preserve"> PAGEREF _Toc163155614 \h </w:instrText>
            </w:r>
            <w:r w:rsidR="002414B3">
              <w:rPr>
                <w:noProof/>
                <w:webHidden/>
              </w:rPr>
            </w:r>
            <w:r w:rsidR="002414B3">
              <w:rPr>
                <w:noProof/>
                <w:webHidden/>
              </w:rPr>
              <w:fldChar w:fldCharType="separate"/>
            </w:r>
            <w:r w:rsidR="002414B3">
              <w:rPr>
                <w:noProof/>
                <w:webHidden/>
              </w:rPr>
              <w:t>17</w:t>
            </w:r>
            <w:r w:rsidR="002414B3">
              <w:rPr>
                <w:noProof/>
                <w:webHidden/>
              </w:rPr>
              <w:fldChar w:fldCharType="end"/>
            </w:r>
          </w:hyperlink>
        </w:p>
        <w:p w14:paraId="5F2AF7AE" w14:textId="2328ABF8" w:rsidR="002414B3" w:rsidRDefault="00B330AF">
          <w:pPr>
            <w:pStyle w:val="TOC3"/>
            <w:tabs>
              <w:tab w:val="right" w:leader="dot" w:pos="9629"/>
            </w:tabs>
            <w:rPr>
              <w:rFonts w:asciiTheme="minorHAnsi" w:eastAsiaTheme="minorEastAsia" w:hAnsiTheme="minorHAnsi" w:cstheme="minorBidi"/>
              <w:noProof/>
              <w:kern w:val="2"/>
              <w:szCs w:val="22"/>
              <w:lang w:eastAsia="en-AU"/>
              <w14:ligatures w14:val="standardContextual"/>
            </w:rPr>
          </w:pPr>
          <w:hyperlink w:anchor="_Toc163155615" w:history="1">
            <w:r w:rsidR="002414B3" w:rsidRPr="00E224D2">
              <w:rPr>
                <w:rStyle w:val="Hyperlink"/>
                <w:noProof/>
              </w:rPr>
              <w:t>Making Formal Offers with an ARIn Included</w:t>
            </w:r>
            <w:r w:rsidR="002414B3">
              <w:rPr>
                <w:noProof/>
                <w:webHidden/>
              </w:rPr>
              <w:tab/>
            </w:r>
            <w:r w:rsidR="002414B3">
              <w:rPr>
                <w:noProof/>
                <w:webHidden/>
              </w:rPr>
              <w:fldChar w:fldCharType="begin"/>
            </w:r>
            <w:r w:rsidR="002414B3">
              <w:rPr>
                <w:noProof/>
                <w:webHidden/>
              </w:rPr>
              <w:instrText xml:space="preserve"> PAGEREF _Toc163155615 \h </w:instrText>
            </w:r>
            <w:r w:rsidR="002414B3">
              <w:rPr>
                <w:noProof/>
                <w:webHidden/>
              </w:rPr>
            </w:r>
            <w:r w:rsidR="002414B3">
              <w:rPr>
                <w:noProof/>
                <w:webHidden/>
              </w:rPr>
              <w:fldChar w:fldCharType="separate"/>
            </w:r>
            <w:r w:rsidR="002414B3">
              <w:rPr>
                <w:noProof/>
                <w:webHidden/>
              </w:rPr>
              <w:t>18</w:t>
            </w:r>
            <w:r w:rsidR="002414B3">
              <w:rPr>
                <w:noProof/>
                <w:webHidden/>
              </w:rPr>
              <w:fldChar w:fldCharType="end"/>
            </w:r>
          </w:hyperlink>
        </w:p>
        <w:p w14:paraId="0E6CB1F2" w14:textId="1A6419D4" w:rsidR="002414B3" w:rsidRDefault="00B330AF">
          <w:pPr>
            <w:pStyle w:val="TOC2"/>
            <w:tabs>
              <w:tab w:val="right" w:leader="dot" w:pos="9629"/>
            </w:tabs>
            <w:rPr>
              <w:rFonts w:asciiTheme="minorHAnsi" w:eastAsiaTheme="minorEastAsia" w:hAnsiTheme="minorHAnsi" w:cstheme="minorBidi"/>
              <w:noProof/>
              <w:kern w:val="2"/>
              <w:szCs w:val="22"/>
              <w:lang w:eastAsia="en-AU"/>
              <w14:ligatures w14:val="standardContextual"/>
            </w:rPr>
          </w:pPr>
          <w:hyperlink w:anchor="_Toc163155616" w:history="1">
            <w:r w:rsidR="002414B3" w:rsidRPr="00E224D2">
              <w:rPr>
                <w:rStyle w:val="Hyperlink"/>
                <w:noProof/>
              </w:rPr>
              <w:t>Appendix 3: Group ARIns</w:t>
            </w:r>
            <w:r w:rsidR="002414B3">
              <w:rPr>
                <w:noProof/>
                <w:webHidden/>
              </w:rPr>
              <w:tab/>
            </w:r>
            <w:r w:rsidR="002414B3">
              <w:rPr>
                <w:noProof/>
                <w:webHidden/>
              </w:rPr>
              <w:fldChar w:fldCharType="begin"/>
            </w:r>
            <w:r w:rsidR="002414B3">
              <w:rPr>
                <w:noProof/>
                <w:webHidden/>
              </w:rPr>
              <w:instrText xml:space="preserve"> PAGEREF _Toc163155616 \h </w:instrText>
            </w:r>
            <w:r w:rsidR="002414B3">
              <w:rPr>
                <w:noProof/>
                <w:webHidden/>
              </w:rPr>
            </w:r>
            <w:r w:rsidR="002414B3">
              <w:rPr>
                <w:noProof/>
                <w:webHidden/>
              </w:rPr>
              <w:fldChar w:fldCharType="separate"/>
            </w:r>
            <w:r w:rsidR="002414B3">
              <w:rPr>
                <w:noProof/>
                <w:webHidden/>
              </w:rPr>
              <w:t>19</w:t>
            </w:r>
            <w:r w:rsidR="002414B3">
              <w:rPr>
                <w:noProof/>
                <w:webHidden/>
              </w:rPr>
              <w:fldChar w:fldCharType="end"/>
            </w:r>
          </w:hyperlink>
        </w:p>
        <w:p w14:paraId="7AF33B52" w14:textId="0D490B55" w:rsidR="002414B3" w:rsidRDefault="00B330AF">
          <w:pPr>
            <w:pStyle w:val="TOC3"/>
            <w:tabs>
              <w:tab w:val="right" w:leader="dot" w:pos="9629"/>
            </w:tabs>
            <w:rPr>
              <w:rFonts w:asciiTheme="minorHAnsi" w:eastAsiaTheme="minorEastAsia" w:hAnsiTheme="minorHAnsi" w:cstheme="minorBidi"/>
              <w:noProof/>
              <w:kern w:val="2"/>
              <w:szCs w:val="22"/>
              <w:lang w:eastAsia="en-AU"/>
              <w14:ligatures w14:val="standardContextual"/>
            </w:rPr>
          </w:pPr>
          <w:hyperlink w:anchor="_Toc163155617" w:history="1">
            <w:r w:rsidR="002414B3" w:rsidRPr="00E224D2">
              <w:rPr>
                <w:rStyle w:val="Hyperlink"/>
                <w:noProof/>
              </w:rPr>
              <w:t>Group ARIns</w:t>
            </w:r>
            <w:r w:rsidR="002414B3">
              <w:rPr>
                <w:noProof/>
                <w:webHidden/>
              </w:rPr>
              <w:tab/>
            </w:r>
            <w:r w:rsidR="002414B3">
              <w:rPr>
                <w:noProof/>
                <w:webHidden/>
              </w:rPr>
              <w:fldChar w:fldCharType="begin"/>
            </w:r>
            <w:r w:rsidR="002414B3">
              <w:rPr>
                <w:noProof/>
                <w:webHidden/>
              </w:rPr>
              <w:instrText xml:space="preserve"> PAGEREF _Toc163155617 \h </w:instrText>
            </w:r>
            <w:r w:rsidR="002414B3">
              <w:rPr>
                <w:noProof/>
                <w:webHidden/>
              </w:rPr>
            </w:r>
            <w:r w:rsidR="002414B3">
              <w:rPr>
                <w:noProof/>
                <w:webHidden/>
              </w:rPr>
              <w:fldChar w:fldCharType="separate"/>
            </w:r>
            <w:r w:rsidR="002414B3">
              <w:rPr>
                <w:noProof/>
                <w:webHidden/>
              </w:rPr>
              <w:t>19</w:t>
            </w:r>
            <w:r w:rsidR="002414B3">
              <w:rPr>
                <w:noProof/>
                <w:webHidden/>
              </w:rPr>
              <w:fldChar w:fldCharType="end"/>
            </w:r>
          </w:hyperlink>
        </w:p>
        <w:p w14:paraId="11910B75" w14:textId="6037B1A6" w:rsidR="00CD436C" w:rsidRDefault="00CD436C">
          <w:r>
            <w:rPr>
              <w:b/>
              <w:bCs/>
              <w:noProof/>
            </w:rPr>
            <w:fldChar w:fldCharType="end"/>
          </w:r>
        </w:p>
      </w:sdtContent>
    </w:sdt>
    <w:p w14:paraId="759238B4" w14:textId="0596496E" w:rsidR="004532BF" w:rsidRDefault="004532BF" w:rsidP="004532BF">
      <w:pPr>
        <w:rPr>
          <w:lang w:eastAsia="en-AU"/>
        </w:rPr>
      </w:pPr>
    </w:p>
    <w:p w14:paraId="718BB422" w14:textId="178A7EE1" w:rsidR="004532BF" w:rsidRDefault="004532BF" w:rsidP="004532BF">
      <w:pPr>
        <w:rPr>
          <w:lang w:eastAsia="en-AU"/>
        </w:rPr>
      </w:pPr>
    </w:p>
    <w:p w14:paraId="37324166" w14:textId="1E03C0B8" w:rsidR="004532BF" w:rsidRDefault="004532BF" w:rsidP="004532BF">
      <w:pPr>
        <w:rPr>
          <w:lang w:eastAsia="en-AU"/>
        </w:rPr>
      </w:pPr>
    </w:p>
    <w:p w14:paraId="11052472" w14:textId="0D53D57A" w:rsidR="004532BF" w:rsidRDefault="004532BF" w:rsidP="004532BF">
      <w:pPr>
        <w:rPr>
          <w:lang w:eastAsia="en-AU"/>
        </w:rPr>
      </w:pPr>
    </w:p>
    <w:p w14:paraId="6431554D" w14:textId="53A25CB7" w:rsidR="004532BF" w:rsidRDefault="004532BF" w:rsidP="004532BF">
      <w:pPr>
        <w:rPr>
          <w:lang w:eastAsia="en-AU"/>
        </w:rPr>
      </w:pPr>
    </w:p>
    <w:p w14:paraId="16CBA7FB" w14:textId="1DF8174F" w:rsidR="004532BF" w:rsidRDefault="004532BF" w:rsidP="004532BF">
      <w:pPr>
        <w:rPr>
          <w:lang w:eastAsia="en-AU"/>
        </w:rPr>
      </w:pPr>
    </w:p>
    <w:p w14:paraId="51A30458" w14:textId="75EA8B38" w:rsidR="004532BF" w:rsidRDefault="004532BF" w:rsidP="004532BF">
      <w:pPr>
        <w:rPr>
          <w:lang w:eastAsia="en-AU"/>
        </w:rPr>
      </w:pPr>
    </w:p>
    <w:p w14:paraId="41EBC8B9" w14:textId="0D8031E9" w:rsidR="004532BF" w:rsidRDefault="004532BF" w:rsidP="004532BF">
      <w:pPr>
        <w:rPr>
          <w:lang w:eastAsia="en-AU"/>
        </w:rPr>
      </w:pPr>
    </w:p>
    <w:p w14:paraId="0A075CD0" w14:textId="57804EA2" w:rsidR="004532BF" w:rsidRDefault="004532BF" w:rsidP="004532BF">
      <w:pPr>
        <w:rPr>
          <w:lang w:eastAsia="en-AU"/>
        </w:rPr>
      </w:pPr>
    </w:p>
    <w:p w14:paraId="70558A18" w14:textId="1C9FB47B" w:rsidR="004532BF" w:rsidRDefault="004532BF" w:rsidP="004532BF">
      <w:pPr>
        <w:rPr>
          <w:lang w:eastAsia="en-AU"/>
        </w:rPr>
      </w:pPr>
    </w:p>
    <w:p w14:paraId="35DB8C9B" w14:textId="42ADD972" w:rsidR="004532BF" w:rsidRDefault="004532BF" w:rsidP="004532BF">
      <w:pPr>
        <w:rPr>
          <w:lang w:eastAsia="en-AU"/>
        </w:rPr>
      </w:pPr>
    </w:p>
    <w:p w14:paraId="227BBAAA" w14:textId="7FB4D3D6" w:rsidR="004532BF" w:rsidRDefault="004532BF" w:rsidP="004532BF">
      <w:pPr>
        <w:rPr>
          <w:lang w:eastAsia="en-AU"/>
        </w:rPr>
      </w:pPr>
    </w:p>
    <w:p w14:paraId="19FF500E" w14:textId="3F4D3D82" w:rsidR="009266DD" w:rsidRPr="006F367A" w:rsidRDefault="00D31877" w:rsidP="004532BF">
      <w:pPr>
        <w:pStyle w:val="Heading1"/>
      </w:pPr>
      <w:bookmarkStart w:id="7" w:name="_Toc158122213"/>
      <w:bookmarkStart w:id="8" w:name="_Toc163155582"/>
      <w:r>
        <w:lastRenderedPageBreak/>
        <w:t>Attraction and Retention Incentives Policy</w:t>
      </w:r>
      <w:bookmarkEnd w:id="7"/>
      <w:bookmarkEnd w:id="8"/>
    </w:p>
    <w:p w14:paraId="72AEF1D7" w14:textId="2756745D" w:rsidR="009266DD" w:rsidRDefault="00797552" w:rsidP="005F70C4">
      <w:pPr>
        <w:pStyle w:val="Heading2"/>
      </w:pPr>
      <w:bookmarkStart w:id="9" w:name="_Toc163155583"/>
      <w:r>
        <w:t>Introduction / Purpose</w:t>
      </w:r>
      <w:bookmarkEnd w:id="9"/>
    </w:p>
    <w:p w14:paraId="7BA4097D" w14:textId="25F00D22" w:rsidR="00D31877" w:rsidRPr="00D31877" w:rsidRDefault="00D31877" w:rsidP="00B548BA">
      <w:pPr>
        <w:pStyle w:val="ListParagraph"/>
        <w:numPr>
          <w:ilvl w:val="0"/>
          <w:numId w:val="18"/>
        </w:numPr>
        <w:ind w:left="714" w:hanging="357"/>
      </w:pPr>
      <w:r w:rsidRPr="00D31877">
        <w:t xml:space="preserve">An Attraction and Retention Incentive (ARIn) is provided as a tool for Directorates and Public Sector bodies to utilise when managing recruitment or retention of an employee or group of employees with a required skill set that benefits the ACT Government and community. </w:t>
      </w:r>
    </w:p>
    <w:p w14:paraId="5F0CF8E5" w14:textId="0CF2CB0A" w:rsidR="00D31877" w:rsidRPr="00D31877" w:rsidRDefault="00D31877" w:rsidP="00B548BA">
      <w:pPr>
        <w:pStyle w:val="ListParagraph"/>
        <w:numPr>
          <w:ilvl w:val="0"/>
          <w:numId w:val="18"/>
        </w:numPr>
        <w:ind w:left="714" w:hanging="357"/>
      </w:pPr>
      <w:r w:rsidRPr="00D31877">
        <w:t xml:space="preserve">This policy sets out the mandatory guidelines for the use and approval of ARIns. It supplements the ARIn Framework contained in Annex B of the relevant 2023-2026 </w:t>
      </w:r>
      <w:hyperlink r:id="rId20" w:history="1">
        <w:r w:rsidRPr="00D31877">
          <w:rPr>
            <w:rStyle w:val="Hyperlink"/>
            <w:szCs w:val="22"/>
          </w:rPr>
          <w:t>ACTPS Enterprise Agreement</w:t>
        </w:r>
      </w:hyperlink>
      <w:r w:rsidRPr="00D31877">
        <w:t xml:space="preserve"> (the Agreement). </w:t>
      </w:r>
    </w:p>
    <w:p w14:paraId="261B5AA4" w14:textId="1C652742" w:rsidR="00D31877" w:rsidRPr="00D31877" w:rsidRDefault="00D31877" w:rsidP="00B548BA">
      <w:pPr>
        <w:pStyle w:val="ListParagraph"/>
        <w:numPr>
          <w:ilvl w:val="0"/>
          <w:numId w:val="18"/>
        </w:numPr>
        <w:ind w:left="714" w:hanging="357"/>
      </w:pPr>
      <w:r w:rsidRPr="00D31877">
        <w:t>Subject to the terms of the ARIn Framework in the relevant Agreement and this policy, the decision to create, vary or cease an ARIn rests with the Director-General (or equivalent), following consultation with the Head of Service.</w:t>
      </w:r>
    </w:p>
    <w:p w14:paraId="6946E8A1" w14:textId="6C918800" w:rsidR="00797552" w:rsidRDefault="00797552" w:rsidP="00D31877">
      <w:pPr>
        <w:pStyle w:val="Heading2"/>
      </w:pPr>
      <w:bookmarkStart w:id="10" w:name="_Toc163155584"/>
      <w:r>
        <w:t>Application</w:t>
      </w:r>
      <w:bookmarkEnd w:id="10"/>
    </w:p>
    <w:p w14:paraId="4C40D0DB" w14:textId="4D7349B1" w:rsidR="00D31877" w:rsidRPr="00D31877" w:rsidRDefault="00D31877" w:rsidP="00B548BA">
      <w:pPr>
        <w:pStyle w:val="ListParagraph"/>
        <w:numPr>
          <w:ilvl w:val="0"/>
          <w:numId w:val="18"/>
        </w:numPr>
        <w:ind w:left="714" w:hanging="357"/>
      </w:pPr>
      <w:r w:rsidRPr="00D31877">
        <w:t xml:space="preserve">This policy is a whole-of-government instruction issued by the Head of Service under section 17(2)(a) of the </w:t>
      </w:r>
      <w:hyperlink r:id="rId21" w:history="1">
        <w:r w:rsidRPr="00D31877">
          <w:rPr>
            <w:rStyle w:val="Hyperlink"/>
            <w:iCs/>
            <w:szCs w:val="22"/>
          </w:rPr>
          <w:t>Public Sector Management Act 1994</w:t>
        </w:r>
      </w:hyperlink>
      <w:r w:rsidRPr="00D31877">
        <w:t xml:space="preserve"> (PSM Act) and binds</w:t>
      </w:r>
      <w:r w:rsidRPr="00CD436C">
        <w:t xml:space="preserve"> all employees </w:t>
      </w:r>
      <w:r w:rsidRPr="00D31877">
        <w:t xml:space="preserve">engaged under the PSM Act and all public sector employers within the meaning of section 152(1) of the PSM Act. </w:t>
      </w:r>
    </w:p>
    <w:p w14:paraId="6D993866" w14:textId="06CA0863" w:rsidR="00D31877" w:rsidRPr="00D31877" w:rsidRDefault="00D31877" w:rsidP="00B548BA">
      <w:pPr>
        <w:pStyle w:val="ListParagraph"/>
        <w:numPr>
          <w:ilvl w:val="0"/>
          <w:numId w:val="18"/>
        </w:numPr>
        <w:ind w:left="714" w:hanging="357"/>
      </w:pPr>
      <w:r w:rsidRPr="00D31877">
        <w:t xml:space="preserve">For the purposes of this policy, any reference to the Head of Service and/or Director-General is also taken to be a reference to a public sector employer within the meaning of section 152(1) of the PSM Act. </w:t>
      </w:r>
    </w:p>
    <w:p w14:paraId="2A158EE7" w14:textId="29D34156" w:rsidR="00D31877" w:rsidRPr="00D31877" w:rsidRDefault="00D31877" w:rsidP="00B548BA">
      <w:pPr>
        <w:pStyle w:val="ListParagraph"/>
        <w:numPr>
          <w:ilvl w:val="0"/>
          <w:numId w:val="18"/>
        </w:numPr>
        <w:ind w:left="714" w:hanging="357"/>
      </w:pPr>
      <w:r w:rsidRPr="00D31877">
        <w:t>For the purpose of this policy, employee means an officer or a casual employee or a temporary employee who is employed or engaged under the PSM Act in a classification set out in Annex A.</w:t>
      </w:r>
    </w:p>
    <w:p w14:paraId="1817F27C" w14:textId="483B5708" w:rsidR="00D31877" w:rsidRPr="00D31877" w:rsidRDefault="00D31877" w:rsidP="00B548BA">
      <w:pPr>
        <w:pStyle w:val="ListParagraph"/>
        <w:numPr>
          <w:ilvl w:val="0"/>
          <w:numId w:val="18"/>
        </w:numPr>
        <w:ind w:left="714" w:hanging="357"/>
        <w:rPr>
          <w:b/>
          <w:color w:val="AB4399"/>
        </w:rPr>
      </w:pPr>
      <w:r w:rsidRPr="00D31877">
        <w:t>This policy applies to all ACT Government Directorates and Public Sector bodies in relation to employees covered by an Enterprise Agreement, which contains the ARIn Framework.</w:t>
      </w:r>
    </w:p>
    <w:p w14:paraId="55FD1A3C" w14:textId="2F35F966" w:rsidR="00797552" w:rsidRDefault="00797552" w:rsidP="00797552">
      <w:pPr>
        <w:pStyle w:val="Heading2"/>
      </w:pPr>
      <w:bookmarkStart w:id="11" w:name="_Toc163155585"/>
      <w:r>
        <w:t xml:space="preserve">Key </w:t>
      </w:r>
      <w:r w:rsidRPr="002341A9">
        <w:t>Legislative</w:t>
      </w:r>
      <w:r>
        <w:t xml:space="preserve"> Provisions</w:t>
      </w:r>
      <w:bookmarkEnd w:id="11"/>
    </w:p>
    <w:p w14:paraId="070FEF50" w14:textId="43389BB7" w:rsidR="00797552" w:rsidRPr="00D31877" w:rsidRDefault="00FD36FA" w:rsidP="00B548BA">
      <w:pPr>
        <w:pStyle w:val="ListParagraph"/>
        <w:numPr>
          <w:ilvl w:val="0"/>
          <w:numId w:val="18"/>
        </w:numPr>
        <w:ind w:left="714" w:hanging="357"/>
        <w:rPr>
          <w:szCs w:val="22"/>
        </w:rPr>
      </w:pPr>
      <w:r>
        <w:rPr>
          <w:szCs w:val="22"/>
        </w:rPr>
        <w:t xml:space="preserve">The key </w:t>
      </w:r>
      <w:r w:rsidR="00D8303E">
        <w:rPr>
          <w:szCs w:val="22"/>
        </w:rPr>
        <w:t>E</w:t>
      </w:r>
      <w:r>
        <w:rPr>
          <w:szCs w:val="22"/>
        </w:rPr>
        <w:t xml:space="preserve">nterprise </w:t>
      </w:r>
      <w:r w:rsidR="00D8303E">
        <w:rPr>
          <w:szCs w:val="22"/>
        </w:rPr>
        <w:t>A</w:t>
      </w:r>
      <w:r>
        <w:rPr>
          <w:szCs w:val="22"/>
        </w:rPr>
        <w:t>greement provisions are contained in Annex B – Attraction and Retention Incentives of the relevant 2023-2026 ACTPS Enterprise Agreements.</w:t>
      </w:r>
    </w:p>
    <w:p w14:paraId="7746D5EE" w14:textId="3FF572A0" w:rsidR="00797552" w:rsidRDefault="00797552" w:rsidP="00797552">
      <w:pPr>
        <w:pStyle w:val="Heading2"/>
      </w:pPr>
      <w:bookmarkStart w:id="12" w:name="_Toc163155586"/>
      <w:r>
        <w:t>Principles</w:t>
      </w:r>
      <w:bookmarkEnd w:id="12"/>
    </w:p>
    <w:p w14:paraId="459CFCB8" w14:textId="664D3E61" w:rsidR="00D31877" w:rsidRPr="003B7F9A" w:rsidRDefault="00D31877" w:rsidP="00B548BA">
      <w:pPr>
        <w:pStyle w:val="ListParagraph"/>
        <w:numPr>
          <w:ilvl w:val="0"/>
          <w:numId w:val="18"/>
        </w:numPr>
        <w:spacing w:afterLines="200" w:after="480"/>
        <w:ind w:left="714" w:hanging="357"/>
        <w:rPr>
          <w:rFonts w:cs="Calibri"/>
          <w:szCs w:val="22"/>
        </w:rPr>
      </w:pPr>
      <w:r w:rsidRPr="003B7F9A">
        <w:rPr>
          <w:rFonts w:cs="Calibri"/>
          <w:szCs w:val="22"/>
        </w:rPr>
        <w:t>An ARIn provides additional pay and/or conditions of employment. This is then recorded through a written agreement between the Director-General and the employee occupying the position to which the ARIn applies.</w:t>
      </w:r>
    </w:p>
    <w:p w14:paraId="3297E966" w14:textId="77777777" w:rsidR="00D31877" w:rsidRPr="003B7F9A" w:rsidRDefault="00D31877" w:rsidP="00B548BA">
      <w:pPr>
        <w:pStyle w:val="ListParagraph"/>
        <w:numPr>
          <w:ilvl w:val="0"/>
          <w:numId w:val="18"/>
        </w:numPr>
        <w:spacing w:afterLines="200" w:after="480"/>
        <w:ind w:left="714" w:hanging="357"/>
        <w:rPr>
          <w:rFonts w:cs="Calibri"/>
          <w:szCs w:val="22"/>
        </w:rPr>
      </w:pPr>
      <w:r w:rsidRPr="003B7F9A">
        <w:rPr>
          <w:rFonts w:cs="Calibri"/>
          <w:szCs w:val="22"/>
        </w:rPr>
        <w:t>An ARIn is not an ongoing entitlement. The provision of an ARIn (even one that is implemented immediately upon commencement as part of a recruitment process), entitles the recipient to the benefits of the ARIn for a set duration and includes review periods.</w:t>
      </w:r>
    </w:p>
    <w:p w14:paraId="39FFB347" w14:textId="5FD74358" w:rsidR="00D31877" w:rsidRPr="003B7F9A" w:rsidRDefault="003B7F9A" w:rsidP="00B548BA">
      <w:pPr>
        <w:pStyle w:val="ListParagraph"/>
        <w:numPr>
          <w:ilvl w:val="0"/>
          <w:numId w:val="18"/>
        </w:numPr>
        <w:spacing w:afterLines="100" w:after="240"/>
        <w:ind w:left="714" w:hanging="357"/>
        <w:rPr>
          <w:rFonts w:cs="Calibri"/>
          <w:szCs w:val="22"/>
        </w:rPr>
      </w:pPr>
      <w:r w:rsidRPr="003B7F9A">
        <w:rPr>
          <w:rFonts w:cs="Calibri"/>
          <w:szCs w:val="22"/>
        </w:rPr>
        <w:t>Directors-General have a responsibility to ensure each ARIn:</w:t>
      </w:r>
    </w:p>
    <w:p w14:paraId="03627DA0" w14:textId="77777777" w:rsidR="003B7F9A" w:rsidRPr="003B7F9A" w:rsidRDefault="003B7F9A" w:rsidP="00B548BA">
      <w:pPr>
        <w:pStyle w:val="Bullet1"/>
        <w:numPr>
          <w:ilvl w:val="1"/>
          <w:numId w:val="19"/>
        </w:numPr>
        <w:ind w:left="1491" w:hanging="357"/>
        <w:rPr>
          <w:rFonts w:ascii="Calibri" w:hAnsi="Calibri" w:cs="Calibri"/>
          <w:sz w:val="22"/>
          <w:szCs w:val="22"/>
        </w:rPr>
      </w:pPr>
      <w:r w:rsidRPr="003B7F9A">
        <w:rPr>
          <w:rFonts w:ascii="Calibri" w:hAnsi="Calibri" w:cs="Calibri"/>
          <w:sz w:val="22"/>
          <w:szCs w:val="22"/>
        </w:rPr>
        <w:t>complies with the ARIn Framework within the Agreements;</w:t>
      </w:r>
    </w:p>
    <w:p w14:paraId="747A21B0" w14:textId="77777777" w:rsidR="003B7F9A" w:rsidRPr="003B7F9A" w:rsidRDefault="003B7F9A" w:rsidP="00B548BA">
      <w:pPr>
        <w:pStyle w:val="Bullet1"/>
        <w:numPr>
          <w:ilvl w:val="1"/>
          <w:numId w:val="19"/>
        </w:numPr>
        <w:ind w:left="1491" w:hanging="357"/>
        <w:rPr>
          <w:rFonts w:ascii="Calibri" w:hAnsi="Calibri" w:cs="Calibri"/>
          <w:sz w:val="22"/>
          <w:szCs w:val="22"/>
        </w:rPr>
      </w:pPr>
      <w:r w:rsidRPr="003B7F9A">
        <w:rPr>
          <w:rFonts w:ascii="Calibri" w:hAnsi="Calibri" w:cs="Calibri"/>
          <w:sz w:val="22"/>
          <w:szCs w:val="22"/>
        </w:rPr>
        <w:lastRenderedPageBreak/>
        <w:t>can be justified based on relevant market comparators;</w:t>
      </w:r>
    </w:p>
    <w:p w14:paraId="0C6B507B" w14:textId="77777777" w:rsidR="003B7F9A" w:rsidRPr="003B7F9A" w:rsidRDefault="003B7F9A" w:rsidP="00B548BA">
      <w:pPr>
        <w:pStyle w:val="Bullet1"/>
        <w:numPr>
          <w:ilvl w:val="1"/>
          <w:numId w:val="19"/>
        </w:numPr>
        <w:ind w:left="1491" w:hanging="357"/>
        <w:rPr>
          <w:rFonts w:cstheme="minorHAnsi"/>
          <w:sz w:val="22"/>
          <w:szCs w:val="22"/>
        </w:rPr>
      </w:pPr>
      <w:r w:rsidRPr="003B7F9A">
        <w:rPr>
          <w:rFonts w:cstheme="minorHAnsi"/>
          <w:sz w:val="22"/>
          <w:szCs w:val="22"/>
        </w:rPr>
        <w:t xml:space="preserve">is properly approved and reviewed; </w:t>
      </w:r>
    </w:p>
    <w:p w14:paraId="0BFB35C2" w14:textId="77777777" w:rsidR="003B7F9A" w:rsidRPr="003B7F9A" w:rsidRDefault="003B7F9A" w:rsidP="00B548BA">
      <w:pPr>
        <w:pStyle w:val="Bullet1"/>
        <w:numPr>
          <w:ilvl w:val="1"/>
          <w:numId w:val="19"/>
        </w:numPr>
        <w:ind w:left="1491" w:hanging="357"/>
        <w:rPr>
          <w:rFonts w:cstheme="minorHAnsi"/>
          <w:sz w:val="22"/>
          <w:szCs w:val="22"/>
        </w:rPr>
      </w:pPr>
      <w:r w:rsidRPr="003B7F9A">
        <w:rPr>
          <w:rFonts w:cstheme="minorHAnsi"/>
          <w:sz w:val="22"/>
          <w:szCs w:val="22"/>
        </w:rPr>
        <w:t>is consistent with the requirements of this policy; and</w:t>
      </w:r>
    </w:p>
    <w:p w14:paraId="6277E41D" w14:textId="63746534" w:rsidR="003B7F9A" w:rsidRDefault="003B7F9A" w:rsidP="00B548BA">
      <w:pPr>
        <w:pStyle w:val="Bullet1"/>
        <w:numPr>
          <w:ilvl w:val="1"/>
          <w:numId w:val="19"/>
        </w:numPr>
        <w:ind w:left="1491" w:hanging="357"/>
        <w:rPr>
          <w:rFonts w:cstheme="minorHAnsi"/>
          <w:sz w:val="22"/>
          <w:szCs w:val="22"/>
        </w:rPr>
      </w:pPr>
      <w:r w:rsidRPr="003B7F9A">
        <w:rPr>
          <w:rFonts w:cstheme="minorHAnsi"/>
          <w:sz w:val="22"/>
          <w:szCs w:val="22"/>
        </w:rPr>
        <w:t>is provided to the Head of Service for consideration.</w:t>
      </w:r>
    </w:p>
    <w:p w14:paraId="2D367699" w14:textId="405F7F2B" w:rsidR="003B7F9A" w:rsidRPr="003B7F9A" w:rsidRDefault="003B7F9A" w:rsidP="00B548BA">
      <w:pPr>
        <w:pStyle w:val="ListParagraph"/>
        <w:numPr>
          <w:ilvl w:val="0"/>
          <w:numId w:val="18"/>
        </w:numPr>
        <w:spacing w:afterLines="200" w:after="480"/>
        <w:ind w:left="714" w:hanging="357"/>
        <w:rPr>
          <w:rFonts w:cstheme="minorHAnsi"/>
          <w:szCs w:val="22"/>
        </w:rPr>
      </w:pPr>
      <w:r>
        <w:t xml:space="preserve">Generally, an ARIn will be paid as enhanced rates of pay, but it can also include other non-pecuniary benefits or other terms and </w:t>
      </w:r>
      <w:r w:rsidRPr="004E0B4D">
        <w:t>conditions where</w:t>
      </w:r>
      <w:r w:rsidRPr="007E34C2">
        <w:t xml:space="preserve"> the</w:t>
      </w:r>
      <w:r>
        <w:t xml:space="preserve"> Director-General considers it is required to attract or retain an employee.</w:t>
      </w:r>
    </w:p>
    <w:p w14:paraId="0664F209" w14:textId="67BE486D" w:rsidR="00D50F68" w:rsidRPr="00D50F68" w:rsidRDefault="003B7F9A" w:rsidP="00B548BA">
      <w:pPr>
        <w:pStyle w:val="ListParagraph"/>
        <w:numPr>
          <w:ilvl w:val="0"/>
          <w:numId w:val="18"/>
        </w:numPr>
        <w:spacing w:afterLines="200" w:after="480"/>
        <w:ind w:left="714" w:hanging="357"/>
      </w:pPr>
      <w:r>
        <w:t>An ARIn must be consistent with Government policy and t</w:t>
      </w:r>
      <w:r w:rsidRPr="00284D24">
        <w:t xml:space="preserve">here is to be no </w:t>
      </w:r>
      <w:r>
        <w:t>o</w:t>
      </w:r>
      <w:r w:rsidRPr="00284D24">
        <w:t xml:space="preserve">verall </w:t>
      </w:r>
      <w:r>
        <w:t>r</w:t>
      </w:r>
      <w:r w:rsidRPr="00284D24">
        <w:t xml:space="preserve">eduction in terms and </w:t>
      </w:r>
      <w:r>
        <w:t>c</w:t>
      </w:r>
      <w:r w:rsidRPr="00284D24">
        <w:t>onditions</w:t>
      </w:r>
      <w:r>
        <w:t>.</w:t>
      </w:r>
    </w:p>
    <w:p w14:paraId="34292F58" w14:textId="4C929F96" w:rsidR="00797552" w:rsidRDefault="0041036E" w:rsidP="00797552">
      <w:pPr>
        <w:pStyle w:val="Heading2"/>
      </w:pPr>
      <w:bookmarkStart w:id="13" w:name="_Toc163155587"/>
      <w:r>
        <w:t>Considerations before offering an ARIn</w:t>
      </w:r>
      <w:bookmarkEnd w:id="13"/>
    </w:p>
    <w:p w14:paraId="6DC94C30" w14:textId="1D5F3D7A" w:rsidR="0041036E" w:rsidRDefault="0041036E" w:rsidP="009D5963">
      <w:pPr>
        <w:pStyle w:val="ListParagraph"/>
        <w:numPr>
          <w:ilvl w:val="0"/>
          <w:numId w:val="18"/>
        </w:numPr>
      </w:pPr>
      <w:r>
        <w:t>Directors-General must consider the following relevant matters when determining to offer or continue an ARIn to an employee:</w:t>
      </w:r>
    </w:p>
    <w:p w14:paraId="4ED6D869" w14:textId="2547DA94" w:rsidR="0041036E" w:rsidRPr="0041036E" w:rsidRDefault="0041036E" w:rsidP="002414B3">
      <w:pPr>
        <w:pStyle w:val="Bullet2"/>
        <w:numPr>
          <w:ilvl w:val="4"/>
          <w:numId w:val="21"/>
        </w:numPr>
        <w:ind w:left="1491" w:hanging="357"/>
        <w:rPr>
          <w:sz w:val="22"/>
          <w:szCs w:val="22"/>
        </w:rPr>
      </w:pPr>
      <w:r w:rsidRPr="0041036E">
        <w:rPr>
          <w:sz w:val="22"/>
          <w:szCs w:val="22"/>
        </w:rPr>
        <w:t>Whether the position is critical to the operation of the directorate or to a business unit in the directorate</w:t>
      </w:r>
      <w:r w:rsidR="002414B3">
        <w:rPr>
          <w:sz w:val="22"/>
          <w:szCs w:val="22"/>
        </w:rPr>
        <w:t>;</w:t>
      </w:r>
      <w:r w:rsidRPr="0041036E">
        <w:rPr>
          <w:sz w:val="22"/>
          <w:szCs w:val="22"/>
        </w:rPr>
        <w:t xml:space="preserve"> </w:t>
      </w:r>
    </w:p>
    <w:p w14:paraId="233904EB" w14:textId="77777777" w:rsidR="0041036E" w:rsidRPr="0041036E" w:rsidRDefault="0041036E" w:rsidP="002414B3">
      <w:pPr>
        <w:pStyle w:val="Bullet2"/>
        <w:numPr>
          <w:ilvl w:val="4"/>
          <w:numId w:val="21"/>
        </w:numPr>
        <w:ind w:left="1491" w:hanging="357"/>
        <w:rPr>
          <w:sz w:val="22"/>
          <w:szCs w:val="22"/>
        </w:rPr>
      </w:pPr>
      <w:r w:rsidRPr="0041036E">
        <w:rPr>
          <w:sz w:val="22"/>
          <w:szCs w:val="22"/>
        </w:rPr>
        <w:t>Whether an employee who occupies the position requires specialised qualifications, skill set and/or experience to perform the requirements of the position;</w:t>
      </w:r>
    </w:p>
    <w:p w14:paraId="5D7E7DDE" w14:textId="77777777" w:rsidR="0041036E" w:rsidRPr="0041036E" w:rsidRDefault="0041036E" w:rsidP="002414B3">
      <w:pPr>
        <w:pStyle w:val="Bullet2"/>
        <w:numPr>
          <w:ilvl w:val="4"/>
          <w:numId w:val="21"/>
        </w:numPr>
        <w:ind w:left="1491" w:hanging="357"/>
        <w:rPr>
          <w:sz w:val="22"/>
          <w:szCs w:val="22"/>
        </w:rPr>
      </w:pPr>
      <w:r w:rsidRPr="0041036E">
        <w:rPr>
          <w:sz w:val="22"/>
          <w:szCs w:val="22"/>
        </w:rPr>
        <w:t xml:space="preserve">Whether the role and skills required by the employee who occupies the position are in high demand; </w:t>
      </w:r>
    </w:p>
    <w:p w14:paraId="58AF86F6" w14:textId="77777777" w:rsidR="0041036E" w:rsidRPr="0041036E" w:rsidRDefault="0041036E" w:rsidP="002414B3">
      <w:pPr>
        <w:pStyle w:val="Bullet2"/>
        <w:numPr>
          <w:ilvl w:val="4"/>
          <w:numId w:val="21"/>
        </w:numPr>
        <w:ind w:left="1491" w:hanging="357"/>
        <w:rPr>
          <w:sz w:val="22"/>
          <w:szCs w:val="22"/>
        </w:rPr>
      </w:pPr>
      <w:r w:rsidRPr="0041036E">
        <w:rPr>
          <w:sz w:val="22"/>
          <w:szCs w:val="22"/>
        </w:rPr>
        <w:t xml:space="preserve">The level at which comparable individuals with skills and qualifications for the role are remunerated in the marketplace; </w:t>
      </w:r>
    </w:p>
    <w:p w14:paraId="60D978FC" w14:textId="77777777" w:rsidR="0041036E" w:rsidRPr="0041036E" w:rsidRDefault="0041036E" w:rsidP="002414B3">
      <w:pPr>
        <w:pStyle w:val="Bullet2"/>
        <w:numPr>
          <w:ilvl w:val="4"/>
          <w:numId w:val="21"/>
        </w:numPr>
        <w:ind w:left="1491" w:hanging="357"/>
        <w:rPr>
          <w:sz w:val="22"/>
          <w:szCs w:val="22"/>
        </w:rPr>
      </w:pPr>
      <w:r w:rsidRPr="0041036E">
        <w:rPr>
          <w:sz w:val="22"/>
          <w:szCs w:val="22"/>
        </w:rPr>
        <w:t>The difficulty and cost associated with recruiting to the position; and</w:t>
      </w:r>
    </w:p>
    <w:p w14:paraId="120351C9" w14:textId="77777777" w:rsidR="0041036E" w:rsidRDefault="0041036E" w:rsidP="002414B3">
      <w:pPr>
        <w:pStyle w:val="Bullet2"/>
        <w:numPr>
          <w:ilvl w:val="4"/>
          <w:numId w:val="21"/>
        </w:numPr>
        <w:ind w:left="1491" w:hanging="357"/>
        <w:rPr>
          <w:sz w:val="22"/>
          <w:szCs w:val="22"/>
        </w:rPr>
      </w:pPr>
      <w:r w:rsidRPr="0041036E">
        <w:rPr>
          <w:sz w:val="22"/>
          <w:szCs w:val="22"/>
        </w:rPr>
        <w:t>Any other matter considered relevant to determining whether or not an ARIn would be appropriate in the circumstances.</w:t>
      </w:r>
    </w:p>
    <w:p w14:paraId="4F90AA2C" w14:textId="3EB398BF" w:rsidR="0041036E" w:rsidRDefault="0041036E" w:rsidP="0041036E">
      <w:pPr>
        <w:pStyle w:val="Heading3"/>
      </w:pPr>
      <w:bookmarkStart w:id="14" w:name="_Toc163155588"/>
      <w:r>
        <w:t>Organisational Structure and Classification of the Substantive Position</w:t>
      </w:r>
      <w:bookmarkEnd w:id="14"/>
    </w:p>
    <w:p w14:paraId="5BB5AB79" w14:textId="416160EF" w:rsidR="0041036E" w:rsidRDefault="0041036E" w:rsidP="009D5963">
      <w:pPr>
        <w:pStyle w:val="ListParagraph"/>
        <w:numPr>
          <w:ilvl w:val="0"/>
          <w:numId w:val="18"/>
        </w:numPr>
      </w:pPr>
      <w:r>
        <w:t>Before offering an ARIn, the following should be assessed in relation to the substantive position the ARIn relates to:</w:t>
      </w:r>
    </w:p>
    <w:p w14:paraId="4DD52D6F" w14:textId="2A062D10" w:rsidR="0041036E" w:rsidRDefault="0041036E" w:rsidP="002414B3">
      <w:pPr>
        <w:pStyle w:val="bullet20"/>
        <w:numPr>
          <w:ilvl w:val="1"/>
          <w:numId w:val="22"/>
        </w:numPr>
        <w:spacing w:before="120" w:after="120"/>
        <w:ind w:left="1491" w:hanging="357"/>
      </w:pPr>
      <w:r>
        <w:rPr>
          <w:i/>
        </w:rPr>
        <w:t>It is contained in an Enterprise Agreement:</w:t>
      </w:r>
      <w:r>
        <w:t xml:space="preserve"> ARIns are not available to Senior Executive Service (SES) employees.</w:t>
      </w:r>
    </w:p>
    <w:p w14:paraId="063CD11F" w14:textId="77777777" w:rsidR="0041036E" w:rsidRDefault="0041036E" w:rsidP="002414B3">
      <w:pPr>
        <w:pStyle w:val="bullet20"/>
        <w:numPr>
          <w:ilvl w:val="1"/>
          <w:numId w:val="22"/>
        </w:numPr>
        <w:spacing w:before="120" w:after="120"/>
        <w:ind w:left="1491" w:hanging="357"/>
      </w:pPr>
      <w:r>
        <w:rPr>
          <w:i/>
        </w:rPr>
        <w:t>It is correctly classified:</w:t>
      </w:r>
      <w:r>
        <w:t xml:space="preserve"> if the classification is assessed as being incorrect, it should be reclassified and recruited to according to its correct work value. The classification of a role should not be artificially inflated to meet the expected remuneration.</w:t>
      </w:r>
    </w:p>
    <w:p w14:paraId="662F44E9" w14:textId="77777777" w:rsidR="0041036E" w:rsidRDefault="0041036E" w:rsidP="002414B3">
      <w:pPr>
        <w:pStyle w:val="bullet20"/>
        <w:numPr>
          <w:ilvl w:val="1"/>
          <w:numId w:val="22"/>
        </w:numPr>
        <w:spacing w:before="120" w:after="120"/>
        <w:ind w:left="1491" w:hanging="357"/>
      </w:pPr>
      <w:r>
        <w:rPr>
          <w:i/>
        </w:rPr>
        <w:t>It has reasonable duties commensurate with the classification:</w:t>
      </w:r>
      <w:r>
        <w:t xml:space="preserve"> the extent of duties should not be distorted by poor organisational design. The position description and/or organisational structure of the business unit may be able to be adjusted to mitigate the need for the ARIn.</w:t>
      </w:r>
    </w:p>
    <w:p w14:paraId="5E466C91" w14:textId="02C882FA" w:rsidR="0041036E" w:rsidRDefault="0041036E" w:rsidP="0041036E">
      <w:pPr>
        <w:pStyle w:val="Heading3"/>
      </w:pPr>
      <w:bookmarkStart w:id="15" w:name="_Toc163155589"/>
      <w:r>
        <w:lastRenderedPageBreak/>
        <w:t>Market Rate Information</w:t>
      </w:r>
      <w:bookmarkEnd w:id="15"/>
    </w:p>
    <w:p w14:paraId="14151B8C" w14:textId="3B854EA9" w:rsidR="0041036E" w:rsidRPr="0041036E" w:rsidRDefault="0041036E" w:rsidP="002B6EE5">
      <w:pPr>
        <w:pStyle w:val="Bullet1"/>
        <w:numPr>
          <w:ilvl w:val="0"/>
          <w:numId w:val="18"/>
        </w:numPr>
        <w:spacing w:before="200" w:after="200"/>
        <w:ind w:left="714" w:hanging="357"/>
        <w:rPr>
          <w:sz w:val="22"/>
          <w:szCs w:val="22"/>
        </w:rPr>
      </w:pPr>
      <w:r w:rsidRPr="0041036E">
        <w:rPr>
          <w:sz w:val="22"/>
          <w:szCs w:val="22"/>
        </w:rPr>
        <w:t>Market rate information is often broadly based and may not be specifically targeted to the role proposed. In these circumstances the purpose of obtaining market rate information is to set the boundaries within which the ARIn payment is to be struck.</w:t>
      </w:r>
    </w:p>
    <w:p w14:paraId="08CE9145" w14:textId="4E5DE8A4" w:rsidR="0041036E" w:rsidRPr="0041036E" w:rsidRDefault="0041036E" w:rsidP="002B6EE5">
      <w:pPr>
        <w:pStyle w:val="Bullet1"/>
        <w:numPr>
          <w:ilvl w:val="0"/>
          <w:numId w:val="18"/>
        </w:numPr>
        <w:spacing w:before="200" w:after="200"/>
        <w:ind w:left="714" w:hanging="357"/>
        <w:rPr>
          <w:sz w:val="22"/>
          <w:szCs w:val="22"/>
        </w:rPr>
      </w:pPr>
      <w:r w:rsidRPr="0041036E">
        <w:rPr>
          <w:sz w:val="22"/>
          <w:szCs w:val="22"/>
        </w:rPr>
        <w:t>Where the ARIn payment rests within a range of salary rates described by market rate information is a decision for the Director-General and should be clearly explained in the</w:t>
      </w:r>
      <w:r w:rsidR="004E5382">
        <w:rPr>
          <w:sz w:val="22"/>
          <w:szCs w:val="22"/>
        </w:rPr>
        <w:t xml:space="preserve"> comprehensive submission provided to the</w:t>
      </w:r>
      <w:r w:rsidRPr="0041036E">
        <w:rPr>
          <w:sz w:val="22"/>
          <w:szCs w:val="22"/>
        </w:rPr>
        <w:t xml:space="preserve"> Head of Service.</w:t>
      </w:r>
    </w:p>
    <w:p w14:paraId="25A1D604" w14:textId="136EB23C" w:rsidR="0041036E" w:rsidRDefault="0041036E" w:rsidP="0041036E">
      <w:pPr>
        <w:pStyle w:val="Heading3"/>
      </w:pPr>
      <w:bookmarkStart w:id="16" w:name="_Toc163155590"/>
      <w:r>
        <w:t>Acting and Temporary Transfer Arrangements</w:t>
      </w:r>
      <w:bookmarkEnd w:id="16"/>
    </w:p>
    <w:p w14:paraId="584E4A87" w14:textId="47987639" w:rsidR="0041036E" w:rsidRPr="0041036E" w:rsidRDefault="0041036E" w:rsidP="002B6EE5">
      <w:pPr>
        <w:pStyle w:val="Bullet1"/>
        <w:numPr>
          <w:ilvl w:val="0"/>
          <w:numId w:val="18"/>
        </w:numPr>
        <w:spacing w:before="200" w:after="200"/>
        <w:ind w:left="714" w:hanging="357"/>
        <w:rPr>
          <w:sz w:val="22"/>
          <w:szCs w:val="22"/>
        </w:rPr>
      </w:pPr>
      <w:r w:rsidRPr="0041036E">
        <w:rPr>
          <w:sz w:val="22"/>
          <w:szCs w:val="22"/>
        </w:rPr>
        <w:t xml:space="preserve">Where a person is temporarily transferred to another position any relevant ARIn will be </w:t>
      </w:r>
      <w:r w:rsidR="009A4076">
        <w:rPr>
          <w:sz w:val="22"/>
          <w:szCs w:val="22"/>
        </w:rPr>
        <w:t xml:space="preserve">paused </w:t>
      </w:r>
      <w:r w:rsidRPr="0041036E">
        <w:rPr>
          <w:sz w:val="22"/>
          <w:szCs w:val="22"/>
        </w:rPr>
        <w:t>dependant on the relevant dates of the ARIn and dates of the arrangement.</w:t>
      </w:r>
    </w:p>
    <w:p w14:paraId="4E8E068B" w14:textId="77777777" w:rsidR="0041036E" w:rsidRPr="0041036E" w:rsidRDefault="0041036E" w:rsidP="002B6EE5">
      <w:pPr>
        <w:pStyle w:val="Bullet1"/>
        <w:numPr>
          <w:ilvl w:val="0"/>
          <w:numId w:val="18"/>
        </w:numPr>
        <w:spacing w:before="200" w:after="200"/>
        <w:ind w:left="714" w:hanging="357"/>
        <w:rPr>
          <w:sz w:val="22"/>
          <w:szCs w:val="22"/>
        </w:rPr>
      </w:pPr>
      <w:r w:rsidRPr="0041036E">
        <w:rPr>
          <w:sz w:val="22"/>
          <w:szCs w:val="22"/>
        </w:rPr>
        <w:t xml:space="preserve">If </w:t>
      </w:r>
      <w:r w:rsidRPr="0041036E">
        <w:rPr>
          <w:iCs/>
          <w:sz w:val="22"/>
          <w:szCs w:val="22"/>
        </w:rPr>
        <w:t xml:space="preserve">the person transferred is in receipt of an ARIn relevant to their substantive position </w:t>
      </w:r>
      <w:r w:rsidRPr="0041036E">
        <w:rPr>
          <w:sz w:val="22"/>
          <w:szCs w:val="22"/>
        </w:rPr>
        <w:t xml:space="preserve">the ARIn may continue in the new role, however this is subject to a comprehensive submission being completed relevant to the new temporary position. </w:t>
      </w:r>
    </w:p>
    <w:p w14:paraId="399DD2BF" w14:textId="2144598D" w:rsidR="0041036E" w:rsidRPr="0041036E" w:rsidRDefault="0041036E" w:rsidP="002B6EE5">
      <w:pPr>
        <w:pStyle w:val="Bullet1"/>
        <w:numPr>
          <w:ilvl w:val="0"/>
          <w:numId w:val="18"/>
        </w:numPr>
        <w:spacing w:before="200" w:after="200"/>
        <w:ind w:left="714" w:hanging="357"/>
        <w:rPr>
          <w:iCs/>
          <w:sz w:val="22"/>
          <w:szCs w:val="22"/>
        </w:rPr>
      </w:pPr>
      <w:r w:rsidRPr="0041036E">
        <w:rPr>
          <w:iCs/>
          <w:sz w:val="22"/>
          <w:szCs w:val="22"/>
        </w:rPr>
        <w:t xml:space="preserve">An ARIn does not automatically continue to apply to the next occupant in the position (excluding </w:t>
      </w:r>
      <w:r w:rsidR="004E0B4D">
        <w:rPr>
          <w:iCs/>
          <w:sz w:val="22"/>
          <w:szCs w:val="22"/>
        </w:rPr>
        <w:t>G</w:t>
      </w:r>
      <w:r w:rsidR="004E0B4D" w:rsidRPr="0041036E">
        <w:rPr>
          <w:iCs/>
          <w:sz w:val="22"/>
          <w:szCs w:val="22"/>
        </w:rPr>
        <w:t>roup</w:t>
      </w:r>
      <w:r w:rsidR="003B129B" w:rsidRPr="0041036E">
        <w:rPr>
          <w:iCs/>
          <w:sz w:val="22"/>
          <w:szCs w:val="22"/>
        </w:rPr>
        <w:t xml:space="preserve"> </w:t>
      </w:r>
      <w:r w:rsidRPr="0041036E">
        <w:rPr>
          <w:iCs/>
          <w:sz w:val="22"/>
          <w:szCs w:val="22"/>
        </w:rPr>
        <w:t xml:space="preserve">ARIns). A </w:t>
      </w:r>
      <w:r w:rsidR="003B129B">
        <w:rPr>
          <w:iCs/>
          <w:sz w:val="22"/>
          <w:szCs w:val="22"/>
        </w:rPr>
        <w:t xml:space="preserve">renewal review signed by the Director-General </w:t>
      </w:r>
      <w:r w:rsidRPr="0041036E">
        <w:rPr>
          <w:iCs/>
          <w:sz w:val="22"/>
          <w:szCs w:val="22"/>
        </w:rPr>
        <w:t xml:space="preserve">will need to be completed for the new occupant. </w:t>
      </w:r>
    </w:p>
    <w:p w14:paraId="76AAB177" w14:textId="77777777" w:rsidR="0041036E" w:rsidRPr="0041036E" w:rsidRDefault="0041036E" w:rsidP="002B6EE5">
      <w:pPr>
        <w:pStyle w:val="Bullet1"/>
        <w:numPr>
          <w:ilvl w:val="0"/>
          <w:numId w:val="18"/>
        </w:numPr>
        <w:spacing w:before="200" w:after="200"/>
        <w:ind w:left="714" w:hanging="357"/>
        <w:rPr>
          <w:iCs/>
          <w:sz w:val="22"/>
          <w:szCs w:val="22"/>
        </w:rPr>
      </w:pPr>
      <w:r w:rsidRPr="0041036E">
        <w:rPr>
          <w:sz w:val="22"/>
          <w:szCs w:val="22"/>
        </w:rPr>
        <w:t xml:space="preserve">In either circumstance, each case should be considered on its merits, and is subject to the approval of the Director-General. </w:t>
      </w:r>
    </w:p>
    <w:p w14:paraId="0D671865" w14:textId="65030062" w:rsidR="0041036E" w:rsidRPr="0041036E" w:rsidRDefault="0041036E" w:rsidP="002B6EE5">
      <w:pPr>
        <w:pStyle w:val="Bullet1"/>
        <w:numPr>
          <w:ilvl w:val="0"/>
          <w:numId w:val="18"/>
        </w:numPr>
        <w:spacing w:before="200" w:after="200"/>
        <w:ind w:left="714" w:hanging="357"/>
        <w:rPr>
          <w:sz w:val="22"/>
          <w:szCs w:val="22"/>
        </w:rPr>
      </w:pPr>
      <w:r w:rsidRPr="0041036E">
        <w:rPr>
          <w:sz w:val="22"/>
          <w:szCs w:val="22"/>
        </w:rPr>
        <w:t>Where an employee is temporarily transferred to another position the ARIn expiry date remains the same. For example, where an employee temporarily vacates a position to which an ARIn applies, upon their return to the position, the ARIn would automatically re-commence in line with the original time frame</w:t>
      </w:r>
      <w:r w:rsidR="00F356F7">
        <w:rPr>
          <w:rStyle w:val="FootnoteReference"/>
          <w:sz w:val="22"/>
          <w:szCs w:val="22"/>
        </w:rPr>
        <w:footnoteReference w:id="1"/>
      </w:r>
      <w:r w:rsidR="00F356F7">
        <w:rPr>
          <w:sz w:val="22"/>
          <w:szCs w:val="22"/>
        </w:rPr>
        <w:t>.</w:t>
      </w:r>
      <w:r w:rsidR="00905F23">
        <w:rPr>
          <w:sz w:val="22"/>
          <w:szCs w:val="22"/>
        </w:rPr>
        <w:t xml:space="preserve"> 7.6.3 of Annex B was left </w:t>
      </w:r>
      <w:r w:rsidR="00905F23" w:rsidRPr="002B6DBD">
        <w:rPr>
          <w:sz w:val="22"/>
          <w:szCs w:val="22"/>
        </w:rPr>
        <w:t>in error</w:t>
      </w:r>
      <w:r w:rsidR="003B129B">
        <w:rPr>
          <w:sz w:val="22"/>
          <w:szCs w:val="22"/>
        </w:rPr>
        <w:t xml:space="preserve"> and no comprehensive submission is required to recommence the ARIn</w:t>
      </w:r>
      <w:r w:rsidR="002B6DBD" w:rsidRPr="002B6DBD">
        <w:rPr>
          <w:sz w:val="22"/>
          <w:szCs w:val="22"/>
        </w:rPr>
        <w:t>.</w:t>
      </w:r>
    </w:p>
    <w:p w14:paraId="471F9F67" w14:textId="589945C4" w:rsidR="0041036E" w:rsidRPr="0041036E" w:rsidRDefault="0041036E" w:rsidP="002B6EE5">
      <w:pPr>
        <w:pStyle w:val="Bullet1"/>
        <w:numPr>
          <w:ilvl w:val="0"/>
          <w:numId w:val="18"/>
        </w:numPr>
        <w:spacing w:before="200" w:after="200"/>
        <w:ind w:left="714" w:hanging="357"/>
        <w:rPr>
          <w:sz w:val="22"/>
          <w:szCs w:val="22"/>
        </w:rPr>
      </w:pPr>
      <w:r w:rsidRPr="0041036E">
        <w:rPr>
          <w:sz w:val="22"/>
          <w:szCs w:val="22"/>
        </w:rPr>
        <w:t>It is</w:t>
      </w:r>
      <w:r w:rsidR="00505D4E">
        <w:rPr>
          <w:sz w:val="22"/>
          <w:szCs w:val="22"/>
        </w:rPr>
        <w:t xml:space="preserve"> both</w:t>
      </w:r>
      <w:r w:rsidRPr="0041036E">
        <w:rPr>
          <w:sz w:val="22"/>
          <w:szCs w:val="22"/>
        </w:rPr>
        <w:t xml:space="preserve"> the manager</w:t>
      </w:r>
      <w:r w:rsidR="00505D4E">
        <w:rPr>
          <w:sz w:val="22"/>
          <w:szCs w:val="22"/>
        </w:rPr>
        <w:t>’</w:t>
      </w:r>
      <w:r w:rsidR="008A6C00">
        <w:rPr>
          <w:sz w:val="22"/>
          <w:szCs w:val="22"/>
        </w:rPr>
        <w:t>s</w:t>
      </w:r>
      <w:r w:rsidRPr="0041036E">
        <w:rPr>
          <w:sz w:val="22"/>
          <w:szCs w:val="22"/>
        </w:rPr>
        <w:t xml:space="preserve"> and employee’s responsibility to ensure that Payroll are made aware as soon as possible of any temporary transfers out of the role to which the ARIn applies.</w:t>
      </w:r>
      <w:r w:rsidR="003B129B">
        <w:rPr>
          <w:sz w:val="22"/>
          <w:szCs w:val="22"/>
        </w:rPr>
        <w:t xml:space="preserve"> Failure to advise Payroll may result in an overpayment.</w:t>
      </w:r>
    </w:p>
    <w:p w14:paraId="2332FB8D" w14:textId="77777777" w:rsidR="0041036E" w:rsidRPr="0041036E" w:rsidRDefault="0041036E" w:rsidP="002B6EE5">
      <w:pPr>
        <w:pStyle w:val="Bullet1"/>
        <w:numPr>
          <w:ilvl w:val="0"/>
          <w:numId w:val="18"/>
        </w:numPr>
        <w:spacing w:before="200" w:after="200"/>
        <w:ind w:left="714" w:hanging="357"/>
        <w:rPr>
          <w:sz w:val="22"/>
          <w:szCs w:val="22"/>
        </w:rPr>
      </w:pPr>
      <w:r w:rsidRPr="0041036E">
        <w:rPr>
          <w:sz w:val="22"/>
          <w:szCs w:val="22"/>
        </w:rPr>
        <w:t>Where the role of a position to which an ARIn applies changes or the ARIn expires while the occupant is temporarily transferred to another role, it is open to the Director-General to conduct a review when the employee returns to the role to assess the ARIns ongoing applicability or rate of remuneration.</w:t>
      </w:r>
    </w:p>
    <w:p w14:paraId="74BA70C7" w14:textId="2A489038" w:rsidR="0041036E" w:rsidRDefault="00BD16AB" w:rsidP="00BD16AB">
      <w:pPr>
        <w:pStyle w:val="Heading3"/>
      </w:pPr>
      <w:bookmarkStart w:id="17" w:name="_Toc163155591"/>
      <w:r>
        <w:t>Suspension with Pay, Misconduct and Performance Issues</w:t>
      </w:r>
      <w:bookmarkEnd w:id="17"/>
    </w:p>
    <w:p w14:paraId="4E11D534" w14:textId="601CC0E9" w:rsidR="00BD16AB" w:rsidRDefault="00497512" w:rsidP="002B6EE5">
      <w:pPr>
        <w:pStyle w:val="ListParagraph"/>
        <w:numPr>
          <w:ilvl w:val="0"/>
          <w:numId w:val="18"/>
        </w:numPr>
        <w:ind w:left="714" w:hanging="357"/>
      </w:pPr>
      <w:r>
        <w:t>W</w:t>
      </w:r>
      <w:r w:rsidR="00BD16AB">
        <w:t>hen a person is suspended with pay</w:t>
      </w:r>
      <w:r>
        <w:t xml:space="preserve"> an ARIn will continue to be paid</w:t>
      </w:r>
      <w:r w:rsidR="00BD16AB">
        <w:t>. However, an ARIn may cease to apply as a sanction arising from a misconduct process.</w:t>
      </w:r>
    </w:p>
    <w:p w14:paraId="3723BF0B" w14:textId="4DA35389" w:rsidR="00BD16AB" w:rsidRDefault="00BD16AB" w:rsidP="002B6EE5">
      <w:pPr>
        <w:pStyle w:val="ListParagraph"/>
        <w:numPr>
          <w:ilvl w:val="0"/>
          <w:numId w:val="18"/>
        </w:numPr>
        <w:ind w:left="714" w:hanging="357"/>
      </w:pPr>
      <w:r>
        <w:lastRenderedPageBreak/>
        <w:t>An ARIn may also be removed</w:t>
      </w:r>
      <w:r w:rsidR="004E5382">
        <w:t xml:space="preserve"> as an outcome of an underperformance process</w:t>
      </w:r>
      <w:r>
        <w:t xml:space="preserve"> without a</w:t>
      </w:r>
      <w:r w:rsidR="00155F96">
        <w:t xml:space="preserve"> comprehensive or renewal</w:t>
      </w:r>
      <w:r>
        <w:t xml:space="preserve"> review.</w:t>
      </w:r>
    </w:p>
    <w:p w14:paraId="30428E6F" w14:textId="3C1B2766" w:rsidR="00BD16AB" w:rsidRDefault="00BD16AB" w:rsidP="00BD16AB">
      <w:pPr>
        <w:pStyle w:val="Heading3"/>
      </w:pPr>
      <w:bookmarkStart w:id="18" w:name="_Toc163155592"/>
      <w:r>
        <w:t>Essential Qualification</w:t>
      </w:r>
      <w:bookmarkEnd w:id="18"/>
    </w:p>
    <w:p w14:paraId="743A6245" w14:textId="51361693" w:rsidR="00BD16AB" w:rsidRDefault="00BD16AB" w:rsidP="002B6EE5">
      <w:pPr>
        <w:pStyle w:val="ListParagraph"/>
        <w:numPr>
          <w:ilvl w:val="0"/>
          <w:numId w:val="18"/>
        </w:numPr>
        <w:ind w:left="714" w:hanging="357"/>
      </w:pPr>
      <w:r>
        <w:t>An ARIn will cease to apply if the employee loses an essential qualification or registration which is necessary for them to perform duties of the position to which the ARIn relates. The ARIn will cease to apply on the date the employee loses the qualification or registration.</w:t>
      </w:r>
    </w:p>
    <w:p w14:paraId="40F9B264" w14:textId="40066508" w:rsidR="00BD16AB" w:rsidRDefault="00BD16AB" w:rsidP="002B6EE5">
      <w:pPr>
        <w:pStyle w:val="ListParagraph"/>
        <w:numPr>
          <w:ilvl w:val="0"/>
          <w:numId w:val="18"/>
        </w:numPr>
        <w:ind w:left="714" w:hanging="357"/>
      </w:pPr>
      <w:r>
        <w:t>Where the loss of the essential qualification is temporary, each case should be considered on its merits.</w:t>
      </w:r>
    </w:p>
    <w:p w14:paraId="5AC7FAE8" w14:textId="6A2B1763" w:rsidR="00BD16AB" w:rsidRDefault="00BD16AB" w:rsidP="00BD16AB">
      <w:pPr>
        <w:pStyle w:val="Heading2"/>
      </w:pPr>
      <w:bookmarkStart w:id="19" w:name="_Toc163155593"/>
      <w:r>
        <w:t>Using ARIns during a Recruitment Process</w:t>
      </w:r>
      <w:bookmarkEnd w:id="19"/>
    </w:p>
    <w:p w14:paraId="6A4595FB" w14:textId="49FB955B" w:rsidR="00BD16AB" w:rsidRPr="00BD16AB" w:rsidRDefault="00BD16AB" w:rsidP="009D5963">
      <w:pPr>
        <w:pStyle w:val="ListParagraph"/>
        <w:numPr>
          <w:ilvl w:val="0"/>
          <w:numId w:val="18"/>
        </w:numPr>
      </w:pPr>
      <w:r>
        <w:t>ARIns are a key recruitment tool for use in attracting suitable applicants to roles within the service. There are several ways as outlined below that an ARIn can be used, however it is important to note that ARIns should not be offered without prior approval</w:t>
      </w:r>
      <w:r>
        <w:rPr>
          <w:rFonts w:cstheme="minorHAnsi"/>
        </w:rPr>
        <w:t xml:space="preserve"> by the Director-General or Head of Agency and</w:t>
      </w:r>
      <w:r w:rsidRPr="00606963">
        <w:rPr>
          <w:rFonts w:cstheme="minorHAnsi"/>
        </w:rPr>
        <w:t xml:space="preserve"> </w:t>
      </w:r>
      <w:r>
        <w:rPr>
          <w:rFonts w:cstheme="minorHAnsi"/>
        </w:rPr>
        <w:t>considered by</w:t>
      </w:r>
      <w:r w:rsidRPr="00606963">
        <w:rPr>
          <w:rFonts w:cstheme="minorHAnsi"/>
        </w:rPr>
        <w:t xml:space="preserve"> the Head of Service.</w:t>
      </w:r>
    </w:p>
    <w:p w14:paraId="18F4AB11" w14:textId="54B5C616" w:rsidR="00BD16AB" w:rsidRPr="008A6C00" w:rsidRDefault="00BD16AB" w:rsidP="008A6C00">
      <w:pPr>
        <w:pStyle w:val="Bullet1"/>
        <w:numPr>
          <w:ilvl w:val="0"/>
          <w:numId w:val="18"/>
        </w:numPr>
        <w:spacing w:before="0" w:after="60" w:line="240" w:lineRule="auto"/>
        <w:rPr>
          <w:sz w:val="22"/>
          <w:szCs w:val="22"/>
        </w:rPr>
      </w:pPr>
      <w:r w:rsidRPr="00BD16AB">
        <w:rPr>
          <w:sz w:val="22"/>
          <w:szCs w:val="22"/>
        </w:rPr>
        <w:t xml:space="preserve">Where an ARIn is used </w:t>
      </w:r>
      <w:r w:rsidR="003B129B">
        <w:rPr>
          <w:sz w:val="22"/>
          <w:szCs w:val="22"/>
        </w:rPr>
        <w:t>in advertising</w:t>
      </w:r>
      <w:r w:rsidR="008A6C00">
        <w:rPr>
          <w:sz w:val="22"/>
          <w:szCs w:val="22"/>
        </w:rPr>
        <w:t xml:space="preserve">, </w:t>
      </w:r>
      <w:r w:rsidRPr="008A6C00">
        <w:rPr>
          <w:sz w:val="22"/>
          <w:szCs w:val="22"/>
        </w:rPr>
        <w:t>the total package</w:t>
      </w:r>
      <w:r w:rsidR="003B129B">
        <w:rPr>
          <w:sz w:val="22"/>
          <w:szCs w:val="22"/>
        </w:rPr>
        <w:t>/remuneration</w:t>
      </w:r>
      <w:r w:rsidRPr="008A6C00">
        <w:rPr>
          <w:sz w:val="22"/>
          <w:szCs w:val="22"/>
        </w:rPr>
        <w:t xml:space="preserve"> (excluding superannuation) should be disclosed and disaggregated to show:</w:t>
      </w:r>
    </w:p>
    <w:p w14:paraId="7D53755A" w14:textId="266314C7" w:rsidR="00BD16AB" w:rsidRPr="00BD16AB" w:rsidRDefault="00BD16AB" w:rsidP="009D5963">
      <w:pPr>
        <w:pStyle w:val="Bullet1"/>
        <w:numPr>
          <w:ilvl w:val="1"/>
          <w:numId w:val="23"/>
        </w:numPr>
        <w:spacing w:before="0" w:after="60" w:line="240" w:lineRule="auto"/>
        <w:rPr>
          <w:sz w:val="22"/>
          <w:szCs w:val="22"/>
        </w:rPr>
      </w:pPr>
      <w:r w:rsidRPr="00BD16AB">
        <w:rPr>
          <w:sz w:val="22"/>
          <w:szCs w:val="22"/>
        </w:rPr>
        <w:t>the relevant Enterprise Agreement rate; and</w:t>
      </w:r>
    </w:p>
    <w:p w14:paraId="05C9F728" w14:textId="77777777" w:rsidR="00BD16AB" w:rsidRPr="00BD16AB" w:rsidRDefault="00BD16AB" w:rsidP="009D5963">
      <w:pPr>
        <w:pStyle w:val="Bullet1"/>
        <w:numPr>
          <w:ilvl w:val="1"/>
          <w:numId w:val="23"/>
        </w:numPr>
        <w:spacing w:before="0" w:after="60" w:line="240" w:lineRule="auto"/>
        <w:rPr>
          <w:sz w:val="22"/>
          <w:szCs w:val="22"/>
        </w:rPr>
      </w:pPr>
      <w:r w:rsidRPr="00BD16AB">
        <w:rPr>
          <w:sz w:val="22"/>
          <w:szCs w:val="22"/>
        </w:rPr>
        <w:t>the content of the ARIn, which is reviewable under the terms of this policy.</w:t>
      </w:r>
    </w:p>
    <w:p w14:paraId="3D7C0F04" w14:textId="4B076915" w:rsidR="00BD16AB" w:rsidRDefault="00E02893" w:rsidP="009D5963">
      <w:pPr>
        <w:pStyle w:val="ListParagraph"/>
        <w:numPr>
          <w:ilvl w:val="0"/>
          <w:numId w:val="18"/>
        </w:numPr>
      </w:pPr>
      <w:r>
        <w:t xml:space="preserve">The nature of the information disclosed at the point of advertising will depend on the type of ARIn used, but applicants should be made aware </w:t>
      </w:r>
      <w:r w:rsidR="008A6C00">
        <w:t>that</w:t>
      </w:r>
      <w:r>
        <w:t xml:space="preserve"> the ARIn:</w:t>
      </w:r>
    </w:p>
    <w:p w14:paraId="7FD5B19C" w14:textId="787FC392" w:rsidR="00E02893" w:rsidRPr="00E02893" w:rsidRDefault="00E02893" w:rsidP="009D5963">
      <w:pPr>
        <w:pStyle w:val="Bullet1"/>
        <w:numPr>
          <w:ilvl w:val="1"/>
          <w:numId w:val="18"/>
        </w:numPr>
        <w:spacing w:before="0" w:after="60" w:line="240" w:lineRule="auto"/>
        <w:rPr>
          <w:sz w:val="22"/>
          <w:szCs w:val="22"/>
        </w:rPr>
      </w:pPr>
      <w:r w:rsidRPr="00E02893">
        <w:rPr>
          <w:sz w:val="22"/>
          <w:szCs w:val="22"/>
        </w:rPr>
        <w:t>is reviewable in accordance with the ARIn Framework (where a Group ARIn is involved, the scheduled review date is to be included);</w:t>
      </w:r>
    </w:p>
    <w:p w14:paraId="440BB990" w14:textId="119E6183" w:rsidR="00E02893" w:rsidRPr="00E02893" w:rsidRDefault="00E02893" w:rsidP="009D5963">
      <w:pPr>
        <w:pStyle w:val="Bullet1"/>
        <w:numPr>
          <w:ilvl w:val="1"/>
          <w:numId w:val="18"/>
        </w:numPr>
        <w:spacing w:before="0" w:after="60" w:line="240" w:lineRule="auto"/>
        <w:rPr>
          <w:sz w:val="22"/>
          <w:szCs w:val="22"/>
        </w:rPr>
      </w:pPr>
      <w:r w:rsidRPr="00E02893">
        <w:rPr>
          <w:sz w:val="22"/>
          <w:szCs w:val="22"/>
        </w:rPr>
        <w:t>may be terminated, or have its value adjusted (either up or down); and</w:t>
      </w:r>
    </w:p>
    <w:p w14:paraId="359188EB" w14:textId="040F9405" w:rsidR="00E02893" w:rsidRDefault="00E02893" w:rsidP="009D5963">
      <w:pPr>
        <w:pStyle w:val="ListParagraph"/>
        <w:numPr>
          <w:ilvl w:val="1"/>
          <w:numId w:val="18"/>
        </w:numPr>
        <w:rPr>
          <w:szCs w:val="22"/>
        </w:rPr>
      </w:pPr>
      <w:r w:rsidRPr="00E02893">
        <w:rPr>
          <w:szCs w:val="22"/>
        </w:rPr>
        <w:t>must continue to meet the eligibility criteria, including consideration of relevant market rates and/or changes to the operational requirements of the business unit.</w:t>
      </w:r>
    </w:p>
    <w:p w14:paraId="4C925350" w14:textId="2D1113DD" w:rsidR="00E02893" w:rsidRPr="00E02893" w:rsidRDefault="00E02893" w:rsidP="009D5963">
      <w:pPr>
        <w:pStyle w:val="Bullet1"/>
        <w:numPr>
          <w:ilvl w:val="0"/>
          <w:numId w:val="18"/>
        </w:numPr>
        <w:spacing w:before="0" w:after="60" w:line="240" w:lineRule="auto"/>
        <w:rPr>
          <w:b/>
          <w:color w:val="AB4399"/>
          <w:sz w:val="22"/>
          <w:szCs w:val="22"/>
        </w:rPr>
      </w:pPr>
      <w:r w:rsidRPr="00E02893">
        <w:rPr>
          <w:sz w:val="22"/>
          <w:szCs w:val="22"/>
        </w:rPr>
        <w:t xml:space="preserve">To ensure the best field is attracted and merit satisfied, where a </w:t>
      </w:r>
      <w:r w:rsidR="00F73DB9">
        <w:rPr>
          <w:sz w:val="22"/>
          <w:szCs w:val="22"/>
        </w:rPr>
        <w:t>r</w:t>
      </w:r>
      <w:r w:rsidRPr="00E02893">
        <w:rPr>
          <w:sz w:val="22"/>
          <w:szCs w:val="22"/>
        </w:rPr>
        <w:t>enewable ARIn is proposed, the advertisement may refer to a three-year ARIn term, with an 18-month review.</w:t>
      </w:r>
    </w:p>
    <w:p w14:paraId="2492FA88" w14:textId="77777777" w:rsidR="00E02893" w:rsidRPr="00E02893" w:rsidRDefault="00E02893" w:rsidP="009D5963">
      <w:pPr>
        <w:pStyle w:val="Bullet1"/>
        <w:numPr>
          <w:ilvl w:val="0"/>
          <w:numId w:val="18"/>
        </w:numPr>
        <w:spacing w:before="0" w:after="60" w:line="240" w:lineRule="auto"/>
        <w:rPr>
          <w:b/>
          <w:color w:val="AB4399"/>
          <w:sz w:val="22"/>
          <w:szCs w:val="22"/>
        </w:rPr>
      </w:pPr>
      <w:r w:rsidRPr="00E02893">
        <w:rPr>
          <w:sz w:val="22"/>
          <w:szCs w:val="22"/>
        </w:rPr>
        <w:t>Where a Group ARIn applies, candidates must be advised of the scheduled review date and possible outcomes.</w:t>
      </w:r>
    </w:p>
    <w:p w14:paraId="35A1FE69" w14:textId="45C7EEE1" w:rsidR="00E02893" w:rsidRPr="008A6C00" w:rsidRDefault="00E02893" w:rsidP="009D5963">
      <w:pPr>
        <w:pStyle w:val="Bullet1"/>
        <w:numPr>
          <w:ilvl w:val="0"/>
          <w:numId w:val="18"/>
        </w:numPr>
        <w:spacing w:before="0" w:after="60" w:line="240" w:lineRule="auto"/>
        <w:rPr>
          <w:b/>
          <w:bCs/>
          <w:color w:val="AB4399"/>
          <w:sz w:val="22"/>
          <w:szCs w:val="22"/>
        </w:rPr>
      </w:pPr>
      <w:r w:rsidRPr="00E02893">
        <w:rPr>
          <w:sz w:val="22"/>
          <w:szCs w:val="22"/>
        </w:rPr>
        <w:t xml:space="preserve"> For further information on best practice advertising in relation to ARIn</w:t>
      </w:r>
      <w:r w:rsidR="003B129B">
        <w:rPr>
          <w:sz w:val="22"/>
          <w:szCs w:val="22"/>
        </w:rPr>
        <w:t>s</w:t>
      </w:r>
      <w:r w:rsidRPr="00E02893">
        <w:rPr>
          <w:sz w:val="22"/>
          <w:szCs w:val="22"/>
        </w:rPr>
        <w:t xml:space="preserve"> please see </w:t>
      </w:r>
      <w:r w:rsidRPr="008A6C00">
        <w:rPr>
          <w:b/>
          <w:bCs/>
          <w:sz w:val="22"/>
          <w:szCs w:val="22"/>
        </w:rPr>
        <w:t>Appendix 2: Recruitment and Advertising in relation to ARIn</w:t>
      </w:r>
      <w:r w:rsidR="003B129B">
        <w:rPr>
          <w:b/>
          <w:bCs/>
          <w:sz w:val="22"/>
          <w:szCs w:val="22"/>
        </w:rPr>
        <w:t>s</w:t>
      </w:r>
      <w:r w:rsidR="002B6EE5">
        <w:rPr>
          <w:b/>
          <w:bCs/>
          <w:sz w:val="22"/>
          <w:szCs w:val="22"/>
        </w:rPr>
        <w:t>.</w:t>
      </w:r>
    </w:p>
    <w:p w14:paraId="52239E20" w14:textId="570B2916" w:rsidR="00E02893" w:rsidRDefault="007E0D01" w:rsidP="007E0D01">
      <w:pPr>
        <w:pStyle w:val="Heading2"/>
      </w:pPr>
      <w:bookmarkStart w:id="20" w:name="_Toc163155594"/>
      <w:r>
        <w:t>Procedure</w:t>
      </w:r>
      <w:bookmarkEnd w:id="20"/>
    </w:p>
    <w:p w14:paraId="02C3F138" w14:textId="0DA6E89F" w:rsidR="007E0D01" w:rsidRDefault="007E0D01" w:rsidP="007E0D01">
      <w:pPr>
        <w:pStyle w:val="Heading3"/>
      </w:pPr>
      <w:bookmarkStart w:id="21" w:name="_Toc163155595"/>
      <w:r>
        <w:t>Process Flow</w:t>
      </w:r>
      <w:bookmarkEnd w:id="21"/>
    </w:p>
    <w:p w14:paraId="0246A2C9" w14:textId="77777777" w:rsidR="007E0D01" w:rsidRPr="007E0D01" w:rsidRDefault="007E0D01" w:rsidP="009D5963">
      <w:pPr>
        <w:pStyle w:val="Bullet1"/>
        <w:numPr>
          <w:ilvl w:val="0"/>
          <w:numId w:val="18"/>
        </w:numPr>
        <w:spacing w:before="0" w:after="60" w:line="240" w:lineRule="auto"/>
        <w:rPr>
          <w:sz w:val="22"/>
          <w:szCs w:val="22"/>
        </w:rPr>
      </w:pPr>
      <w:r w:rsidRPr="007E0D01">
        <w:rPr>
          <w:sz w:val="22"/>
          <w:szCs w:val="22"/>
        </w:rPr>
        <w:t xml:space="preserve">A Flow Chart representing the ARIn process is included at </w:t>
      </w:r>
      <w:r w:rsidRPr="007E0D01">
        <w:rPr>
          <w:b/>
          <w:sz w:val="22"/>
          <w:szCs w:val="22"/>
        </w:rPr>
        <w:t>Appendix 1</w:t>
      </w:r>
      <w:r w:rsidRPr="007E0D01">
        <w:rPr>
          <w:sz w:val="22"/>
          <w:szCs w:val="22"/>
        </w:rPr>
        <w:t>.</w:t>
      </w:r>
    </w:p>
    <w:p w14:paraId="6CD027CC" w14:textId="4469B0A9" w:rsidR="007E0D01" w:rsidRDefault="007E0D01" w:rsidP="007E0D01">
      <w:pPr>
        <w:pStyle w:val="Heading3"/>
      </w:pPr>
      <w:bookmarkStart w:id="22" w:name="_Toc163155596"/>
      <w:r>
        <w:t>Content of ARIns</w:t>
      </w:r>
      <w:bookmarkEnd w:id="22"/>
    </w:p>
    <w:p w14:paraId="30C3F603" w14:textId="627148B6" w:rsidR="007E0D01" w:rsidRDefault="007E0D01" w:rsidP="009D5963">
      <w:pPr>
        <w:pStyle w:val="ListParagraph"/>
        <w:numPr>
          <w:ilvl w:val="0"/>
          <w:numId w:val="18"/>
        </w:numPr>
      </w:pPr>
      <w:r>
        <w:t>The terms of the ARIn must contain provisions setting out:</w:t>
      </w:r>
    </w:p>
    <w:p w14:paraId="47618675" w14:textId="77777777" w:rsidR="007E0D01" w:rsidRDefault="007E0D01" w:rsidP="009D5963">
      <w:pPr>
        <w:pStyle w:val="ListParagraph"/>
        <w:numPr>
          <w:ilvl w:val="1"/>
          <w:numId w:val="18"/>
        </w:numPr>
      </w:pPr>
      <w:r>
        <w:t>The expiry date, or expected expiry date, of the ARIn;</w:t>
      </w:r>
    </w:p>
    <w:p w14:paraId="3DF6DB5F" w14:textId="77777777" w:rsidR="007E0D01" w:rsidRDefault="007E0D01" w:rsidP="009D5963">
      <w:pPr>
        <w:pStyle w:val="ListParagraph"/>
        <w:numPr>
          <w:ilvl w:val="1"/>
          <w:numId w:val="18"/>
        </w:numPr>
      </w:pPr>
      <w:r>
        <w:lastRenderedPageBreak/>
        <w:t>the level of the employee's classification and base rate of pay;</w:t>
      </w:r>
    </w:p>
    <w:p w14:paraId="07631FB1" w14:textId="77777777" w:rsidR="007E0D01" w:rsidRDefault="007E0D01" w:rsidP="009D5963">
      <w:pPr>
        <w:pStyle w:val="ListParagraph"/>
        <w:numPr>
          <w:ilvl w:val="1"/>
          <w:numId w:val="18"/>
        </w:numPr>
      </w:pPr>
      <w:r>
        <w:t>the pay component of the ARIn;</w:t>
      </w:r>
    </w:p>
    <w:p w14:paraId="7AD7A543" w14:textId="77777777" w:rsidR="007E0D01" w:rsidRDefault="007E0D01" w:rsidP="009D5963">
      <w:pPr>
        <w:pStyle w:val="ListParagraph"/>
        <w:numPr>
          <w:ilvl w:val="1"/>
          <w:numId w:val="18"/>
        </w:numPr>
      </w:pPr>
      <w:r>
        <w:t>any other terms and conditions of employment that are to apply under the ARIn;</w:t>
      </w:r>
    </w:p>
    <w:p w14:paraId="06663304" w14:textId="77777777" w:rsidR="007E0D01" w:rsidRDefault="007E0D01" w:rsidP="009D5963">
      <w:pPr>
        <w:pStyle w:val="ListParagraph"/>
        <w:numPr>
          <w:ilvl w:val="1"/>
          <w:numId w:val="18"/>
        </w:numPr>
      </w:pPr>
      <w:r>
        <w:t>any lump sum payments;</w:t>
      </w:r>
    </w:p>
    <w:p w14:paraId="1A701F83" w14:textId="7953C93A" w:rsidR="007E0D01" w:rsidRDefault="007E0D01" w:rsidP="009D5963">
      <w:pPr>
        <w:pStyle w:val="ListParagraph"/>
        <w:numPr>
          <w:ilvl w:val="1"/>
          <w:numId w:val="18"/>
        </w:numPr>
      </w:pPr>
      <w:r>
        <w:t xml:space="preserve">the total dollar value of the ARIn; </w:t>
      </w:r>
    </w:p>
    <w:p w14:paraId="34772704" w14:textId="777F4EF7" w:rsidR="007E0D01" w:rsidRDefault="007E0D01" w:rsidP="009D5963">
      <w:pPr>
        <w:pStyle w:val="ListParagraph"/>
        <w:numPr>
          <w:ilvl w:val="1"/>
          <w:numId w:val="18"/>
        </w:numPr>
      </w:pPr>
      <w:r>
        <w:t>that the employee will revert to the applicable rates of pay and terms and conditions of employment under the Enterprise Agreement in the event the ARIn ceases to operate or is terminated</w:t>
      </w:r>
      <w:r w:rsidR="00317916">
        <w:t>; and</w:t>
      </w:r>
    </w:p>
    <w:p w14:paraId="6132C687" w14:textId="082E169F" w:rsidR="00317916" w:rsidRDefault="00317916" w:rsidP="009D5963">
      <w:pPr>
        <w:pStyle w:val="ListParagraph"/>
        <w:numPr>
          <w:ilvl w:val="1"/>
          <w:numId w:val="18"/>
        </w:numPr>
      </w:pPr>
      <w:r>
        <w:t>the terms of the Attraction and Retention Framework are included by reference.</w:t>
      </w:r>
    </w:p>
    <w:p w14:paraId="330C53C1" w14:textId="167662F9" w:rsidR="007E0D01" w:rsidRDefault="007E0D01" w:rsidP="002B6EE5">
      <w:pPr>
        <w:pStyle w:val="ListParagraph"/>
        <w:numPr>
          <w:ilvl w:val="0"/>
          <w:numId w:val="18"/>
        </w:numPr>
        <w:ind w:left="714" w:hanging="357"/>
      </w:pPr>
      <w:r>
        <w:t xml:space="preserve">The above are mandatory provisions and must be completed within the </w:t>
      </w:r>
      <w:r w:rsidR="002414B3">
        <w:t>c</w:t>
      </w:r>
      <w:r>
        <w:t xml:space="preserve">omprehensive </w:t>
      </w:r>
      <w:r w:rsidR="002414B3">
        <w:t>s</w:t>
      </w:r>
      <w:r>
        <w:t xml:space="preserve">ubmission template and </w:t>
      </w:r>
      <w:r w:rsidR="002414B3">
        <w:t>i</w:t>
      </w:r>
      <w:r>
        <w:t xml:space="preserve">ndividual </w:t>
      </w:r>
      <w:r w:rsidR="002414B3">
        <w:t>c</w:t>
      </w:r>
      <w:r>
        <w:t>ontract template.</w:t>
      </w:r>
    </w:p>
    <w:p w14:paraId="7BFE140B" w14:textId="06F4C9FF" w:rsidR="007E0D01" w:rsidRDefault="007E0D01" w:rsidP="007E0D01">
      <w:pPr>
        <w:pStyle w:val="Heading3"/>
      </w:pPr>
      <w:bookmarkStart w:id="23" w:name="_Toc163155597"/>
      <w:r>
        <w:t>Commencement and Payment of ARIns</w:t>
      </w:r>
      <w:bookmarkEnd w:id="23"/>
    </w:p>
    <w:p w14:paraId="37391533" w14:textId="6C4440A5" w:rsidR="007E0D01" w:rsidRPr="007E0D01" w:rsidRDefault="007E0D01" w:rsidP="009D5963">
      <w:pPr>
        <w:pStyle w:val="Bullet1"/>
        <w:numPr>
          <w:ilvl w:val="0"/>
          <w:numId w:val="18"/>
        </w:numPr>
        <w:spacing w:before="0" w:after="60" w:line="240" w:lineRule="auto"/>
        <w:rPr>
          <w:sz w:val="22"/>
          <w:szCs w:val="22"/>
        </w:rPr>
      </w:pPr>
      <w:r w:rsidRPr="007E0D01">
        <w:rPr>
          <w:sz w:val="22"/>
          <w:szCs w:val="22"/>
        </w:rPr>
        <w:t xml:space="preserve">An ARIn will commence from whichever is the latter: </w:t>
      </w:r>
      <w:r w:rsidRPr="007E0D01">
        <w:rPr>
          <w:sz w:val="22"/>
          <w:szCs w:val="22"/>
        </w:rPr>
        <w:tab/>
      </w:r>
    </w:p>
    <w:p w14:paraId="6E20B5CC" w14:textId="77777777" w:rsidR="007E0D01" w:rsidRPr="007E0D01" w:rsidRDefault="007E0D01" w:rsidP="009D5963">
      <w:pPr>
        <w:pStyle w:val="Bullet1"/>
        <w:numPr>
          <w:ilvl w:val="1"/>
          <w:numId w:val="24"/>
        </w:numPr>
        <w:spacing w:before="0" w:after="60" w:line="240" w:lineRule="auto"/>
        <w:rPr>
          <w:sz w:val="22"/>
          <w:szCs w:val="22"/>
        </w:rPr>
      </w:pPr>
      <w:r w:rsidRPr="007E0D01">
        <w:rPr>
          <w:sz w:val="22"/>
          <w:szCs w:val="22"/>
        </w:rPr>
        <w:t>The date specified within the ARIn; or</w:t>
      </w:r>
    </w:p>
    <w:p w14:paraId="30A69FED" w14:textId="6C9588D4" w:rsidR="007E0D01" w:rsidRDefault="007E0D01" w:rsidP="009D5963">
      <w:pPr>
        <w:pStyle w:val="Bullet1"/>
        <w:numPr>
          <w:ilvl w:val="1"/>
          <w:numId w:val="24"/>
        </w:numPr>
        <w:spacing w:before="0" w:after="60" w:line="240" w:lineRule="auto"/>
        <w:rPr>
          <w:sz w:val="22"/>
          <w:szCs w:val="22"/>
        </w:rPr>
      </w:pPr>
      <w:r w:rsidRPr="007E0D01">
        <w:rPr>
          <w:sz w:val="22"/>
          <w:szCs w:val="22"/>
        </w:rPr>
        <w:t>The date of final approval on the ARIn contract by the Director-General</w:t>
      </w:r>
      <w:r w:rsidR="002F7806">
        <w:rPr>
          <w:sz w:val="22"/>
          <w:szCs w:val="22"/>
        </w:rPr>
        <w:t>/Head of Service</w:t>
      </w:r>
      <w:r w:rsidRPr="007E0D01">
        <w:rPr>
          <w:sz w:val="22"/>
          <w:szCs w:val="22"/>
        </w:rPr>
        <w:t xml:space="preserve"> following all necessary requirements have been met.</w:t>
      </w:r>
    </w:p>
    <w:p w14:paraId="1FCF5675" w14:textId="7349ED30" w:rsidR="007E0D01" w:rsidRPr="007E0D01" w:rsidRDefault="007E0D01" w:rsidP="002B6EE5">
      <w:pPr>
        <w:pStyle w:val="Bullet1"/>
        <w:numPr>
          <w:ilvl w:val="0"/>
          <w:numId w:val="18"/>
        </w:numPr>
        <w:spacing w:before="200" w:after="200" w:line="240" w:lineRule="auto"/>
        <w:ind w:left="714" w:hanging="357"/>
        <w:rPr>
          <w:sz w:val="22"/>
          <w:szCs w:val="22"/>
        </w:rPr>
      </w:pPr>
      <w:r w:rsidRPr="007E0D01">
        <w:rPr>
          <w:sz w:val="22"/>
          <w:szCs w:val="22"/>
        </w:rPr>
        <w:t xml:space="preserve">In some extenuating circumstances an ARIn may be implemented retrospectively, however only with the approval of the Head of Service and up to a maximum of 3 months. </w:t>
      </w:r>
    </w:p>
    <w:p w14:paraId="7034928E" w14:textId="77777777" w:rsidR="007E0D01" w:rsidRPr="007E0D01" w:rsidRDefault="007E0D01" w:rsidP="002B6EE5">
      <w:pPr>
        <w:pStyle w:val="Bullet1"/>
        <w:numPr>
          <w:ilvl w:val="0"/>
          <w:numId w:val="18"/>
        </w:numPr>
        <w:spacing w:before="200" w:after="200" w:line="240" w:lineRule="auto"/>
        <w:ind w:left="714" w:hanging="357"/>
        <w:rPr>
          <w:sz w:val="22"/>
          <w:szCs w:val="22"/>
        </w:rPr>
      </w:pPr>
      <w:r w:rsidRPr="007E0D01">
        <w:rPr>
          <w:sz w:val="22"/>
          <w:szCs w:val="22"/>
        </w:rPr>
        <w:t>The pay component is payable by fortnightly instalments, unless otherwise specified.</w:t>
      </w:r>
    </w:p>
    <w:p w14:paraId="5831D545" w14:textId="6F479684" w:rsidR="007E0D01" w:rsidRDefault="007E0D01" w:rsidP="002B6EE5">
      <w:pPr>
        <w:pStyle w:val="Bullet1"/>
        <w:numPr>
          <w:ilvl w:val="0"/>
          <w:numId w:val="18"/>
        </w:numPr>
        <w:spacing w:before="200" w:after="200" w:line="240" w:lineRule="auto"/>
        <w:ind w:left="714" w:hanging="357"/>
        <w:rPr>
          <w:sz w:val="22"/>
          <w:szCs w:val="22"/>
        </w:rPr>
      </w:pPr>
      <w:r w:rsidRPr="007E0D01">
        <w:rPr>
          <w:sz w:val="22"/>
          <w:szCs w:val="22"/>
        </w:rPr>
        <w:t>The pay component of an ARIn will count as pay for all purposes including superannuation and for the purposes of calculating the rate of pay for annual leave, long service leave, paid personal leave, paid birth leave, redundancy payments and other paid leave granted under the Enterprise Agreement.</w:t>
      </w:r>
    </w:p>
    <w:p w14:paraId="02163157" w14:textId="5997506C" w:rsidR="00D50F68" w:rsidRPr="002B6DBD" w:rsidRDefault="00272DFF" w:rsidP="00D50F68">
      <w:pPr>
        <w:pStyle w:val="Heading3"/>
      </w:pPr>
      <w:bookmarkStart w:id="24" w:name="_Toc163155598"/>
      <w:bookmarkStart w:id="25" w:name="_Hlk161933252"/>
      <w:bookmarkStart w:id="26" w:name="_Hlk158735996"/>
      <w:r w:rsidRPr="002B6DBD">
        <w:t>New Enterprise Agreements and Transition Arrangements for current ARIns</w:t>
      </w:r>
      <w:bookmarkEnd w:id="24"/>
    </w:p>
    <w:p w14:paraId="4E9940D4" w14:textId="6287179F" w:rsidR="00E92041" w:rsidRDefault="00272DFF" w:rsidP="00E92041">
      <w:pPr>
        <w:pStyle w:val="ListParagraph"/>
        <w:numPr>
          <w:ilvl w:val="0"/>
          <w:numId w:val="18"/>
        </w:numPr>
      </w:pPr>
      <w:r w:rsidRPr="002B6DBD">
        <w:t>All ARIns (other than Group ARIns) in place at the time a new</w:t>
      </w:r>
      <w:r w:rsidR="001D1435">
        <w:t xml:space="preserve"> relevant</w:t>
      </w:r>
      <w:r w:rsidRPr="002B6DBD">
        <w:t xml:space="preserve"> </w:t>
      </w:r>
      <w:r w:rsidR="00D8303E">
        <w:t>E</w:t>
      </w:r>
      <w:r w:rsidRPr="002B6DBD">
        <w:t xml:space="preserve">nterprise </w:t>
      </w:r>
      <w:r w:rsidR="00D8303E">
        <w:t>A</w:t>
      </w:r>
      <w:r w:rsidRPr="002B6DBD">
        <w:t>greement comes into effect</w:t>
      </w:r>
      <w:r w:rsidR="00E92041">
        <w:t xml:space="preserve"> can, at the discretion of the director-general either: </w:t>
      </w:r>
    </w:p>
    <w:p w14:paraId="1F1B1D91" w14:textId="08F98E03" w:rsidR="00E92041" w:rsidRDefault="00E92041" w:rsidP="002414B3">
      <w:pPr>
        <w:pStyle w:val="ListParagraph"/>
        <w:numPr>
          <w:ilvl w:val="1"/>
          <w:numId w:val="18"/>
        </w:numPr>
        <w:spacing w:before="120" w:after="120"/>
        <w:ind w:left="1491" w:hanging="357"/>
      </w:pPr>
      <w:r>
        <w:t>Continue to operate as per the</w:t>
      </w:r>
      <w:r w:rsidR="001D1435">
        <w:t xml:space="preserve"> current</w:t>
      </w:r>
      <w:r>
        <w:t xml:space="preserve"> ARIn. As per the scheduled end date </w:t>
      </w:r>
      <w:r w:rsidR="001D1435">
        <w:t xml:space="preserve">in the current ARIn, </w:t>
      </w:r>
      <w:r>
        <w:t xml:space="preserve">a comprehensive review will need to be completed and any subsequent ARIn </w:t>
      </w:r>
      <w:r w:rsidR="001D1435">
        <w:t>must</w:t>
      </w:r>
      <w:r>
        <w:t xml:space="preserve"> be under the 2023-2026 framework; or</w:t>
      </w:r>
    </w:p>
    <w:p w14:paraId="46640EF7" w14:textId="78B20EB9" w:rsidR="00272DFF" w:rsidRPr="002B6DBD" w:rsidRDefault="00E92041" w:rsidP="002414B3">
      <w:pPr>
        <w:pStyle w:val="ListParagraph"/>
        <w:numPr>
          <w:ilvl w:val="1"/>
          <w:numId w:val="18"/>
        </w:numPr>
        <w:spacing w:before="120" w:after="120"/>
        <w:ind w:left="1491" w:hanging="357"/>
      </w:pPr>
      <w:r>
        <w:t>At the directorate</w:t>
      </w:r>
      <w:r w:rsidR="00C84412">
        <w:t>’</w:t>
      </w:r>
      <w:r>
        <w:t>s discretion the directorate may extend the current renewable ARIn up to the 36 month period. A midpoint review prior to the 18 month mark is mandatory. If</w:t>
      </w:r>
      <w:r w:rsidR="0067474D">
        <w:t xml:space="preserve"> directorates choose this </w:t>
      </w:r>
      <w:r w:rsidR="00542290">
        <w:t>option,</w:t>
      </w:r>
      <w:r w:rsidR="0067474D">
        <w:t xml:space="preserve"> they must</w:t>
      </w:r>
      <w:r>
        <w:t xml:space="preserve"> </w:t>
      </w:r>
      <w:r w:rsidR="00272DFF" w:rsidRPr="002B6DBD">
        <w:t>advise employees in receipt of a renewable ARIn of the review changes under the new ARIn framework</w:t>
      </w:r>
      <w:r w:rsidR="00C84412">
        <w:t>;</w:t>
      </w:r>
      <w:r w:rsidR="00272DFF" w:rsidRPr="002B6DBD">
        <w:t xml:space="preserve"> that is, a review is now required at the 18 month mark (or earlier) and at the end of the </w:t>
      </w:r>
      <w:r w:rsidR="009D3B01">
        <w:t>36 month</w:t>
      </w:r>
      <w:r w:rsidR="00272DFF" w:rsidRPr="002B6DBD">
        <w:t xml:space="preserve"> period.</w:t>
      </w:r>
      <w:r w:rsidR="00FD25BF">
        <w:t xml:space="preserve"> </w:t>
      </w:r>
      <w:r w:rsidR="00C84412">
        <w:t>In these circumstances, a</w:t>
      </w:r>
      <w:r w:rsidR="00FD25BF">
        <w:t xml:space="preserve"> review will</w:t>
      </w:r>
      <w:r w:rsidR="00272DFF" w:rsidRPr="002B6DBD">
        <w:t xml:space="preserve"> no longer</w:t>
      </w:r>
      <w:r w:rsidR="00FD25BF">
        <w:t xml:space="preserve"> be</w:t>
      </w:r>
      <w:r w:rsidR="00272DFF" w:rsidRPr="002B6DBD">
        <w:t xml:space="preserve"> required every 12 months. </w:t>
      </w:r>
      <w:r w:rsidR="0067474D">
        <w:t>In addition</w:t>
      </w:r>
      <w:r w:rsidR="00FD25BF">
        <w:t>,</w:t>
      </w:r>
      <w:r w:rsidR="0067474D">
        <w:t xml:space="preserve"> payroll and recruitment must be advised</w:t>
      </w:r>
      <w:r w:rsidR="00FD25BF">
        <w:t xml:space="preserve"> of the extension and an ‘ARIn Extension under Current Enterprise Agreement One</w:t>
      </w:r>
      <w:r w:rsidR="009D3B01">
        <w:t>G</w:t>
      </w:r>
      <w:r w:rsidR="00FD25BF">
        <w:t>ov form’ completed by the delegate and employee</w:t>
      </w:r>
      <w:r w:rsidR="0067474D">
        <w:t>.</w:t>
      </w:r>
    </w:p>
    <w:p w14:paraId="45DAEEEE" w14:textId="6BF93A46" w:rsidR="00272DFF" w:rsidRDefault="00272DFF" w:rsidP="00E92041">
      <w:pPr>
        <w:pStyle w:val="ListParagraph"/>
        <w:numPr>
          <w:ilvl w:val="0"/>
          <w:numId w:val="18"/>
        </w:numPr>
      </w:pPr>
      <w:r w:rsidRPr="002B6DBD">
        <w:t xml:space="preserve">If the directorate (or employee) </w:t>
      </w:r>
      <w:r w:rsidR="009D3B01">
        <w:t>require</w:t>
      </w:r>
      <w:r w:rsidR="009D3B01" w:rsidRPr="002B6DBD">
        <w:t xml:space="preserve"> </w:t>
      </w:r>
      <w:r w:rsidRPr="002B6DBD">
        <w:t>any other term or condition of their ARIn</w:t>
      </w:r>
      <w:r w:rsidR="009D3B01">
        <w:t xml:space="preserve"> to change</w:t>
      </w:r>
      <w:r w:rsidRPr="002B6DBD">
        <w:t>, a comprehensive submission will be required.</w:t>
      </w:r>
    </w:p>
    <w:bookmarkEnd w:id="25"/>
    <w:p w14:paraId="01F2A711" w14:textId="77777777" w:rsidR="00E92041" w:rsidRPr="00272DFF" w:rsidRDefault="00E92041" w:rsidP="00A74BC2"/>
    <w:p w14:paraId="6DCDCF8F" w14:textId="5FD9B428" w:rsidR="007E0D01" w:rsidRDefault="007E0D01" w:rsidP="007E0D01">
      <w:pPr>
        <w:pStyle w:val="Heading3"/>
      </w:pPr>
      <w:bookmarkStart w:id="27" w:name="_Toc163155599"/>
      <w:bookmarkEnd w:id="26"/>
      <w:r>
        <w:lastRenderedPageBreak/>
        <w:t>Comprehensive Submissions</w:t>
      </w:r>
      <w:bookmarkEnd w:id="27"/>
    </w:p>
    <w:p w14:paraId="684108CD" w14:textId="2390A1B2" w:rsidR="007E0D01" w:rsidRPr="007E0D01" w:rsidRDefault="007E0D01" w:rsidP="002B6EE5">
      <w:pPr>
        <w:pStyle w:val="Bullet1"/>
        <w:numPr>
          <w:ilvl w:val="0"/>
          <w:numId w:val="18"/>
        </w:numPr>
        <w:spacing w:before="200" w:after="200" w:line="240" w:lineRule="auto"/>
        <w:ind w:left="714" w:hanging="357"/>
        <w:rPr>
          <w:rFonts w:cstheme="minorHAnsi"/>
          <w:sz w:val="22"/>
          <w:szCs w:val="22"/>
        </w:rPr>
      </w:pPr>
      <w:r w:rsidRPr="007E0D01">
        <w:rPr>
          <w:rFonts w:cstheme="minorHAnsi"/>
          <w:sz w:val="22"/>
          <w:szCs w:val="22"/>
        </w:rPr>
        <w:t xml:space="preserve">A </w:t>
      </w:r>
      <w:r w:rsidR="009D3B01">
        <w:rPr>
          <w:rFonts w:cstheme="minorHAnsi"/>
          <w:sz w:val="22"/>
          <w:szCs w:val="22"/>
        </w:rPr>
        <w:t>c</w:t>
      </w:r>
      <w:r w:rsidRPr="007E0D01">
        <w:rPr>
          <w:rFonts w:cstheme="minorHAnsi"/>
          <w:sz w:val="22"/>
          <w:szCs w:val="22"/>
        </w:rPr>
        <w:t xml:space="preserve">omprehensive </w:t>
      </w:r>
      <w:r w:rsidR="009D3B01">
        <w:rPr>
          <w:rFonts w:cstheme="minorHAnsi"/>
          <w:sz w:val="22"/>
          <w:szCs w:val="22"/>
        </w:rPr>
        <w:t>s</w:t>
      </w:r>
      <w:r w:rsidRPr="007E0D01">
        <w:rPr>
          <w:rFonts w:cstheme="minorHAnsi"/>
          <w:sz w:val="22"/>
          <w:szCs w:val="22"/>
        </w:rPr>
        <w:t xml:space="preserve">ubmission is required to establish any type of ARIn including if directorates are seeking to advertise a position with an ARIn attached to the position/role. All </w:t>
      </w:r>
      <w:r w:rsidR="00F73DB9">
        <w:rPr>
          <w:rFonts w:cstheme="minorHAnsi"/>
          <w:sz w:val="22"/>
          <w:szCs w:val="22"/>
        </w:rPr>
        <w:t>c</w:t>
      </w:r>
      <w:r w:rsidRPr="007E0D01">
        <w:rPr>
          <w:rFonts w:cstheme="minorHAnsi"/>
          <w:sz w:val="22"/>
          <w:szCs w:val="22"/>
        </w:rPr>
        <w:t xml:space="preserve">omprehensive </w:t>
      </w:r>
      <w:r w:rsidR="00F73DB9">
        <w:rPr>
          <w:rFonts w:cstheme="minorHAnsi"/>
          <w:sz w:val="22"/>
          <w:szCs w:val="22"/>
        </w:rPr>
        <w:t>s</w:t>
      </w:r>
      <w:r w:rsidRPr="007E0D01">
        <w:rPr>
          <w:rFonts w:cstheme="minorHAnsi"/>
          <w:sz w:val="22"/>
          <w:szCs w:val="22"/>
        </w:rPr>
        <w:t>ubmissions are to be reviewed and considered by the Head of Service.</w:t>
      </w:r>
    </w:p>
    <w:p w14:paraId="21FB9F54" w14:textId="7E0C436E" w:rsidR="007E0D01" w:rsidRPr="007E0D01" w:rsidRDefault="007E0D01" w:rsidP="002B6EE5">
      <w:pPr>
        <w:pStyle w:val="Bullet1"/>
        <w:numPr>
          <w:ilvl w:val="0"/>
          <w:numId w:val="18"/>
        </w:numPr>
        <w:spacing w:before="200" w:after="200" w:line="240" w:lineRule="auto"/>
        <w:ind w:left="714" w:hanging="357"/>
        <w:rPr>
          <w:rFonts w:cstheme="minorHAnsi"/>
          <w:sz w:val="22"/>
          <w:szCs w:val="22"/>
        </w:rPr>
      </w:pPr>
      <w:r w:rsidRPr="007E0D01">
        <w:rPr>
          <w:rFonts w:cstheme="minorHAnsi"/>
          <w:sz w:val="22"/>
          <w:szCs w:val="22"/>
        </w:rPr>
        <w:t xml:space="preserve">The </w:t>
      </w:r>
      <w:r w:rsidR="009D3B01">
        <w:rPr>
          <w:rFonts w:cstheme="minorHAnsi"/>
          <w:sz w:val="22"/>
          <w:szCs w:val="22"/>
        </w:rPr>
        <w:t>c</w:t>
      </w:r>
      <w:r w:rsidRPr="007E0D01">
        <w:rPr>
          <w:rFonts w:cstheme="minorHAnsi"/>
          <w:sz w:val="22"/>
          <w:szCs w:val="22"/>
        </w:rPr>
        <w:t xml:space="preserve">omprehensive </w:t>
      </w:r>
      <w:r w:rsidR="009D3B01">
        <w:rPr>
          <w:rFonts w:cstheme="minorHAnsi"/>
          <w:sz w:val="22"/>
          <w:szCs w:val="22"/>
        </w:rPr>
        <w:t>s</w:t>
      </w:r>
      <w:r w:rsidRPr="007E0D01">
        <w:rPr>
          <w:rFonts w:cstheme="minorHAnsi"/>
          <w:sz w:val="22"/>
          <w:szCs w:val="22"/>
        </w:rPr>
        <w:t xml:space="preserve">ubmission will outline all requirements of the ARIn including justification for the need of the ARIn. Once the Head of Service has considered the ARIn, directorates will be advised that they can proceed with the Director-General approving the ARIn contract and sending to recruitment/payroll for processing. </w:t>
      </w:r>
    </w:p>
    <w:p w14:paraId="09CC6106" w14:textId="127B8211" w:rsidR="007E0D01" w:rsidRPr="00C815E9" w:rsidRDefault="007E0D01" w:rsidP="00C815E9">
      <w:pPr>
        <w:pStyle w:val="Heading3"/>
      </w:pPr>
      <w:bookmarkStart w:id="28" w:name="_Toc163155600"/>
      <w:r>
        <w:t>Types of ARIns</w:t>
      </w:r>
      <w:bookmarkEnd w:id="28"/>
    </w:p>
    <w:p w14:paraId="231D7B77" w14:textId="4A5ED592" w:rsidR="007E0D01" w:rsidRDefault="007E0D01" w:rsidP="009D5963">
      <w:pPr>
        <w:pStyle w:val="ListParagraph"/>
        <w:numPr>
          <w:ilvl w:val="0"/>
          <w:numId w:val="18"/>
        </w:numPr>
      </w:pPr>
      <w:r>
        <w:t>There are four types of ARIns, each to be used in particular circumstances</w:t>
      </w:r>
      <w:r w:rsidR="00C815E9">
        <w:t>.</w:t>
      </w:r>
    </w:p>
    <w:tbl>
      <w:tblPr>
        <w:tblStyle w:val="TableGrid1"/>
        <w:tblW w:w="9242" w:type="dxa"/>
        <w:tblInd w:w="-113" w:type="dxa"/>
        <w:tblLook w:val="04A0" w:firstRow="1" w:lastRow="0" w:firstColumn="1" w:lastColumn="0" w:noHBand="0" w:noVBand="1"/>
      </w:tblPr>
      <w:tblGrid>
        <w:gridCol w:w="4621"/>
        <w:gridCol w:w="4621"/>
      </w:tblGrid>
      <w:tr w:rsidR="00C815E9" w14:paraId="37EEA824" w14:textId="77777777" w:rsidTr="00EA1819">
        <w:tc>
          <w:tcPr>
            <w:tcW w:w="4621" w:type="dxa"/>
          </w:tcPr>
          <w:p w14:paraId="62509A8D" w14:textId="77777777" w:rsidR="00C815E9" w:rsidRPr="008A6C00" w:rsidRDefault="00C815E9" w:rsidP="00EA1819">
            <w:pPr>
              <w:jc w:val="center"/>
              <w:rPr>
                <w:b/>
                <w:bCs/>
                <w:szCs w:val="22"/>
                <w:u w:val="single"/>
              </w:rPr>
            </w:pPr>
            <w:r w:rsidRPr="008A6C00">
              <w:rPr>
                <w:b/>
                <w:bCs/>
                <w:szCs w:val="22"/>
                <w:u w:val="single"/>
              </w:rPr>
              <w:t>Project ARIns: Non - Renewable</w:t>
            </w:r>
          </w:p>
          <w:p w14:paraId="49460EC7" w14:textId="77777777" w:rsidR="00C815E9" w:rsidRPr="008A6C00" w:rsidRDefault="00C815E9" w:rsidP="00EA1819">
            <w:pPr>
              <w:rPr>
                <w:szCs w:val="22"/>
              </w:rPr>
            </w:pPr>
            <w:r w:rsidRPr="008A6C00">
              <w:rPr>
                <w:szCs w:val="22"/>
              </w:rPr>
              <w:t xml:space="preserve">Characteristics of a Project ARIn: </w:t>
            </w:r>
          </w:p>
          <w:p w14:paraId="1FB1D64A" w14:textId="25C9384D" w:rsidR="00C815E9" w:rsidRPr="008A6C00" w:rsidRDefault="00C815E9" w:rsidP="00C815E9">
            <w:pPr>
              <w:pStyle w:val="Bullet1"/>
              <w:numPr>
                <w:ilvl w:val="0"/>
                <w:numId w:val="1"/>
              </w:numPr>
              <w:spacing w:before="0" w:after="60" w:line="240" w:lineRule="auto"/>
              <w:ind w:left="357" w:hanging="357"/>
              <w:rPr>
                <w:sz w:val="22"/>
                <w:szCs w:val="22"/>
              </w:rPr>
            </w:pPr>
            <w:r w:rsidRPr="008A6C00">
              <w:rPr>
                <w:sz w:val="22"/>
                <w:szCs w:val="22"/>
              </w:rPr>
              <w:t>a term no longer than 36 months’</w:t>
            </w:r>
            <w:r w:rsidR="00F73DB9">
              <w:rPr>
                <w:sz w:val="22"/>
                <w:szCs w:val="22"/>
              </w:rPr>
              <w:t>;</w:t>
            </w:r>
            <w:r w:rsidRPr="008A6C00">
              <w:rPr>
                <w:sz w:val="22"/>
                <w:szCs w:val="22"/>
              </w:rPr>
              <w:t xml:space="preserve"> </w:t>
            </w:r>
          </w:p>
          <w:p w14:paraId="0476A13D" w14:textId="77777777" w:rsidR="00C815E9" w:rsidRPr="008A6C00" w:rsidRDefault="00C815E9" w:rsidP="00C815E9">
            <w:pPr>
              <w:pStyle w:val="Bullet1"/>
              <w:numPr>
                <w:ilvl w:val="0"/>
                <w:numId w:val="1"/>
              </w:numPr>
              <w:spacing w:before="0" w:after="60" w:line="240" w:lineRule="auto"/>
              <w:ind w:left="357" w:hanging="357"/>
              <w:rPr>
                <w:sz w:val="22"/>
                <w:szCs w:val="22"/>
              </w:rPr>
            </w:pPr>
            <w:r w:rsidRPr="008A6C00">
              <w:rPr>
                <w:sz w:val="22"/>
                <w:szCs w:val="22"/>
              </w:rPr>
              <w:t>Must be in association with a specific project;</w:t>
            </w:r>
          </w:p>
          <w:p w14:paraId="56145828" w14:textId="77777777" w:rsidR="00C815E9" w:rsidRPr="008A6C00" w:rsidRDefault="00C815E9" w:rsidP="00C815E9">
            <w:pPr>
              <w:pStyle w:val="Bullet1"/>
              <w:numPr>
                <w:ilvl w:val="0"/>
                <w:numId w:val="1"/>
              </w:numPr>
              <w:spacing w:before="0" w:after="60" w:line="240" w:lineRule="auto"/>
              <w:ind w:left="357" w:hanging="357"/>
              <w:rPr>
                <w:sz w:val="22"/>
                <w:szCs w:val="22"/>
              </w:rPr>
            </w:pPr>
            <w:r w:rsidRPr="008A6C00">
              <w:rPr>
                <w:sz w:val="22"/>
                <w:szCs w:val="22"/>
              </w:rPr>
              <w:t>There is no ability to either vary or extend the ARIn; and</w:t>
            </w:r>
          </w:p>
          <w:p w14:paraId="01D1C8B8" w14:textId="0D2A542F" w:rsidR="00C815E9" w:rsidRPr="002B6EE5" w:rsidRDefault="00C815E9" w:rsidP="00EA1819">
            <w:pPr>
              <w:pStyle w:val="Bullet1"/>
              <w:numPr>
                <w:ilvl w:val="0"/>
                <w:numId w:val="1"/>
              </w:numPr>
              <w:spacing w:before="0" w:after="60" w:line="240" w:lineRule="auto"/>
              <w:ind w:left="357" w:hanging="357"/>
              <w:rPr>
                <w:sz w:val="22"/>
                <w:szCs w:val="22"/>
              </w:rPr>
            </w:pPr>
            <w:r w:rsidRPr="008A6C00">
              <w:rPr>
                <w:sz w:val="22"/>
                <w:szCs w:val="22"/>
              </w:rPr>
              <w:t>It will cease to operate on the date specified in the ARIn, (up to 36 months from commencement, cessation of the position’s involvement in the project or the date of completion of the project, whichever date is the earlier).</w:t>
            </w:r>
          </w:p>
          <w:p w14:paraId="7A62871D" w14:textId="2BEC3E6E" w:rsidR="00C815E9" w:rsidRPr="008A6C00" w:rsidRDefault="00C815E9" w:rsidP="00EA1819">
            <w:pPr>
              <w:rPr>
                <w:szCs w:val="22"/>
              </w:rPr>
            </w:pPr>
            <w:r w:rsidRPr="008A6C00">
              <w:rPr>
                <w:szCs w:val="22"/>
              </w:rPr>
              <w:t xml:space="preserve">Where required, a subsequent new Project ARIn may only be offered once. Where this occurs, a further </w:t>
            </w:r>
            <w:r w:rsidR="00F73DB9">
              <w:rPr>
                <w:szCs w:val="22"/>
              </w:rPr>
              <w:t>c</w:t>
            </w:r>
            <w:r w:rsidRPr="008A6C00">
              <w:rPr>
                <w:szCs w:val="22"/>
              </w:rPr>
              <w:t xml:space="preserve">omprehensive </w:t>
            </w:r>
            <w:r w:rsidR="00F73DB9">
              <w:rPr>
                <w:szCs w:val="22"/>
              </w:rPr>
              <w:t>s</w:t>
            </w:r>
            <w:r w:rsidRPr="008A6C00">
              <w:rPr>
                <w:szCs w:val="22"/>
              </w:rPr>
              <w:t>ubmission is required.</w:t>
            </w:r>
          </w:p>
        </w:tc>
        <w:tc>
          <w:tcPr>
            <w:tcW w:w="4621" w:type="dxa"/>
          </w:tcPr>
          <w:p w14:paraId="30E66384" w14:textId="77777777" w:rsidR="00C815E9" w:rsidRPr="00E17885" w:rsidRDefault="00C815E9" w:rsidP="00EA1819">
            <w:pPr>
              <w:jc w:val="center"/>
              <w:rPr>
                <w:b/>
                <w:bCs/>
                <w:u w:val="single"/>
              </w:rPr>
            </w:pPr>
            <w:r w:rsidRPr="00E17885">
              <w:rPr>
                <w:b/>
                <w:bCs/>
                <w:u w:val="single"/>
              </w:rPr>
              <w:t>Fixed Term ARIns: Non – Renewables</w:t>
            </w:r>
          </w:p>
          <w:p w14:paraId="11847BB9" w14:textId="77777777" w:rsidR="00C815E9" w:rsidRPr="008A6C00" w:rsidRDefault="00C815E9" w:rsidP="00EA1819">
            <w:pPr>
              <w:rPr>
                <w:szCs w:val="22"/>
              </w:rPr>
            </w:pPr>
            <w:r w:rsidRPr="008A6C00">
              <w:rPr>
                <w:szCs w:val="22"/>
              </w:rPr>
              <w:t xml:space="preserve">Characteristics of a Fixed Term ARIn: </w:t>
            </w:r>
          </w:p>
          <w:p w14:paraId="228B2799" w14:textId="77777777" w:rsidR="00C815E9" w:rsidRPr="008A6C00" w:rsidRDefault="00C815E9" w:rsidP="00C815E9">
            <w:pPr>
              <w:pStyle w:val="Bullet1"/>
              <w:numPr>
                <w:ilvl w:val="0"/>
                <w:numId w:val="1"/>
              </w:numPr>
              <w:spacing w:before="0" w:after="60" w:line="240" w:lineRule="auto"/>
              <w:ind w:left="357" w:hanging="357"/>
              <w:rPr>
                <w:sz w:val="22"/>
                <w:szCs w:val="22"/>
              </w:rPr>
            </w:pPr>
            <w:r w:rsidRPr="008A6C00">
              <w:rPr>
                <w:sz w:val="22"/>
                <w:szCs w:val="22"/>
              </w:rPr>
              <w:t>a term no longer than 12 months’ duration;</w:t>
            </w:r>
          </w:p>
          <w:p w14:paraId="4F7AE5AF" w14:textId="77777777" w:rsidR="00C815E9" w:rsidRPr="008A6C00" w:rsidRDefault="00C815E9" w:rsidP="00C815E9">
            <w:pPr>
              <w:pStyle w:val="Bullet1"/>
              <w:numPr>
                <w:ilvl w:val="0"/>
                <w:numId w:val="1"/>
              </w:numPr>
              <w:spacing w:before="0" w:after="60" w:line="240" w:lineRule="auto"/>
              <w:ind w:left="357" w:hanging="357"/>
              <w:rPr>
                <w:sz w:val="22"/>
                <w:szCs w:val="22"/>
              </w:rPr>
            </w:pPr>
            <w:r w:rsidRPr="008A6C00">
              <w:rPr>
                <w:sz w:val="22"/>
                <w:szCs w:val="22"/>
              </w:rPr>
              <w:t>there is no ability to either vary or extend the ARIn;</w:t>
            </w:r>
          </w:p>
          <w:p w14:paraId="38CA40E4" w14:textId="77777777" w:rsidR="00C815E9" w:rsidRPr="008A6C00" w:rsidRDefault="00C815E9" w:rsidP="00C815E9">
            <w:pPr>
              <w:pStyle w:val="Bullet1"/>
              <w:numPr>
                <w:ilvl w:val="0"/>
                <w:numId w:val="1"/>
              </w:numPr>
              <w:spacing w:before="0" w:after="60" w:line="240" w:lineRule="auto"/>
              <w:ind w:left="357" w:hanging="357"/>
              <w:rPr>
                <w:sz w:val="22"/>
                <w:szCs w:val="22"/>
              </w:rPr>
            </w:pPr>
            <w:r w:rsidRPr="008A6C00">
              <w:rPr>
                <w:sz w:val="22"/>
                <w:szCs w:val="22"/>
              </w:rPr>
              <w:t>there is no review; and</w:t>
            </w:r>
          </w:p>
          <w:p w14:paraId="42284E42" w14:textId="77777777" w:rsidR="00C815E9" w:rsidRPr="008A6C00" w:rsidRDefault="00C815E9" w:rsidP="00C815E9">
            <w:pPr>
              <w:pStyle w:val="Bullet1"/>
              <w:numPr>
                <w:ilvl w:val="0"/>
                <w:numId w:val="1"/>
              </w:numPr>
              <w:spacing w:before="0" w:after="60" w:line="240" w:lineRule="auto"/>
              <w:ind w:left="357" w:hanging="357"/>
              <w:rPr>
                <w:sz w:val="22"/>
                <w:szCs w:val="22"/>
              </w:rPr>
            </w:pPr>
            <w:r w:rsidRPr="008A6C00">
              <w:rPr>
                <w:sz w:val="22"/>
                <w:szCs w:val="22"/>
              </w:rPr>
              <w:t>it expires on the date expressed in the ARIn.</w:t>
            </w:r>
          </w:p>
          <w:p w14:paraId="1F4F153E" w14:textId="77777777" w:rsidR="00C815E9" w:rsidRPr="00EF2229" w:rsidRDefault="00C815E9" w:rsidP="00EA1819"/>
        </w:tc>
      </w:tr>
      <w:tr w:rsidR="00C815E9" w14:paraId="7740FAAB" w14:textId="77777777" w:rsidTr="00EA1819">
        <w:tc>
          <w:tcPr>
            <w:tcW w:w="4621" w:type="dxa"/>
          </w:tcPr>
          <w:p w14:paraId="59B544E5" w14:textId="77777777" w:rsidR="00C815E9" w:rsidRPr="00EF2229" w:rsidRDefault="00C815E9" w:rsidP="00EA1819">
            <w:pPr>
              <w:jc w:val="center"/>
              <w:rPr>
                <w:b/>
                <w:bCs/>
              </w:rPr>
            </w:pPr>
            <w:r w:rsidRPr="00EF2229">
              <w:rPr>
                <w:b/>
                <w:bCs/>
              </w:rPr>
              <w:t>Renewable ARIns</w:t>
            </w:r>
          </w:p>
          <w:p w14:paraId="1A20DA8A" w14:textId="77777777" w:rsidR="00C815E9" w:rsidRPr="008A6C00" w:rsidRDefault="00C815E9" w:rsidP="00EA1819">
            <w:pPr>
              <w:rPr>
                <w:szCs w:val="22"/>
              </w:rPr>
            </w:pPr>
            <w:r w:rsidRPr="008A6C00">
              <w:rPr>
                <w:szCs w:val="22"/>
              </w:rPr>
              <w:t xml:space="preserve">Characteristics of a Renewable ARIn: </w:t>
            </w:r>
          </w:p>
          <w:p w14:paraId="796C8F56" w14:textId="77777777" w:rsidR="00C815E9" w:rsidRPr="008A6C00" w:rsidRDefault="00C815E9" w:rsidP="00C815E9">
            <w:pPr>
              <w:pStyle w:val="Bullet1"/>
              <w:numPr>
                <w:ilvl w:val="0"/>
                <w:numId w:val="1"/>
              </w:numPr>
              <w:spacing w:before="0" w:after="60" w:line="240" w:lineRule="auto"/>
              <w:ind w:left="357" w:hanging="357"/>
              <w:rPr>
                <w:sz w:val="22"/>
                <w:szCs w:val="22"/>
              </w:rPr>
            </w:pPr>
            <w:r w:rsidRPr="008A6C00">
              <w:rPr>
                <w:sz w:val="22"/>
                <w:szCs w:val="22"/>
              </w:rPr>
              <w:t>a term no longer than 36 months’ duration;</w:t>
            </w:r>
          </w:p>
          <w:p w14:paraId="54C3C0B7" w14:textId="7DEE9A92" w:rsidR="00C815E9" w:rsidRPr="008A6C00" w:rsidRDefault="00C815E9" w:rsidP="00C815E9">
            <w:pPr>
              <w:pStyle w:val="Bullet1"/>
              <w:numPr>
                <w:ilvl w:val="0"/>
                <w:numId w:val="1"/>
              </w:numPr>
              <w:spacing w:before="0" w:after="60" w:line="240" w:lineRule="auto"/>
              <w:ind w:left="357" w:hanging="357"/>
              <w:rPr>
                <w:sz w:val="22"/>
                <w:szCs w:val="22"/>
              </w:rPr>
            </w:pPr>
            <w:r w:rsidRPr="008A6C00">
              <w:rPr>
                <w:sz w:val="22"/>
                <w:szCs w:val="22"/>
              </w:rPr>
              <w:t xml:space="preserve">must be reviewed by the Director-General no more than 18 months from commencement or from the date of last </w:t>
            </w:r>
            <w:r w:rsidR="00F73DB9">
              <w:rPr>
                <w:sz w:val="22"/>
                <w:szCs w:val="22"/>
              </w:rPr>
              <w:t>r</w:t>
            </w:r>
            <w:r w:rsidRPr="008A6C00">
              <w:rPr>
                <w:sz w:val="22"/>
                <w:szCs w:val="22"/>
              </w:rPr>
              <w:t xml:space="preserve">enewal or </w:t>
            </w:r>
            <w:r w:rsidR="00F73DB9">
              <w:rPr>
                <w:sz w:val="22"/>
                <w:szCs w:val="22"/>
              </w:rPr>
              <w:t>c</w:t>
            </w:r>
            <w:r w:rsidRPr="008A6C00">
              <w:rPr>
                <w:sz w:val="22"/>
                <w:szCs w:val="22"/>
              </w:rPr>
              <w:t xml:space="preserve">omprehensive </w:t>
            </w:r>
            <w:r w:rsidR="00F73DB9">
              <w:rPr>
                <w:sz w:val="22"/>
                <w:szCs w:val="22"/>
              </w:rPr>
              <w:t>s</w:t>
            </w:r>
            <w:r w:rsidRPr="008A6C00">
              <w:rPr>
                <w:sz w:val="22"/>
                <w:szCs w:val="22"/>
              </w:rPr>
              <w:t xml:space="preserve">ubmission, through either a </w:t>
            </w:r>
            <w:r w:rsidR="008A6C00">
              <w:rPr>
                <w:sz w:val="22"/>
                <w:szCs w:val="22"/>
              </w:rPr>
              <w:t>r</w:t>
            </w:r>
            <w:r w:rsidRPr="008A6C00">
              <w:rPr>
                <w:sz w:val="22"/>
                <w:szCs w:val="22"/>
              </w:rPr>
              <w:t xml:space="preserve">enewal </w:t>
            </w:r>
            <w:r w:rsidR="008A6C00">
              <w:rPr>
                <w:sz w:val="22"/>
                <w:szCs w:val="22"/>
              </w:rPr>
              <w:t>r</w:t>
            </w:r>
            <w:r w:rsidRPr="008A6C00">
              <w:rPr>
                <w:sz w:val="22"/>
                <w:szCs w:val="22"/>
              </w:rPr>
              <w:t xml:space="preserve">eview or a </w:t>
            </w:r>
            <w:r w:rsidR="008A6C00">
              <w:rPr>
                <w:sz w:val="22"/>
                <w:szCs w:val="22"/>
              </w:rPr>
              <w:t>c</w:t>
            </w:r>
            <w:r w:rsidRPr="008A6C00">
              <w:rPr>
                <w:sz w:val="22"/>
                <w:szCs w:val="22"/>
              </w:rPr>
              <w:t>omprehensive</w:t>
            </w:r>
            <w:r w:rsidR="008A6C00">
              <w:rPr>
                <w:sz w:val="22"/>
                <w:szCs w:val="22"/>
              </w:rPr>
              <w:t xml:space="preserve"> submission</w:t>
            </w:r>
            <w:r w:rsidRPr="008A6C00">
              <w:rPr>
                <w:sz w:val="22"/>
                <w:szCs w:val="22"/>
              </w:rPr>
              <w:t xml:space="preserve"> </w:t>
            </w:r>
            <w:r w:rsidR="008A6C00">
              <w:rPr>
                <w:sz w:val="22"/>
                <w:szCs w:val="22"/>
              </w:rPr>
              <w:t>r</w:t>
            </w:r>
            <w:r w:rsidRPr="008A6C00">
              <w:rPr>
                <w:sz w:val="22"/>
                <w:szCs w:val="22"/>
              </w:rPr>
              <w:t>eview;</w:t>
            </w:r>
          </w:p>
          <w:p w14:paraId="74C50AAA" w14:textId="1E12554A" w:rsidR="00C815E9" w:rsidRPr="008A6C00" w:rsidRDefault="00C815E9" w:rsidP="00C815E9">
            <w:pPr>
              <w:pStyle w:val="Bullet1"/>
              <w:numPr>
                <w:ilvl w:val="0"/>
                <w:numId w:val="1"/>
              </w:numPr>
              <w:spacing w:before="0" w:after="60" w:line="240" w:lineRule="auto"/>
              <w:ind w:left="357" w:hanging="357"/>
              <w:rPr>
                <w:sz w:val="22"/>
                <w:szCs w:val="22"/>
              </w:rPr>
            </w:pPr>
            <w:r w:rsidRPr="008A6C00">
              <w:rPr>
                <w:sz w:val="22"/>
                <w:szCs w:val="22"/>
              </w:rPr>
              <w:lastRenderedPageBreak/>
              <w:t xml:space="preserve">must have a </w:t>
            </w:r>
            <w:r w:rsidR="008A6C00">
              <w:rPr>
                <w:sz w:val="22"/>
                <w:szCs w:val="22"/>
              </w:rPr>
              <w:t>c</w:t>
            </w:r>
            <w:r w:rsidRPr="008A6C00">
              <w:rPr>
                <w:sz w:val="22"/>
                <w:szCs w:val="22"/>
              </w:rPr>
              <w:t>omprehensive</w:t>
            </w:r>
            <w:r w:rsidR="008A6C00">
              <w:rPr>
                <w:sz w:val="22"/>
                <w:szCs w:val="22"/>
              </w:rPr>
              <w:t xml:space="preserve"> submission</w:t>
            </w:r>
            <w:r w:rsidRPr="008A6C00">
              <w:rPr>
                <w:sz w:val="22"/>
                <w:szCs w:val="22"/>
              </w:rPr>
              <w:t xml:space="preserve"> </w:t>
            </w:r>
            <w:r w:rsidR="008A6C00">
              <w:rPr>
                <w:sz w:val="22"/>
                <w:szCs w:val="22"/>
              </w:rPr>
              <w:t>r</w:t>
            </w:r>
            <w:r w:rsidRPr="008A6C00">
              <w:rPr>
                <w:sz w:val="22"/>
                <w:szCs w:val="22"/>
              </w:rPr>
              <w:t>eview completed (at least) every 36 months; and</w:t>
            </w:r>
          </w:p>
          <w:p w14:paraId="463701F6" w14:textId="77777777" w:rsidR="00C815E9" w:rsidRPr="008A6C00" w:rsidRDefault="00C815E9" w:rsidP="00C815E9">
            <w:pPr>
              <w:pStyle w:val="Bullet1"/>
              <w:numPr>
                <w:ilvl w:val="0"/>
                <w:numId w:val="1"/>
              </w:numPr>
              <w:spacing w:before="0" w:after="60" w:line="240" w:lineRule="auto"/>
              <w:ind w:left="357" w:hanging="357"/>
              <w:rPr>
                <w:sz w:val="22"/>
                <w:szCs w:val="22"/>
              </w:rPr>
            </w:pPr>
            <w:r w:rsidRPr="008A6C00">
              <w:rPr>
                <w:sz w:val="22"/>
                <w:szCs w:val="22"/>
              </w:rPr>
              <w:t>expires on the date expressed in the ARIn or if a review determines an ARIn should no longer apply, the ARIn will cease 90 days from the date the employee is provided notice of cessation, unless an earlier date is otherwise agreed.</w:t>
            </w:r>
          </w:p>
          <w:p w14:paraId="5E6A410B" w14:textId="2123D402" w:rsidR="00C815E9" w:rsidRPr="002B6EE5" w:rsidRDefault="00C815E9" w:rsidP="002B6EE5">
            <w:pPr>
              <w:pStyle w:val="Bullet1"/>
              <w:numPr>
                <w:ilvl w:val="0"/>
                <w:numId w:val="0"/>
              </w:numPr>
              <w:spacing w:after="0"/>
              <w:rPr>
                <w:sz w:val="22"/>
                <w:szCs w:val="22"/>
              </w:rPr>
            </w:pPr>
            <w:r w:rsidRPr="008A6C00">
              <w:rPr>
                <w:sz w:val="22"/>
                <w:szCs w:val="22"/>
              </w:rPr>
              <w:t xml:space="preserve">A </w:t>
            </w:r>
            <w:r w:rsidR="008A6C00">
              <w:rPr>
                <w:sz w:val="22"/>
                <w:szCs w:val="22"/>
              </w:rPr>
              <w:t>r</w:t>
            </w:r>
            <w:r w:rsidRPr="008A6C00">
              <w:rPr>
                <w:sz w:val="22"/>
                <w:szCs w:val="22"/>
              </w:rPr>
              <w:t xml:space="preserve">enewal </w:t>
            </w:r>
            <w:r w:rsidR="008A6C00">
              <w:rPr>
                <w:sz w:val="22"/>
                <w:szCs w:val="22"/>
              </w:rPr>
              <w:t>r</w:t>
            </w:r>
            <w:r w:rsidRPr="008A6C00">
              <w:rPr>
                <w:sz w:val="22"/>
                <w:szCs w:val="22"/>
              </w:rPr>
              <w:t xml:space="preserve">eview does not require a submission to the Head of Service. Notwithstanding this requirement, the Director-General may determine that a </w:t>
            </w:r>
            <w:r w:rsidR="008A6C00">
              <w:rPr>
                <w:sz w:val="22"/>
                <w:szCs w:val="22"/>
              </w:rPr>
              <w:t>c</w:t>
            </w:r>
            <w:r w:rsidRPr="008A6C00">
              <w:rPr>
                <w:sz w:val="22"/>
                <w:szCs w:val="22"/>
              </w:rPr>
              <w:t>omprehensive</w:t>
            </w:r>
            <w:r w:rsidR="008A6C00">
              <w:rPr>
                <w:sz w:val="22"/>
                <w:szCs w:val="22"/>
              </w:rPr>
              <w:t xml:space="preserve"> submission</w:t>
            </w:r>
            <w:r w:rsidRPr="008A6C00">
              <w:rPr>
                <w:sz w:val="22"/>
                <w:szCs w:val="22"/>
              </w:rPr>
              <w:t xml:space="preserve"> </w:t>
            </w:r>
            <w:r w:rsidR="008A6C00">
              <w:rPr>
                <w:sz w:val="22"/>
                <w:szCs w:val="22"/>
              </w:rPr>
              <w:t>r</w:t>
            </w:r>
            <w:r w:rsidRPr="008A6C00">
              <w:rPr>
                <w:sz w:val="22"/>
                <w:szCs w:val="22"/>
              </w:rPr>
              <w:t>eview be completed at any time during the life of the ARIn (this would require a submission to the Head of Service).</w:t>
            </w:r>
          </w:p>
        </w:tc>
        <w:tc>
          <w:tcPr>
            <w:tcW w:w="4621" w:type="dxa"/>
          </w:tcPr>
          <w:p w14:paraId="2D4E2F7E" w14:textId="77777777" w:rsidR="00C815E9" w:rsidRDefault="00C815E9" w:rsidP="00EA1819">
            <w:pPr>
              <w:jc w:val="center"/>
              <w:rPr>
                <w:b/>
                <w:bCs/>
              </w:rPr>
            </w:pPr>
            <w:r w:rsidRPr="00EF2229">
              <w:rPr>
                <w:b/>
                <w:bCs/>
              </w:rPr>
              <w:lastRenderedPageBreak/>
              <w:t>Group ARIns</w:t>
            </w:r>
          </w:p>
          <w:p w14:paraId="2B80CF37" w14:textId="77777777" w:rsidR="00C815E9" w:rsidRPr="008A6C00" w:rsidRDefault="00C815E9" w:rsidP="00EA1819">
            <w:pPr>
              <w:pStyle w:val="Bullet1"/>
              <w:numPr>
                <w:ilvl w:val="0"/>
                <w:numId w:val="0"/>
              </w:numPr>
              <w:ind w:left="357" w:hanging="357"/>
              <w:rPr>
                <w:sz w:val="22"/>
                <w:szCs w:val="22"/>
              </w:rPr>
            </w:pPr>
            <w:r w:rsidRPr="008A6C00">
              <w:rPr>
                <w:sz w:val="22"/>
                <w:szCs w:val="22"/>
              </w:rPr>
              <w:t>Characteristics of Group ARIns:</w:t>
            </w:r>
          </w:p>
          <w:p w14:paraId="079A2DAD" w14:textId="77777777" w:rsidR="00C815E9" w:rsidRPr="008A6C00" w:rsidRDefault="00C815E9" w:rsidP="00C815E9">
            <w:pPr>
              <w:pStyle w:val="Bullet1"/>
              <w:numPr>
                <w:ilvl w:val="0"/>
                <w:numId w:val="1"/>
              </w:numPr>
              <w:spacing w:before="0" w:after="60" w:line="240" w:lineRule="auto"/>
              <w:ind w:left="357" w:hanging="357"/>
              <w:rPr>
                <w:sz w:val="22"/>
                <w:szCs w:val="22"/>
              </w:rPr>
            </w:pPr>
            <w:r w:rsidRPr="008A6C00">
              <w:rPr>
                <w:sz w:val="22"/>
                <w:szCs w:val="22"/>
              </w:rPr>
              <w:t>A term no longer than 36 months;</w:t>
            </w:r>
          </w:p>
          <w:p w14:paraId="40D6FE45" w14:textId="4EE2B854" w:rsidR="00C815E9" w:rsidRPr="008A6C00" w:rsidRDefault="00C815E9" w:rsidP="00C815E9">
            <w:pPr>
              <w:pStyle w:val="Bullet1"/>
              <w:numPr>
                <w:ilvl w:val="0"/>
                <w:numId w:val="1"/>
              </w:numPr>
              <w:spacing w:before="0" w:after="60" w:line="240" w:lineRule="auto"/>
              <w:ind w:left="357" w:hanging="357"/>
              <w:rPr>
                <w:sz w:val="22"/>
                <w:szCs w:val="22"/>
              </w:rPr>
            </w:pPr>
            <w:r w:rsidRPr="008A6C00">
              <w:rPr>
                <w:sz w:val="22"/>
                <w:szCs w:val="22"/>
              </w:rPr>
              <w:t>The ARIns expire on the date specified in the Group Approval (up to 36 months from commencement) or an earlier date expressed in the ARIn</w:t>
            </w:r>
            <w:r w:rsidR="00132F24">
              <w:rPr>
                <w:sz w:val="22"/>
                <w:szCs w:val="22"/>
              </w:rPr>
              <w:t xml:space="preserve"> Contract</w:t>
            </w:r>
            <w:r w:rsidRPr="008A6C00">
              <w:rPr>
                <w:sz w:val="22"/>
                <w:szCs w:val="22"/>
              </w:rPr>
              <w:t xml:space="preserve"> themselves;</w:t>
            </w:r>
          </w:p>
          <w:p w14:paraId="12E56E4B" w14:textId="633702E3" w:rsidR="00C815E9" w:rsidRPr="008A6C00" w:rsidRDefault="00C815E9" w:rsidP="00C815E9">
            <w:pPr>
              <w:pStyle w:val="Bullet1"/>
              <w:numPr>
                <w:ilvl w:val="0"/>
                <w:numId w:val="1"/>
              </w:numPr>
              <w:spacing w:before="0" w:after="60" w:line="240" w:lineRule="auto"/>
              <w:ind w:left="357" w:hanging="357"/>
              <w:rPr>
                <w:sz w:val="22"/>
                <w:szCs w:val="22"/>
              </w:rPr>
            </w:pPr>
            <w:r w:rsidRPr="008A6C00">
              <w:rPr>
                <w:sz w:val="22"/>
                <w:szCs w:val="22"/>
              </w:rPr>
              <w:t xml:space="preserve"> A </w:t>
            </w:r>
            <w:r w:rsidR="008A6C00">
              <w:rPr>
                <w:sz w:val="22"/>
                <w:szCs w:val="22"/>
              </w:rPr>
              <w:t>c</w:t>
            </w:r>
            <w:r w:rsidRPr="008A6C00">
              <w:rPr>
                <w:sz w:val="22"/>
                <w:szCs w:val="22"/>
              </w:rPr>
              <w:t xml:space="preserve">omprehensive </w:t>
            </w:r>
            <w:r w:rsidR="008A6C00">
              <w:rPr>
                <w:sz w:val="22"/>
                <w:szCs w:val="22"/>
              </w:rPr>
              <w:t>s</w:t>
            </w:r>
            <w:r w:rsidRPr="008A6C00">
              <w:rPr>
                <w:sz w:val="22"/>
                <w:szCs w:val="22"/>
              </w:rPr>
              <w:t>ubmission is required at the midpoint of the agreed</w:t>
            </w:r>
            <w:r w:rsidR="00E627B7">
              <w:rPr>
                <w:sz w:val="22"/>
                <w:szCs w:val="22"/>
              </w:rPr>
              <w:t xml:space="preserve"> Group ARIn</w:t>
            </w:r>
            <w:r w:rsidRPr="008A6C00">
              <w:rPr>
                <w:sz w:val="22"/>
                <w:szCs w:val="22"/>
              </w:rPr>
              <w:t xml:space="preserve"> term and prior to the nominal expiry of the Group ARIn.</w:t>
            </w:r>
          </w:p>
          <w:p w14:paraId="06C4E2D4" w14:textId="6AC65A7C" w:rsidR="00C815E9" w:rsidRPr="008A6C00" w:rsidRDefault="00C815E9" w:rsidP="00C815E9">
            <w:pPr>
              <w:pStyle w:val="Bullet1"/>
              <w:numPr>
                <w:ilvl w:val="0"/>
                <w:numId w:val="1"/>
              </w:numPr>
              <w:spacing w:before="0" w:after="60" w:line="240" w:lineRule="auto"/>
              <w:ind w:left="357" w:hanging="357"/>
              <w:rPr>
                <w:sz w:val="22"/>
                <w:szCs w:val="22"/>
              </w:rPr>
            </w:pPr>
            <w:r w:rsidRPr="008A6C00">
              <w:rPr>
                <w:sz w:val="22"/>
                <w:szCs w:val="22"/>
              </w:rPr>
              <w:lastRenderedPageBreak/>
              <w:t>All individual ARIn</w:t>
            </w:r>
            <w:r w:rsidR="00E627B7">
              <w:rPr>
                <w:sz w:val="22"/>
                <w:szCs w:val="22"/>
              </w:rPr>
              <w:t xml:space="preserve"> Contract</w:t>
            </w:r>
            <w:r w:rsidRPr="008A6C00">
              <w:rPr>
                <w:sz w:val="22"/>
                <w:szCs w:val="22"/>
              </w:rPr>
              <w:t xml:space="preserve"> made pursuant to a Group ARIn expire on a common date</w:t>
            </w:r>
            <w:r w:rsidR="00E627B7">
              <w:rPr>
                <w:sz w:val="22"/>
                <w:szCs w:val="22"/>
              </w:rPr>
              <w:t xml:space="preserve"> unless otherwise specified</w:t>
            </w:r>
            <w:r w:rsidRPr="008A6C00">
              <w:rPr>
                <w:sz w:val="22"/>
                <w:szCs w:val="22"/>
              </w:rPr>
              <w:t>, notwithstanding they may have commenced at different times.</w:t>
            </w:r>
          </w:p>
          <w:p w14:paraId="4A3E9F9B" w14:textId="56610E08" w:rsidR="00C815E9" w:rsidRPr="008A6C00" w:rsidRDefault="00C815E9" w:rsidP="00C815E9">
            <w:pPr>
              <w:pStyle w:val="Bullet1"/>
              <w:numPr>
                <w:ilvl w:val="0"/>
                <w:numId w:val="1"/>
              </w:numPr>
              <w:spacing w:before="0" w:after="60" w:line="240" w:lineRule="auto"/>
              <w:ind w:left="357" w:hanging="357"/>
              <w:rPr>
                <w:sz w:val="22"/>
                <w:szCs w:val="22"/>
              </w:rPr>
            </w:pPr>
            <w:r w:rsidRPr="008A6C00">
              <w:rPr>
                <w:sz w:val="22"/>
                <w:szCs w:val="22"/>
              </w:rPr>
              <w:t xml:space="preserve">The midpoint review date for a Group ARIn is to be the midpoint of the agreed term. It is the Directors-General responsibility to undertake a </w:t>
            </w:r>
            <w:r w:rsidR="008A6C00">
              <w:rPr>
                <w:sz w:val="22"/>
                <w:szCs w:val="22"/>
              </w:rPr>
              <w:t>c</w:t>
            </w:r>
            <w:r w:rsidRPr="008A6C00">
              <w:rPr>
                <w:sz w:val="22"/>
                <w:szCs w:val="22"/>
              </w:rPr>
              <w:t xml:space="preserve">omprehensive </w:t>
            </w:r>
            <w:r w:rsidR="008A6C00">
              <w:rPr>
                <w:sz w:val="22"/>
                <w:szCs w:val="22"/>
              </w:rPr>
              <w:t>s</w:t>
            </w:r>
            <w:r w:rsidRPr="008A6C00">
              <w:rPr>
                <w:sz w:val="22"/>
                <w:szCs w:val="22"/>
              </w:rPr>
              <w:t xml:space="preserve">ubmission review of all Group ARIns against the eligibility criteria and provide to the Head of Service for consideration prior to this date. </w:t>
            </w:r>
          </w:p>
          <w:p w14:paraId="5F7DC6D0" w14:textId="77777777" w:rsidR="00C815E9" w:rsidRPr="00EF2229" w:rsidRDefault="00C815E9" w:rsidP="00EA1819">
            <w:pPr>
              <w:jc w:val="center"/>
              <w:rPr>
                <w:b/>
                <w:bCs/>
              </w:rPr>
            </w:pPr>
          </w:p>
        </w:tc>
      </w:tr>
    </w:tbl>
    <w:p w14:paraId="7212AD6A" w14:textId="0C369964" w:rsidR="00C815E9" w:rsidRDefault="00C815E9" w:rsidP="00C815E9">
      <w:pPr>
        <w:pStyle w:val="Heading3"/>
      </w:pPr>
      <w:bookmarkStart w:id="29" w:name="_Toc163155601"/>
      <w:r>
        <w:lastRenderedPageBreak/>
        <w:t>Reviewing an ARIn</w:t>
      </w:r>
      <w:bookmarkEnd w:id="29"/>
    </w:p>
    <w:p w14:paraId="1CAB68A6" w14:textId="799B2BA2" w:rsidR="00C815E9" w:rsidRDefault="00C815E9" w:rsidP="009D5963">
      <w:pPr>
        <w:pStyle w:val="ListParagraph"/>
        <w:numPr>
          <w:ilvl w:val="0"/>
          <w:numId w:val="18"/>
        </w:numPr>
      </w:pPr>
      <w:r>
        <w:t xml:space="preserve">There are two types of reviews that are undertaken within the ARIn framework, </w:t>
      </w:r>
      <w:r w:rsidR="00F73DB9">
        <w:t>c</w:t>
      </w:r>
      <w:r>
        <w:t xml:space="preserve">omprehensive </w:t>
      </w:r>
      <w:r w:rsidR="00F73DB9">
        <w:t>s</w:t>
      </w:r>
      <w:r>
        <w:t xml:space="preserve">ubmission reviews and </w:t>
      </w:r>
      <w:r w:rsidR="00F73DB9">
        <w:t>r</w:t>
      </w:r>
      <w:r>
        <w:t>enewal reviews</w:t>
      </w:r>
      <w:r w:rsidR="002414B3">
        <w:t>.</w:t>
      </w:r>
    </w:p>
    <w:p w14:paraId="48B66C22" w14:textId="1DEDFDD8" w:rsidR="00C815E9" w:rsidRDefault="00C815E9" w:rsidP="00FB679E">
      <w:pPr>
        <w:pStyle w:val="Heading4"/>
      </w:pPr>
      <w:r>
        <w:t>Comprehensive Submission Review</w:t>
      </w:r>
      <w:r w:rsidR="00E627B7">
        <w:t>s</w:t>
      </w:r>
    </w:p>
    <w:p w14:paraId="27FC1CCE" w14:textId="27CF414D" w:rsidR="00C815E9" w:rsidRPr="009D5963" w:rsidRDefault="00844052" w:rsidP="009D5963">
      <w:pPr>
        <w:pStyle w:val="ListParagraph"/>
        <w:numPr>
          <w:ilvl w:val="0"/>
          <w:numId w:val="18"/>
        </w:numPr>
        <w:rPr>
          <w:szCs w:val="22"/>
        </w:rPr>
      </w:pPr>
      <w:r w:rsidRPr="009D5963">
        <w:rPr>
          <w:szCs w:val="22"/>
        </w:rPr>
        <w:t xml:space="preserve">Comprehensive </w:t>
      </w:r>
      <w:r w:rsidR="009D3B01">
        <w:rPr>
          <w:szCs w:val="22"/>
        </w:rPr>
        <w:t>s</w:t>
      </w:r>
      <w:r w:rsidRPr="009D5963">
        <w:rPr>
          <w:szCs w:val="22"/>
        </w:rPr>
        <w:t xml:space="preserve">ubmission </w:t>
      </w:r>
      <w:r w:rsidR="009D3B01">
        <w:rPr>
          <w:szCs w:val="22"/>
        </w:rPr>
        <w:t>r</w:t>
      </w:r>
      <w:r w:rsidRPr="009D5963">
        <w:rPr>
          <w:szCs w:val="22"/>
        </w:rPr>
        <w:t>eviews are required where:</w:t>
      </w:r>
    </w:p>
    <w:p w14:paraId="1AEF5C85" w14:textId="369BEF09" w:rsidR="00844052" w:rsidRPr="009D5963" w:rsidRDefault="00844052" w:rsidP="009D5963">
      <w:pPr>
        <w:pStyle w:val="Bullet1"/>
        <w:numPr>
          <w:ilvl w:val="1"/>
          <w:numId w:val="18"/>
        </w:numPr>
        <w:spacing w:before="0" w:after="60" w:line="240" w:lineRule="auto"/>
        <w:rPr>
          <w:sz w:val="22"/>
          <w:szCs w:val="22"/>
        </w:rPr>
      </w:pPr>
      <w:r w:rsidRPr="009D5963">
        <w:rPr>
          <w:sz w:val="22"/>
          <w:szCs w:val="22"/>
        </w:rPr>
        <w:t xml:space="preserve">three years has elapsed since the last </w:t>
      </w:r>
      <w:r w:rsidR="00F73DB9">
        <w:rPr>
          <w:sz w:val="22"/>
          <w:szCs w:val="22"/>
        </w:rPr>
        <w:t>c</w:t>
      </w:r>
      <w:r w:rsidRPr="009D5963">
        <w:rPr>
          <w:sz w:val="22"/>
          <w:szCs w:val="22"/>
        </w:rPr>
        <w:t xml:space="preserve">omprehensive </w:t>
      </w:r>
      <w:r w:rsidR="009D3B01">
        <w:rPr>
          <w:sz w:val="22"/>
          <w:szCs w:val="22"/>
        </w:rPr>
        <w:t>s</w:t>
      </w:r>
      <w:r w:rsidRPr="009D5963">
        <w:rPr>
          <w:sz w:val="22"/>
          <w:szCs w:val="22"/>
        </w:rPr>
        <w:t xml:space="preserve">ubmission </w:t>
      </w:r>
      <w:r w:rsidR="009D3B01">
        <w:rPr>
          <w:sz w:val="22"/>
          <w:szCs w:val="22"/>
        </w:rPr>
        <w:t>r</w:t>
      </w:r>
      <w:r w:rsidRPr="009D5963">
        <w:rPr>
          <w:sz w:val="22"/>
          <w:szCs w:val="22"/>
        </w:rPr>
        <w:t>eview for a Renewable ARIn;</w:t>
      </w:r>
    </w:p>
    <w:p w14:paraId="11441F38" w14:textId="2C7B582C" w:rsidR="00844052" w:rsidRPr="009D5963" w:rsidRDefault="00844052" w:rsidP="009D5963">
      <w:pPr>
        <w:pStyle w:val="Bullet1"/>
        <w:numPr>
          <w:ilvl w:val="1"/>
          <w:numId w:val="18"/>
        </w:numPr>
        <w:spacing w:before="0" w:after="60" w:line="240" w:lineRule="auto"/>
        <w:rPr>
          <w:sz w:val="22"/>
          <w:szCs w:val="22"/>
        </w:rPr>
      </w:pPr>
      <w:r w:rsidRPr="009D5963">
        <w:rPr>
          <w:sz w:val="22"/>
          <w:szCs w:val="22"/>
        </w:rPr>
        <w:t>in relation to a Group ARIn, at the midpoint of the Agreement term, prior to the expiry date of the Agreement and no more than 3</w:t>
      </w:r>
      <w:r w:rsidR="00E627B7">
        <w:rPr>
          <w:sz w:val="22"/>
          <w:szCs w:val="22"/>
        </w:rPr>
        <w:t>6 months</w:t>
      </w:r>
      <w:r w:rsidR="009D3B01">
        <w:rPr>
          <w:sz w:val="22"/>
          <w:szCs w:val="22"/>
        </w:rPr>
        <w:t xml:space="preserve"> </w:t>
      </w:r>
      <w:r w:rsidRPr="009D5963">
        <w:rPr>
          <w:sz w:val="22"/>
          <w:szCs w:val="22"/>
        </w:rPr>
        <w:t xml:space="preserve">from either commencement or from the last </w:t>
      </w:r>
      <w:r w:rsidR="00F73DB9">
        <w:rPr>
          <w:sz w:val="22"/>
          <w:szCs w:val="22"/>
        </w:rPr>
        <w:t>c</w:t>
      </w:r>
      <w:r w:rsidRPr="009D5963">
        <w:rPr>
          <w:sz w:val="22"/>
          <w:szCs w:val="22"/>
        </w:rPr>
        <w:t xml:space="preserve">omprehensive </w:t>
      </w:r>
      <w:r w:rsidR="00F73DB9">
        <w:rPr>
          <w:sz w:val="22"/>
          <w:szCs w:val="22"/>
        </w:rPr>
        <w:t>s</w:t>
      </w:r>
      <w:r w:rsidRPr="009D5963">
        <w:rPr>
          <w:sz w:val="22"/>
          <w:szCs w:val="22"/>
        </w:rPr>
        <w:t>ubmission</w:t>
      </w:r>
      <w:r w:rsidR="00C84412">
        <w:rPr>
          <w:sz w:val="22"/>
          <w:szCs w:val="22"/>
        </w:rPr>
        <w:t>;</w:t>
      </w:r>
    </w:p>
    <w:p w14:paraId="779FA84B" w14:textId="77777777" w:rsidR="00844052" w:rsidRPr="009D5963" w:rsidRDefault="00844052" w:rsidP="009D5963">
      <w:pPr>
        <w:pStyle w:val="Bullet1"/>
        <w:numPr>
          <w:ilvl w:val="1"/>
          <w:numId w:val="18"/>
        </w:numPr>
        <w:spacing w:before="0" w:after="60" w:line="240" w:lineRule="auto"/>
        <w:rPr>
          <w:sz w:val="22"/>
          <w:szCs w:val="22"/>
        </w:rPr>
      </w:pPr>
      <w:r w:rsidRPr="009D5963">
        <w:rPr>
          <w:sz w:val="22"/>
          <w:szCs w:val="22"/>
        </w:rPr>
        <w:t>following a review, it is determined that an individual ARIn or Group ARIn should be varied; or</w:t>
      </w:r>
    </w:p>
    <w:p w14:paraId="137A552C" w14:textId="6C20ADA9" w:rsidR="00844052" w:rsidRPr="009D5963" w:rsidRDefault="00844052" w:rsidP="009D5963">
      <w:pPr>
        <w:pStyle w:val="Bullet1"/>
        <w:numPr>
          <w:ilvl w:val="1"/>
          <w:numId w:val="18"/>
        </w:numPr>
        <w:spacing w:before="0" w:after="60" w:line="240" w:lineRule="auto"/>
        <w:rPr>
          <w:sz w:val="22"/>
          <w:szCs w:val="22"/>
        </w:rPr>
      </w:pPr>
      <w:r w:rsidRPr="009D5963">
        <w:rPr>
          <w:sz w:val="22"/>
          <w:szCs w:val="22"/>
        </w:rPr>
        <w:t>following a review, it is found that the ARIn eligibility criteria are no longer met for either a Renewable ARIn or a Group ARIn.</w:t>
      </w:r>
    </w:p>
    <w:p w14:paraId="5FDF2440" w14:textId="459D6099" w:rsidR="009D5963" w:rsidRPr="009D5963" w:rsidRDefault="009D5963" w:rsidP="009D5963">
      <w:pPr>
        <w:pStyle w:val="Bullet1"/>
        <w:numPr>
          <w:ilvl w:val="0"/>
          <w:numId w:val="18"/>
        </w:numPr>
        <w:spacing w:before="0" w:after="60" w:line="240" w:lineRule="auto"/>
        <w:rPr>
          <w:sz w:val="22"/>
          <w:szCs w:val="22"/>
        </w:rPr>
      </w:pPr>
      <w:r w:rsidRPr="009D5963">
        <w:rPr>
          <w:sz w:val="22"/>
          <w:szCs w:val="22"/>
        </w:rPr>
        <w:t xml:space="preserve">The purpose of a </w:t>
      </w:r>
      <w:r w:rsidR="009D3B01">
        <w:rPr>
          <w:sz w:val="22"/>
          <w:szCs w:val="22"/>
        </w:rPr>
        <w:t>c</w:t>
      </w:r>
      <w:r w:rsidRPr="009D5963">
        <w:rPr>
          <w:sz w:val="22"/>
          <w:szCs w:val="22"/>
        </w:rPr>
        <w:t xml:space="preserve">omprehensive </w:t>
      </w:r>
      <w:r w:rsidR="009D3B01">
        <w:rPr>
          <w:sz w:val="22"/>
          <w:szCs w:val="22"/>
        </w:rPr>
        <w:t>s</w:t>
      </w:r>
      <w:r w:rsidRPr="009D5963">
        <w:rPr>
          <w:sz w:val="22"/>
          <w:szCs w:val="22"/>
        </w:rPr>
        <w:t xml:space="preserve">ubmission </w:t>
      </w:r>
      <w:r w:rsidR="009D3B01">
        <w:rPr>
          <w:sz w:val="22"/>
          <w:szCs w:val="22"/>
        </w:rPr>
        <w:t>r</w:t>
      </w:r>
      <w:r w:rsidRPr="009D5963">
        <w:rPr>
          <w:sz w:val="22"/>
          <w:szCs w:val="22"/>
        </w:rPr>
        <w:t>eview when an ARIn is to be ceased is to facilitate consultation with the employee in receipt of the ARIn.</w:t>
      </w:r>
    </w:p>
    <w:p w14:paraId="0E7E9906" w14:textId="540FAA57" w:rsidR="009D5963" w:rsidRPr="009D5963" w:rsidRDefault="009D5963" w:rsidP="009D5963">
      <w:pPr>
        <w:pStyle w:val="Bullet1"/>
        <w:numPr>
          <w:ilvl w:val="0"/>
          <w:numId w:val="18"/>
        </w:numPr>
        <w:spacing w:before="0" w:after="60" w:line="240" w:lineRule="auto"/>
        <w:rPr>
          <w:sz w:val="22"/>
          <w:szCs w:val="22"/>
        </w:rPr>
      </w:pPr>
      <w:r w:rsidRPr="009D5963">
        <w:rPr>
          <w:sz w:val="22"/>
          <w:szCs w:val="22"/>
        </w:rPr>
        <w:t xml:space="preserve">The Director-General may at their discretion initiate a </w:t>
      </w:r>
      <w:r w:rsidR="009D3B01">
        <w:rPr>
          <w:sz w:val="22"/>
          <w:szCs w:val="22"/>
        </w:rPr>
        <w:t>c</w:t>
      </w:r>
      <w:r w:rsidRPr="009D5963">
        <w:rPr>
          <w:sz w:val="22"/>
          <w:szCs w:val="22"/>
        </w:rPr>
        <w:t xml:space="preserve">omprehensive </w:t>
      </w:r>
      <w:r w:rsidR="009D3B01">
        <w:rPr>
          <w:sz w:val="22"/>
          <w:szCs w:val="22"/>
        </w:rPr>
        <w:t>s</w:t>
      </w:r>
      <w:r w:rsidRPr="009D5963">
        <w:rPr>
          <w:sz w:val="22"/>
          <w:szCs w:val="22"/>
        </w:rPr>
        <w:t xml:space="preserve">ubmission </w:t>
      </w:r>
      <w:r w:rsidR="009D3B01">
        <w:rPr>
          <w:sz w:val="22"/>
          <w:szCs w:val="22"/>
        </w:rPr>
        <w:t>r</w:t>
      </w:r>
      <w:r w:rsidRPr="009D5963">
        <w:rPr>
          <w:sz w:val="22"/>
          <w:szCs w:val="22"/>
        </w:rPr>
        <w:t>eview at any time.</w:t>
      </w:r>
    </w:p>
    <w:p w14:paraId="3F21EE28" w14:textId="12C72F45" w:rsidR="009D5963" w:rsidRPr="009D5963" w:rsidRDefault="009D5963" w:rsidP="009D5963">
      <w:pPr>
        <w:pStyle w:val="Bullet1"/>
        <w:numPr>
          <w:ilvl w:val="0"/>
          <w:numId w:val="18"/>
        </w:numPr>
        <w:spacing w:before="0" w:after="60" w:line="240" w:lineRule="auto"/>
        <w:rPr>
          <w:sz w:val="22"/>
          <w:szCs w:val="22"/>
        </w:rPr>
      </w:pPr>
      <w:r w:rsidRPr="009D5963">
        <w:rPr>
          <w:sz w:val="22"/>
          <w:szCs w:val="22"/>
        </w:rPr>
        <w:t xml:space="preserve">A </w:t>
      </w:r>
      <w:r w:rsidR="00F73DB9">
        <w:rPr>
          <w:sz w:val="22"/>
          <w:szCs w:val="22"/>
        </w:rPr>
        <w:t>c</w:t>
      </w:r>
      <w:r w:rsidRPr="009D5963">
        <w:rPr>
          <w:sz w:val="22"/>
          <w:szCs w:val="22"/>
        </w:rPr>
        <w:t>omprehensive</w:t>
      </w:r>
      <w:r w:rsidR="00C274EB">
        <w:rPr>
          <w:sz w:val="22"/>
          <w:szCs w:val="22"/>
        </w:rPr>
        <w:t xml:space="preserve"> </w:t>
      </w:r>
      <w:r w:rsidR="00F73DB9">
        <w:rPr>
          <w:sz w:val="22"/>
          <w:szCs w:val="22"/>
        </w:rPr>
        <w:t>s</w:t>
      </w:r>
      <w:r w:rsidR="00C274EB">
        <w:rPr>
          <w:sz w:val="22"/>
          <w:szCs w:val="22"/>
        </w:rPr>
        <w:t>ubmission</w:t>
      </w:r>
      <w:r w:rsidRPr="009D5963">
        <w:rPr>
          <w:sz w:val="22"/>
          <w:szCs w:val="22"/>
        </w:rPr>
        <w:t xml:space="preserve"> </w:t>
      </w:r>
      <w:r w:rsidR="00F73DB9">
        <w:rPr>
          <w:sz w:val="22"/>
          <w:szCs w:val="22"/>
        </w:rPr>
        <w:t>r</w:t>
      </w:r>
      <w:r w:rsidRPr="009D5963">
        <w:rPr>
          <w:sz w:val="22"/>
          <w:szCs w:val="22"/>
        </w:rPr>
        <w:t>eview must:</w:t>
      </w:r>
    </w:p>
    <w:p w14:paraId="23CDF972" w14:textId="77777777" w:rsidR="009D5963" w:rsidRPr="009D5963" w:rsidRDefault="009D5963" w:rsidP="009D5963">
      <w:pPr>
        <w:pStyle w:val="Bullet1"/>
        <w:numPr>
          <w:ilvl w:val="1"/>
          <w:numId w:val="18"/>
        </w:numPr>
        <w:spacing w:before="0" w:after="60" w:line="240" w:lineRule="auto"/>
        <w:rPr>
          <w:sz w:val="22"/>
          <w:szCs w:val="22"/>
        </w:rPr>
      </w:pPr>
      <w:r w:rsidRPr="009D5963">
        <w:rPr>
          <w:sz w:val="22"/>
          <w:szCs w:val="22"/>
        </w:rPr>
        <w:t>assess whether the substantive role is correctly classified;</w:t>
      </w:r>
    </w:p>
    <w:p w14:paraId="4CEAA046" w14:textId="12F256DF" w:rsidR="009D5963" w:rsidRPr="009D5963" w:rsidRDefault="009D5963" w:rsidP="009D5963">
      <w:pPr>
        <w:pStyle w:val="Bullet1"/>
        <w:numPr>
          <w:ilvl w:val="1"/>
          <w:numId w:val="18"/>
        </w:numPr>
        <w:spacing w:before="0" w:after="60" w:line="240" w:lineRule="auto"/>
        <w:rPr>
          <w:sz w:val="22"/>
          <w:szCs w:val="22"/>
        </w:rPr>
      </w:pPr>
      <w:r w:rsidRPr="009D5963">
        <w:rPr>
          <w:sz w:val="22"/>
          <w:szCs w:val="22"/>
        </w:rPr>
        <w:t xml:space="preserve">assess whether the </w:t>
      </w:r>
      <w:r w:rsidR="00E627B7">
        <w:rPr>
          <w:sz w:val="22"/>
          <w:szCs w:val="22"/>
        </w:rPr>
        <w:t>position</w:t>
      </w:r>
      <w:r w:rsidR="00E627B7" w:rsidRPr="009D5963">
        <w:rPr>
          <w:sz w:val="22"/>
          <w:szCs w:val="22"/>
        </w:rPr>
        <w:t xml:space="preserve"> </w:t>
      </w:r>
      <w:r w:rsidRPr="009D5963">
        <w:rPr>
          <w:sz w:val="22"/>
          <w:szCs w:val="22"/>
        </w:rPr>
        <w:t xml:space="preserve">description and/or organisational structure of the business unit can be adjusted to mitigate the need for the ARIn; </w:t>
      </w:r>
    </w:p>
    <w:p w14:paraId="60138E32" w14:textId="77777777" w:rsidR="009D5963" w:rsidRPr="009D5963" w:rsidRDefault="009D5963" w:rsidP="009D5963">
      <w:pPr>
        <w:pStyle w:val="Bullet1"/>
        <w:numPr>
          <w:ilvl w:val="1"/>
          <w:numId w:val="18"/>
        </w:numPr>
        <w:spacing w:before="0" w:after="60" w:line="240" w:lineRule="auto"/>
        <w:rPr>
          <w:sz w:val="22"/>
          <w:szCs w:val="22"/>
        </w:rPr>
      </w:pPr>
      <w:r w:rsidRPr="009D5963">
        <w:rPr>
          <w:sz w:val="22"/>
          <w:szCs w:val="22"/>
        </w:rPr>
        <w:t>address the ARIn eligibility criteria requirements of the Agreement (see Annex B2.3 of the ARIn Framework);</w:t>
      </w:r>
    </w:p>
    <w:p w14:paraId="6942FC2A" w14:textId="77777777" w:rsidR="009D5963" w:rsidRPr="009D5963" w:rsidRDefault="009D5963" w:rsidP="009D5963">
      <w:pPr>
        <w:pStyle w:val="Bullet1"/>
        <w:numPr>
          <w:ilvl w:val="1"/>
          <w:numId w:val="18"/>
        </w:numPr>
        <w:spacing w:before="0" w:after="60" w:line="240" w:lineRule="auto"/>
        <w:rPr>
          <w:sz w:val="22"/>
          <w:szCs w:val="22"/>
        </w:rPr>
      </w:pPr>
      <w:r w:rsidRPr="009D5963">
        <w:rPr>
          <w:sz w:val="22"/>
          <w:szCs w:val="22"/>
        </w:rPr>
        <w:t>compare and provide evidence that the role and/or occupant justifies the additional remuneration and/or conditions proposed (e.g., market rate information);</w:t>
      </w:r>
    </w:p>
    <w:p w14:paraId="49D0B598" w14:textId="77777777" w:rsidR="009D5963" w:rsidRPr="009D5963" w:rsidRDefault="009D5963" w:rsidP="009D5963">
      <w:pPr>
        <w:pStyle w:val="Bullet1"/>
        <w:numPr>
          <w:ilvl w:val="1"/>
          <w:numId w:val="18"/>
        </w:numPr>
        <w:spacing w:before="0" w:after="60" w:line="240" w:lineRule="auto"/>
        <w:rPr>
          <w:sz w:val="22"/>
          <w:szCs w:val="22"/>
        </w:rPr>
      </w:pPr>
      <w:r w:rsidRPr="009D5963">
        <w:rPr>
          <w:sz w:val="22"/>
          <w:szCs w:val="22"/>
        </w:rPr>
        <w:lastRenderedPageBreak/>
        <w:t>where market rate information that is used to support the ARIn is broadly based, provide evidence to support the ARIn rate proposed;</w:t>
      </w:r>
    </w:p>
    <w:p w14:paraId="66D355FE" w14:textId="77777777" w:rsidR="009D5963" w:rsidRPr="009D5963" w:rsidRDefault="009D5963" w:rsidP="009D5963">
      <w:pPr>
        <w:pStyle w:val="Bullet1"/>
        <w:numPr>
          <w:ilvl w:val="1"/>
          <w:numId w:val="18"/>
        </w:numPr>
        <w:spacing w:before="0" w:after="60" w:line="240" w:lineRule="auto"/>
        <w:rPr>
          <w:sz w:val="22"/>
          <w:szCs w:val="22"/>
        </w:rPr>
      </w:pPr>
      <w:r w:rsidRPr="009D5963">
        <w:rPr>
          <w:sz w:val="22"/>
          <w:szCs w:val="22"/>
        </w:rPr>
        <w:t>identify if the proposed ARIn exceeds 50% of the role’s substantive rate of pay and provide appropriate evidence, reasoning and supporting remuneration data; and</w:t>
      </w:r>
    </w:p>
    <w:p w14:paraId="5496DFF1" w14:textId="77777777" w:rsidR="009D5963" w:rsidRPr="009D5963" w:rsidRDefault="009D5963" w:rsidP="009D5963">
      <w:pPr>
        <w:pStyle w:val="Bullet1"/>
        <w:numPr>
          <w:ilvl w:val="1"/>
          <w:numId w:val="18"/>
        </w:numPr>
        <w:spacing w:before="0" w:after="60" w:line="240" w:lineRule="auto"/>
        <w:rPr>
          <w:sz w:val="22"/>
          <w:szCs w:val="22"/>
        </w:rPr>
      </w:pPr>
      <w:r w:rsidRPr="009D5963">
        <w:rPr>
          <w:sz w:val="22"/>
          <w:szCs w:val="22"/>
        </w:rPr>
        <w:t>identify and assess the effect of any recent performance or misconduct matters the ARIn recipient may have been subject to.</w:t>
      </w:r>
    </w:p>
    <w:p w14:paraId="6B58EEBC" w14:textId="59E2F56C" w:rsidR="009D5963" w:rsidRPr="009D5963" w:rsidRDefault="009D5963" w:rsidP="002B6EE5">
      <w:pPr>
        <w:pStyle w:val="ListParagraph"/>
        <w:numPr>
          <w:ilvl w:val="0"/>
          <w:numId w:val="18"/>
        </w:numPr>
        <w:ind w:left="714" w:hanging="357"/>
      </w:pPr>
      <w:r w:rsidRPr="009D5963">
        <w:t xml:space="preserve">Following the review, the relevant directorate HR area is responsible for completing the </w:t>
      </w:r>
      <w:r w:rsidR="009D3B01">
        <w:t>c</w:t>
      </w:r>
      <w:r w:rsidRPr="009D5963">
        <w:t xml:space="preserve">omprehensive </w:t>
      </w:r>
      <w:r w:rsidR="009D3B01">
        <w:t>s</w:t>
      </w:r>
      <w:r w:rsidRPr="009D5963">
        <w:t xml:space="preserve">ubmission </w:t>
      </w:r>
      <w:r w:rsidR="00C274EB">
        <w:t xml:space="preserve">form </w:t>
      </w:r>
      <w:r w:rsidRPr="009D5963">
        <w:t xml:space="preserve">and submitting it to the Head of Service by email to </w:t>
      </w:r>
      <w:hyperlink r:id="rId22" w:history="1">
        <w:r w:rsidRPr="009D5963">
          <w:rPr>
            <w:rStyle w:val="Hyperlink"/>
            <w:rFonts w:eastAsiaTheme="majorEastAsia"/>
            <w:szCs w:val="22"/>
          </w:rPr>
          <w:t>ACTPS_ARIns@act.gov.au</w:t>
        </w:r>
      </w:hyperlink>
      <w:r w:rsidRPr="009D5963">
        <w:t>.</w:t>
      </w:r>
    </w:p>
    <w:p w14:paraId="4DCBA173" w14:textId="24FAA074" w:rsidR="009D5963" w:rsidRPr="009D5963" w:rsidRDefault="009D5963" w:rsidP="002B6EE5">
      <w:pPr>
        <w:pStyle w:val="ListParagraph"/>
        <w:numPr>
          <w:ilvl w:val="0"/>
          <w:numId w:val="18"/>
        </w:numPr>
        <w:ind w:left="714" w:hanging="357"/>
      </w:pPr>
      <w:r w:rsidRPr="009D5963">
        <w:t xml:space="preserve">Note that if a review finds that an ARIn is to be ceased, the </w:t>
      </w:r>
      <w:r w:rsidR="009D3B01">
        <w:rPr>
          <w:u w:val="single"/>
        </w:rPr>
        <w:t>c</w:t>
      </w:r>
      <w:r w:rsidRPr="009D5963">
        <w:rPr>
          <w:u w:val="single"/>
        </w:rPr>
        <w:t>essation form</w:t>
      </w:r>
      <w:r w:rsidRPr="009D5963">
        <w:t xml:space="preserve"> should be used instead of the </w:t>
      </w:r>
      <w:r w:rsidR="009D3B01">
        <w:t>c</w:t>
      </w:r>
      <w:r w:rsidRPr="009D5963">
        <w:t xml:space="preserve">omprehensive </w:t>
      </w:r>
      <w:r w:rsidR="009D3B01">
        <w:t>s</w:t>
      </w:r>
      <w:r w:rsidRPr="009D5963">
        <w:t xml:space="preserve">ubmission form. </w:t>
      </w:r>
    </w:p>
    <w:p w14:paraId="17FD9C0F" w14:textId="50E5EF45" w:rsidR="009D5963" w:rsidRPr="009D5963" w:rsidRDefault="009D5963" w:rsidP="002B6EE5">
      <w:pPr>
        <w:pStyle w:val="ListParagraph"/>
        <w:numPr>
          <w:ilvl w:val="0"/>
          <w:numId w:val="18"/>
        </w:numPr>
        <w:ind w:left="714" w:hanging="357"/>
      </w:pPr>
      <w:r w:rsidRPr="009D5963">
        <w:t xml:space="preserve">When completing a </w:t>
      </w:r>
      <w:r w:rsidR="009D3B01">
        <w:t>c</w:t>
      </w:r>
      <w:r w:rsidRPr="009D5963">
        <w:t xml:space="preserve">omprehensive </w:t>
      </w:r>
      <w:r w:rsidR="009D3B01">
        <w:t>s</w:t>
      </w:r>
      <w:r w:rsidRPr="009D5963">
        <w:t xml:space="preserve">ubmission </w:t>
      </w:r>
      <w:r w:rsidR="001B45D4">
        <w:t>r</w:t>
      </w:r>
      <w:r w:rsidRPr="009D5963">
        <w:t xml:space="preserve">eview, the </w:t>
      </w:r>
      <w:r w:rsidR="009D3B01">
        <w:t>c</w:t>
      </w:r>
      <w:r w:rsidRPr="009D5963">
        <w:t xml:space="preserve">omprehensive </w:t>
      </w:r>
      <w:r w:rsidR="009D3B01">
        <w:t>s</w:t>
      </w:r>
      <w:r w:rsidRPr="009D5963">
        <w:t>ubmission form and</w:t>
      </w:r>
      <w:r w:rsidR="000B46D9">
        <w:t xml:space="preserve"> ARIn</w:t>
      </w:r>
      <w:r w:rsidRPr="009D5963">
        <w:t xml:space="preserve"> process</w:t>
      </w:r>
      <w:r w:rsidR="000B46D9">
        <w:t xml:space="preserve"> as per Appendix 1</w:t>
      </w:r>
      <w:r w:rsidRPr="009D5963">
        <w:t xml:space="preserve"> must be followed. That is, after approval by Director-General the submission must be forwarded for Head of Service consideration.</w:t>
      </w:r>
    </w:p>
    <w:p w14:paraId="563BC422" w14:textId="648AB078" w:rsidR="009D5963" w:rsidRDefault="009D5963" w:rsidP="00FB679E">
      <w:pPr>
        <w:pStyle w:val="Heading4"/>
      </w:pPr>
      <w:r>
        <w:t>Renewal Reviews</w:t>
      </w:r>
    </w:p>
    <w:p w14:paraId="5E2050B4" w14:textId="35B4908B" w:rsidR="009D5963" w:rsidRPr="009D5963" w:rsidRDefault="009D5963" w:rsidP="009D5963">
      <w:pPr>
        <w:pStyle w:val="ListParagraph"/>
        <w:numPr>
          <w:ilvl w:val="0"/>
          <w:numId w:val="18"/>
        </w:numPr>
      </w:pPr>
      <w:r w:rsidRPr="009D5963">
        <w:t xml:space="preserve">Renewal </w:t>
      </w:r>
      <w:r w:rsidR="00497BC2">
        <w:t>r</w:t>
      </w:r>
      <w:r w:rsidRPr="009D5963">
        <w:t>eviews should be used where it is proposed that a Renewable ARIn should be renewed on the same terms. They are</w:t>
      </w:r>
      <w:r w:rsidR="00497BC2">
        <w:t>:</w:t>
      </w:r>
    </w:p>
    <w:p w14:paraId="7B7B2428" w14:textId="77777777" w:rsidR="002414B3" w:rsidRDefault="001B45D4" w:rsidP="002414B3">
      <w:pPr>
        <w:pStyle w:val="Bullet1"/>
        <w:numPr>
          <w:ilvl w:val="0"/>
          <w:numId w:val="0"/>
        </w:numPr>
        <w:spacing w:line="240" w:lineRule="auto"/>
        <w:ind w:left="1134"/>
        <w:rPr>
          <w:sz w:val="22"/>
          <w:szCs w:val="22"/>
        </w:rPr>
      </w:pPr>
      <w:r w:rsidRPr="00497BC2">
        <w:rPr>
          <w:sz w:val="22"/>
          <w:szCs w:val="22"/>
        </w:rPr>
        <w:t xml:space="preserve">a) </w:t>
      </w:r>
      <w:r w:rsidR="009D5963" w:rsidRPr="00497BC2">
        <w:rPr>
          <w:sz w:val="22"/>
          <w:szCs w:val="22"/>
        </w:rPr>
        <w:t>applicable to Renewable ARIns only</w:t>
      </w:r>
      <w:r w:rsidR="00497BC2">
        <w:rPr>
          <w:sz w:val="22"/>
          <w:szCs w:val="22"/>
        </w:rPr>
        <w:t>;</w:t>
      </w:r>
      <w:r w:rsidR="009D5963" w:rsidRPr="00497BC2">
        <w:rPr>
          <w:sz w:val="22"/>
          <w:szCs w:val="22"/>
        </w:rPr>
        <w:t xml:space="preserve"> and </w:t>
      </w:r>
    </w:p>
    <w:p w14:paraId="32690F75" w14:textId="20190901" w:rsidR="009D5963" w:rsidRPr="00497BC2" w:rsidRDefault="001B45D4" w:rsidP="002414B3">
      <w:pPr>
        <w:pStyle w:val="Bullet1"/>
        <w:numPr>
          <w:ilvl w:val="0"/>
          <w:numId w:val="0"/>
        </w:numPr>
        <w:spacing w:line="240" w:lineRule="auto"/>
        <w:ind w:left="1134"/>
        <w:rPr>
          <w:sz w:val="22"/>
          <w:szCs w:val="22"/>
        </w:rPr>
      </w:pPr>
      <w:r w:rsidRPr="00497BC2">
        <w:rPr>
          <w:sz w:val="22"/>
          <w:szCs w:val="22"/>
        </w:rPr>
        <w:t xml:space="preserve">b) </w:t>
      </w:r>
      <w:r w:rsidR="000B46D9" w:rsidRPr="00497BC2">
        <w:rPr>
          <w:sz w:val="22"/>
          <w:szCs w:val="22"/>
        </w:rPr>
        <w:t>m</w:t>
      </w:r>
      <w:r w:rsidR="009D5963" w:rsidRPr="00497BC2">
        <w:rPr>
          <w:sz w:val="22"/>
          <w:szCs w:val="22"/>
        </w:rPr>
        <w:t>ust be completed no later than 18 months after commencement.</w:t>
      </w:r>
    </w:p>
    <w:p w14:paraId="3009C47F" w14:textId="46D5C1D0" w:rsidR="009D5963" w:rsidRPr="009D5963" w:rsidRDefault="009D5963" w:rsidP="009D5963">
      <w:pPr>
        <w:pStyle w:val="ListParagraph"/>
        <w:numPr>
          <w:ilvl w:val="0"/>
          <w:numId w:val="18"/>
        </w:numPr>
        <w:rPr>
          <w:szCs w:val="22"/>
        </w:rPr>
      </w:pPr>
      <w:r w:rsidRPr="00497BC2">
        <w:rPr>
          <w:szCs w:val="22"/>
        </w:rPr>
        <w:t xml:space="preserve">A </w:t>
      </w:r>
      <w:r w:rsidR="00497BC2" w:rsidRPr="00497BC2">
        <w:rPr>
          <w:szCs w:val="22"/>
        </w:rPr>
        <w:t>r</w:t>
      </w:r>
      <w:r w:rsidRPr="00497BC2">
        <w:rPr>
          <w:szCs w:val="22"/>
        </w:rPr>
        <w:t>enewal review</w:t>
      </w:r>
      <w:r w:rsidRPr="009D5963">
        <w:rPr>
          <w:szCs w:val="22"/>
        </w:rPr>
        <w:t xml:space="preserve"> may also be used where an employee in receipt of an ARIn temporarily vacates a position and approval is sought for the employee acting in the position to receive the ARIn.</w:t>
      </w:r>
    </w:p>
    <w:p w14:paraId="0CB8DFF2" w14:textId="672D2EDE" w:rsidR="009D5963" w:rsidRPr="009D5963" w:rsidRDefault="009D5963" w:rsidP="009D5963">
      <w:pPr>
        <w:pStyle w:val="Bullet1"/>
        <w:numPr>
          <w:ilvl w:val="0"/>
          <w:numId w:val="18"/>
        </w:numPr>
        <w:spacing w:before="0" w:after="60" w:line="240" w:lineRule="auto"/>
        <w:rPr>
          <w:sz w:val="22"/>
          <w:szCs w:val="22"/>
        </w:rPr>
      </w:pPr>
      <w:r w:rsidRPr="00497BC2">
        <w:rPr>
          <w:sz w:val="22"/>
          <w:szCs w:val="22"/>
        </w:rPr>
        <w:t xml:space="preserve">The </w:t>
      </w:r>
      <w:r w:rsidR="001B45D4" w:rsidRPr="00497BC2">
        <w:rPr>
          <w:sz w:val="22"/>
          <w:szCs w:val="22"/>
        </w:rPr>
        <w:t>r</w:t>
      </w:r>
      <w:r w:rsidRPr="00497BC2">
        <w:rPr>
          <w:sz w:val="22"/>
          <w:szCs w:val="22"/>
        </w:rPr>
        <w:t xml:space="preserve">enewal </w:t>
      </w:r>
      <w:r w:rsidR="001B45D4" w:rsidRPr="00497BC2">
        <w:rPr>
          <w:sz w:val="22"/>
          <w:szCs w:val="22"/>
        </w:rPr>
        <w:t>review</w:t>
      </w:r>
      <w:r w:rsidRPr="009D5963">
        <w:rPr>
          <w:sz w:val="22"/>
          <w:szCs w:val="22"/>
        </w:rPr>
        <w:t xml:space="preserve"> must contain a declaration from the Director-General that the review has found that:</w:t>
      </w:r>
    </w:p>
    <w:p w14:paraId="5A1D67CE" w14:textId="77777777" w:rsidR="009D5963" w:rsidRPr="009D5963" w:rsidRDefault="009D5963" w:rsidP="009D5963">
      <w:pPr>
        <w:pStyle w:val="Bullet1"/>
        <w:numPr>
          <w:ilvl w:val="1"/>
          <w:numId w:val="18"/>
        </w:numPr>
        <w:spacing w:before="0" w:after="60" w:line="240" w:lineRule="auto"/>
        <w:rPr>
          <w:sz w:val="22"/>
          <w:szCs w:val="22"/>
        </w:rPr>
      </w:pPr>
      <w:r w:rsidRPr="009D5963">
        <w:rPr>
          <w:sz w:val="22"/>
          <w:szCs w:val="22"/>
        </w:rPr>
        <w:t>the substantive role is correctly classified;</w:t>
      </w:r>
    </w:p>
    <w:p w14:paraId="35243835" w14:textId="5AEF4C21" w:rsidR="009D5963" w:rsidRPr="009D5963" w:rsidRDefault="009D5963" w:rsidP="009D5963">
      <w:pPr>
        <w:pStyle w:val="Bullet1"/>
        <w:numPr>
          <w:ilvl w:val="1"/>
          <w:numId w:val="18"/>
        </w:numPr>
        <w:spacing w:before="0" w:after="60" w:line="240" w:lineRule="auto"/>
        <w:rPr>
          <w:sz w:val="22"/>
          <w:szCs w:val="22"/>
        </w:rPr>
      </w:pPr>
      <w:r w:rsidRPr="009D5963">
        <w:rPr>
          <w:sz w:val="22"/>
          <w:szCs w:val="22"/>
        </w:rPr>
        <w:t>the position description and/or organisational structure of the business unit cannot be adjusted to mitigate the need for the ARIn; and</w:t>
      </w:r>
    </w:p>
    <w:p w14:paraId="498D1215" w14:textId="1A572CF0" w:rsidR="009D5963" w:rsidRPr="009D5963" w:rsidRDefault="009D5963" w:rsidP="009D5963">
      <w:pPr>
        <w:pStyle w:val="Bullet1"/>
        <w:numPr>
          <w:ilvl w:val="1"/>
          <w:numId w:val="18"/>
        </w:numPr>
        <w:spacing w:before="0" w:after="60" w:line="240" w:lineRule="auto"/>
        <w:rPr>
          <w:sz w:val="22"/>
          <w:szCs w:val="22"/>
        </w:rPr>
      </w:pPr>
      <w:r w:rsidRPr="009D5963">
        <w:rPr>
          <w:sz w:val="22"/>
          <w:szCs w:val="22"/>
        </w:rPr>
        <w:t>the ARIn continues to meet the</w:t>
      </w:r>
      <w:r w:rsidR="000B46D9">
        <w:rPr>
          <w:sz w:val="22"/>
          <w:szCs w:val="22"/>
        </w:rPr>
        <w:t xml:space="preserve"> eligibility</w:t>
      </w:r>
      <w:r w:rsidRPr="009D5963">
        <w:rPr>
          <w:sz w:val="22"/>
          <w:szCs w:val="22"/>
        </w:rPr>
        <w:t xml:space="preserve"> requirements of the Agreement (</w:t>
      </w:r>
      <w:r w:rsidR="000B46D9" w:rsidRPr="009D5963">
        <w:rPr>
          <w:sz w:val="22"/>
          <w:szCs w:val="22"/>
        </w:rPr>
        <w:t>see Annex B2.3 of the ARIn Framework</w:t>
      </w:r>
      <w:r w:rsidRPr="009D5963">
        <w:rPr>
          <w:sz w:val="22"/>
          <w:szCs w:val="22"/>
        </w:rPr>
        <w:t>).</w:t>
      </w:r>
    </w:p>
    <w:p w14:paraId="30CDDCED" w14:textId="416A59DB" w:rsidR="009D5963" w:rsidRDefault="009D5963" w:rsidP="009D5963">
      <w:pPr>
        <w:pStyle w:val="Heading3"/>
      </w:pPr>
      <w:bookmarkStart w:id="30" w:name="_Toc163155602"/>
      <w:r>
        <w:t>Monitoring of Reviews</w:t>
      </w:r>
      <w:bookmarkEnd w:id="30"/>
    </w:p>
    <w:p w14:paraId="051B3910" w14:textId="030FD08D" w:rsidR="009D5963" w:rsidRPr="009D5963" w:rsidRDefault="002E2B52" w:rsidP="009D5963">
      <w:pPr>
        <w:pStyle w:val="ListParagraph"/>
        <w:numPr>
          <w:ilvl w:val="0"/>
          <w:numId w:val="18"/>
        </w:numPr>
      </w:pPr>
      <w:r>
        <w:t>Directorates are responsible for the completion of all reviews.</w:t>
      </w:r>
      <w:r w:rsidR="001B45D4">
        <w:t xml:space="preserve"> </w:t>
      </w:r>
      <w:r w:rsidR="009D5963" w:rsidRPr="009D5963">
        <w:t>The Head of Service will monitor the completion of reviews. Where a review is not completed in</w:t>
      </w:r>
      <w:r>
        <w:t xml:space="preserve"> the required</w:t>
      </w:r>
      <w:r w:rsidR="009D5963" w:rsidRPr="009D5963">
        <w:t xml:space="preserve"> time</w:t>
      </w:r>
      <w:r>
        <w:t>frame</w:t>
      </w:r>
      <w:r w:rsidR="009D5963" w:rsidRPr="009D5963">
        <w:t>, the responsible directorate will in accordance with the ARIn Framework develop a</w:t>
      </w:r>
      <w:r>
        <w:t>nd implement a</w:t>
      </w:r>
      <w:r w:rsidR="009D5963" w:rsidRPr="009D5963">
        <w:t xml:space="preserve"> plan to complete the review within three months. The directorate must notify the employee(s) covered by the ARIn of the delay and provide reasons for the delay to the Head of Service. The ARIn will continue to operate while the review is completed.</w:t>
      </w:r>
      <w:bookmarkStart w:id="31" w:name="_Toc16498873"/>
    </w:p>
    <w:bookmarkEnd w:id="31"/>
    <w:p w14:paraId="0B2A2522" w14:textId="4E66BD0B" w:rsidR="009D5963" w:rsidRDefault="009D5963" w:rsidP="00FB679E">
      <w:pPr>
        <w:pStyle w:val="Heading4"/>
      </w:pPr>
      <w:r>
        <w:t>Consultation with Employee(s) during an ARIn Review</w:t>
      </w:r>
    </w:p>
    <w:p w14:paraId="442540D9" w14:textId="6EC6B4E6" w:rsidR="009D5963" w:rsidRPr="009D5963" w:rsidRDefault="009D5963" w:rsidP="002B6EE5">
      <w:pPr>
        <w:pStyle w:val="ListParagraph"/>
        <w:numPr>
          <w:ilvl w:val="0"/>
          <w:numId w:val="18"/>
        </w:numPr>
        <w:ind w:left="714" w:hanging="357"/>
      </w:pPr>
      <w:r w:rsidRPr="009D5963">
        <w:t>The employee receiving the ARIn must be consulted during the review phase. The Agreement is flexible as to how this should occur but seeking a submission would generally be appropriate.</w:t>
      </w:r>
    </w:p>
    <w:p w14:paraId="64359FF1" w14:textId="4B663633" w:rsidR="009D5963" w:rsidRPr="009D5963" w:rsidRDefault="009D5963" w:rsidP="002B6EE5">
      <w:pPr>
        <w:pStyle w:val="ListParagraph"/>
        <w:numPr>
          <w:ilvl w:val="0"/>
          <w:numId w:val="18"/>
        </w:numPr>
        <w:ind w:left="714" w:hanging="357"/>
      </w:pPr>
      <w:r w:rsidRPr="009D5963">
        <w:lastRenderedPageBreak/>
        <w:t>Once a decision is made through a review concerning the ARIn, the employee must have the opportunity to provide a submission concerning that decision. The employee has up to 14 calendar days to respond</w:t>
      </w:r>
      <w:r w:rsidR="002E2B52">
        <w:t xml:space="preserve"> in writing</w:t>
      </w:r>
      <w:r w:rsidRPr="009D5963">
        <w:t>.</w:t>
      </w:r>
    </w:p>
    <w:p w14:paraId="7845DBF4" w14:textId="42BC057A" w:rsidR="009D5963" w:rsidRPr="009D5963" w:rsidRDefault="009D5963" w:rsidP="002B6EE5">
      <w:pPr>
        <w:pStyle w:val="ListParagraph"/>
        <w:numPr>
          <w:ilvl w:val="0"/>
          <w:numId w:val="18"/>
        </w:numPr>
        <w:ind w:left="714" w:hanging="357"/>
      </w:pPr>
      <w:r w:rsidRPr="009D5963">
        <w:t xml:space="preserve">There is no obligation for the employee to respond. Should the employee choose not to do so, or not do so in </w:t>
      </w:r>
      <w:r w:rsidR="002E2B52">
        <w:t>the required timeframe</w:t>
      </w:r>
      <w:r w:rsidRPr="009D5963">
        <w:t>, this will not preclude the review progressing to completion.</w:t>
      </w:r>
    </w:p>
    <w:p w14:paraId="2B142610" w14:textId="29630395" w:rsidR="009D5963" w:rsidRPr="009D5963" w:rsidRDefault="009D5963" w:rsidP="002B6EE5">
      <w:pPr>
        <w:pStyle w:val="ListParagraph"/>
        <w:numPr>
          <w:ilvl w:val="0"/>
          <w:numId w:val="18"/>
        </w:numPr>
        <w:ind w:left="714" w:hanging="357"/>
      </w:pPr>
      <w:r w:rsidRPr="009D5963">
        <w:t>The fact that an employee may be out of the workplace on leave does not preclude this consultation from occurring. Where the employee is on long term leave (for example</w:t>
      </w:r>
      <w:r w:rsidR="00FC1D06">
        <w:t>,</w:t>
      </w:r>
      <w:r w:rsidRPr="009D5963">
        <w:t xml:space="preserve"> workers compensation, Birth Leave or Personal Leave) reasonable attempts should be made to consult with the employee. The employee’s circumstances, including any possible negative impact consultation may have on them, should be considered when determining whether contact should be made, and if so, the most appropriate means of communication should be adopted.</w:t>
      </w:r>
    </w:p>
    <w:p w14:paraId="3F05088F" w14:textId="2C460512" w:rsidR="009D5963" w:rsidRPr="009D5963" w:rsidRDefault="009D5963" w:rsidP="002B6EE5">
      <w:pPr>
        <w:pStyle w:val="ListParagraph"/>
        <w:numPr>
          <w:ilvl w:val="0"/>
          <w:numId w:val="18"/>
        </w:numPr>
        <w:ind w:left="714" w:hanging="357"/>
      </w:pPr>
      <w:r w:rsidRPr="009D5963">
        <w:t>If concerns exist in relation to consultation with an employee who is on leave because of illness or injury it may be appropriate to liaise with their case manager (if any) before making contact.</w:t>
      </w:r>
    </w:p>
    <w:p w14:paraId="3F261A22" w14:textId="1BC0DAF5" w:rsidR="009D5963" w:rsidRPr="009D5963" w:rsidRDefault="009D5963" w:rsidP="002B6EE5">
      <w:pPr>
        <w:pStyle w:val="ListParagraph"/>
        <w:numPr>
          <w:ilvl w:val="0"/>
          <w:numId w:val="18"/>
        </w:numPr>
        <w:ind w:left="714" w:hanging="357"/>
      </w:pPr>
      <w:r w:rsidRPr="009D5963">
        <w:t>In some cases, it may also be necessary to seek legal advice from the Government Solicitor’s Office.</w:t>
      </w:r>
    </w:p>
    <w:p w14:paraId="33C56F6E" w14:textId="01F4A2F7" w:rsidR="009D5963" w:rsidRPr="009D5963" w:rsidRDefault="009D5963" w:rsidP="002B6EE5">
      <w:pPr>
        <w:pStyle w:val="ListParagraph"/>
        <w:numPr>
          <w:ilvl w:val="0"/>
          <w:numId w:val="18"/>
        </w:numPr>
        <w:ind w:left="714" w:hanging="357"/>
      </w:pPr>
      <w:r w:rsidRPr="009D5963">
        <w:t xml:space="preserve">Any feedback received must be assessed and considered without bias prior to making a final decision. </w:t>
      </w:r>
    </w:p>
    <w:p w14:paraId="00DD72A9" w14:textId="487EE673" w:rsidR="009D5963" w:rsidRDefault="009D5963" w:rsidP="00FB679E">
      <w:pPr>
        <w:pStyle w:val="Heading4"/>
      </w:pPr>
      <w:r>
        <w:t>Consultation with Unions</w:t>
      </w:r>
      <w:r w:rsidR="00FB679E">
        <w:t xml:space="preserve"> </w:t>
      </w:r>
      <w:r>
        <w:t>during an ARIn Review</w:t>
      </w:r>
    </w:p>
    <w:p w14:paraId="1240A287" w14:textId="67C1323A" w:rsidR="009D5963" w:rsidRDefault="009D5963" w:rsidP="009D5963">
      <w:pPr>
        <w:pStyle w:val="ListParagraph"/>
        <w:numPr>
          <w:ilvl w:val="0"/>
          <w:numId w:val="18"/>
        </w:numPr>
      </w:pPr>
      <w:r>
        <w:t>Where an employee wishes to be represented by a union or other representative as part of their ARIn discussions this should be facilitated.</w:t>
      </w:r>
    </w:p>
    <w:p w14:paraId="54A7DED9" w14:textId="0FED0C15" w:rsidR="009D5963" w:rsidRDefault="009D5963" w:rsidP="009D5963">
      <w:pPr>
        <w:pStyle w:val="ListParagraph"/>
        <w:numPr>
          <w:ilvl w:val="0"/>
          <w:numId w:val="18"/>
        </w:numPr>
      </w:pPr>
      <w:r>
        <w:t>In addition, if the proposed ARIn will replace or reduce an employment condition of the relevant Agreement, the relevant union with coverage of the position to which the ARIn will be applied must be consulted about the proposed change</w:t>
      </w:r>
      <w:r w:rsidR="001B45D4">
        <w:t xml:space="preserve"> in accordance with F1 of the relevant ACTPS Enterprise Agreement</w:t>
      </w:r>
      <w:r>
        <w:t>. The Director-General will consult with the relevant union through the Office of Industrial Relations and Workplace Strategy. Appropriate privacy considerations must be applied to the information provided.</w:t>
      </w:r>
    </w:p>
    <w:p w14:paraId="2EBD4EC1" w14:textId="7B704111" w:rsidR="009D5963" w:rsidRDefault="009D5963" w:rsidP="009D5963">
      <w:pPr>
        <w:pStyle w:val="Heading3"/>
      </w:pPr>
      <w:bookmarkStart w:id="32" w:name="_Toc163155603"/>
      <w:r>
        <w:t>Ceasing an ARIn</w:t>
      </w:r>
      <w:bookmarkEnd w:id="32"/>
    </w:p>
    <w:p w14:paraId="6F436B5B" w14:textId="3970FCE0" w:rsidR="009D5963" w:rsidRPr="00C90073" w:rsidRDefault="002105BF" w:rsidP="009D5963">
      <w:pPr>
        <w:pStyle w:val="ListParagraph"/>
        <w:numPr>
          <w:ilvl w:val="0"/>
          <w:numId w:val="18"/>
        </w:numPr>
        <w:rPr>
          <w:szCs w:val="22"/>
        </w:rPr>
      </w:pPr>
      <w:r w:rsidRPr="00C90073">
        <w:rPr>
          <w:szCs w:val="22"/>
        </w:rPr>
        <w:t>An ARIn</w:t>
      </w:r>
      <w:r w:rsidR="00C90073" w:rsidRPr="00C90073">
        <w:rPr>
          <w:szCs w:val="22"/>
        </w:rPr>
        <w:t xml:space="preserve"> will cease to operate:</w:t>
      </w:r>
    </w:p>
    <w:p w14:paraId="4F411EEF" w14:textId="31F26A8B" w:rsidR="00C90073" w:rsidRPr="00C90073" w:rsidRDefault="00C90073" w:rsidP="00C90073">
      <w:pPr>
        <w:pStyle w:val="Bullet1"/>
        <w:numPr>
          <w:ilvl w:val="1"/>
          <w:numId w:val="18"/>
        </w:numPr>
        <w:spacing w:before="0" w:after="60" w:line="240" w:lineRule="auto"/>
        <w:rPr>
          <w:sz w:val="22"/>
          <w:szCs w:val="22"/>
        </w:rPr>
      </w:pPr>
      <w:r w:rsidRPr="00C90073">
        <w:rPr>
          <w:i/>
          <w:sz w:val="22"/>
          <w:szCs w:val="22"/>
        </w:rPr>
        <w:t>In relation to a Project ARIn:</w:t>
      </w:r>
      <w:r w:rsidRPr="00C90073">
        <w:rPr>
          <w:sz w:val="22"/>
          <w:szCs w:val="22"/>
        </w:rPr>
        <w:t xml:space="preserve"> on the expiry date specified in the ARIn (up to 36 months from commencement),</w:t>
      </w:r>
      <w:r w:rsidR="002E2B52">
        <w:rPr>
          <w:sz w:val="22"/>
          <w:szCs w:val="22"/>
        </w:rPr>
        <w:t xml:space="preserve"> on</w:t>
      </w:r>
      <w:r w:rsidRPr="00C90073">
        <w:rPr>
          <w:sz w:val="22"/>
          <w:szCs w:val="22"/>
        </w:rPr>
        <w:t xml:space="preserve"> cessation of the position's involvement in the project or</w:t>
      </w:r>
      <w:r w:rsidR="002E2B52">
        <w:rPr>
          <w:sz w:val="22"/>
          <w:szCs w:val="22"/>
        </w:rPr>
        <w:t xml:space="preserve"> on</w:t>
      </w:r>
      <w:r w:rsidRPr="00C90073">
        <w:rPr>
          <w:sz w:val="22"/>
          <w:szCs w:val="22"/>
        </w:rPr>
        <w:t xml:space="preserve"> the date of completion of the project, whichever date is the earlier.</w:t>
      </w:r>
    </w:p>
    <w:p w14:paraId="104C9623" w14:textId="77777777" w:rsidR="00C90073" w:rsidRPr="00C90073" w:rsidRDefault="00C90073" w:rsidP="00C90073">
      <w:pPr>
        <w:pStyle w:val="Bullet1"/>
        <w:numPr>
          <w:ilvl w:val="1"/>
          <w:numId w:val="18"/>
        </w:numPr>
        <w:spacing w:before="0" w:after="60" w:line="240" w:lineRule="auto"/>
        <w:rPr>
          <w:sz w:val="22"/>
          <w:szCs w:val="22"/>
        </w:rPr>
      </w:pPr>
      <w:r w:rsidRPr="00C90073">
        <w:rPr>
          <w:i/>
          <w:sz w:val="22"/>
          <w:szCs w:val="22"/>
        </w:rPr>
        <w:t>In relation to a Fixed Term ARIn:</w:t>
      </w:r>
      <w:r w:rsidRPr="00C90073">
        <w:rPr>
          <w:sz w:val="22"/>
          <w:szCs w:val="22"/>
        </w:rPr>
        <w:t xml:space="preserve"> on the expiry date specified in the ARIn (up to 12 months from commencement).</w:t>
      </w:r>
    </w:p>
    <w:p w14:paraId="652871FD" w14:textId="77777777" w:rsidR="00C90073" w:rsidRPr="00C90073" w:rsidRDefault="00C90073" w:rsidP="00C90073">
      <w:pPr>
        <w:pStyle w:val="Bullet1"/>
        <w:numPr>
          <w:ilvl w:val="1"/>
          <w:numId w:val="18"/>
        </w:numPr>
        <w:spacing w:before="0" w:after="60" w:line="240" w:lineRule="auto"/>
        <w:rPr>
          <w:sz w:val="22"/>
          <w:szCs w:val="22"/>
        </w:rPr>
      </w:pPr>
      <w:r w:rsidRPr="00C90073">
        <w:rPr>
          <w:i/>
          <w:sz w:val="22"/>
          <w:szCs w:val="22"/>
        </w:rPr>
        <w:t>In relation to a Renewable ARIn:</w:t>
      </w:r>
      <w:r w:rsidRPr="00C90073">
        <w:rPr>
          <w:sz w:val="22"/>
          <w:szCs w:val="22"/>
        </w:rPr>
        <w:t xml:space="preserve"> where, after a review, the Director-General determines the ARIn should no longer apply to the position, on the date that is a minimum of 90 days after the date notice is provided to the employee of cessation of the ARIn, or less if agreed by the employee.</w:t>
      </w:r>
    </w:p>
    <w:p w14:paraId="1154D550" w14:textId="77777777" w:rsidR="00C90073" w:rsidRPr="00C90073" w:rsidRDefault="00C90073" w:rsidP="00C90073">
      <w:pPr>
        <w:pStyle w:val="Bullet1"/>
        <w:numPr>
          <w:ilvl w:val="0"/>
          <w:numId w:val="18"/>
        </w:numPr>
        <w:spacing w:before="0" w:after="60" w:line="240" w:lineRule="auto"/>
        <w:rPr>
          <w:sz w:val="22"/>
          <w:szCs w:val="22"/>
        </w:rPr>
      </w:pPr>
      <w:r w:rsidRPr="00C90073">
        <w:rPr>
          <w:sz w:val="22"/>
          <w:szCs w:val="22"/>
        </w:rPr>
        <w:t>While the minimum notice period is 90 days; more notice may be given where the circumstances require it.</w:t>
      </w:r>
    </w:p>
    <w:p w14:paraId="7E881189" w14:textId="77777777" w:rsidR="00C90073" w:rsidRPr="00C90073" w:rsidRDefault="00C90073" w:rsidP="00C90073">
      <w:pPr>
        <w:pStyle w:val="Bullet1"/>
        <w:numPr>
          <w:ilvl w:val="0"/>
          <w:numId w:val="18"/>
        </w:numPr>
        <w:spacing w:before="0" w:after="60" w:line="240" w:lineRule="auto"/>
        <w:rPr>
          <w:sz w:val="22"/>
          <w:szCs w:val="22"/>
        </w:rPr>
      </w:pPr>
      <w:r w:rsidRPr="00C90073">
        <w:rPr>
          <w:sz w:val="22"/>
          <w:szCs w:val="22"/>
        </w:rPr>
        <w:t>The cessation notice period in relation to a renewable ARIn can be served out during the term of the ARIn.</w:t>
      </w:r>
    </w:p>
    <w:p w14:paraId="5EE8D444" w14:textId="129BB290" w:rsidR="00C90073" w:rsidRPr="002B6DBD" w:rsidRDefault="00C90073" w:rsidP="00C90073">
      <w:pPr>
        <w:pStyle w:val="ListParagraph"/>
        <w:numPr>
          <w:ilvl w:val="0"/>
          <w:numId w:val="18"/>
        </w:numPr>
        <w:rPr>
          <w:szCs w:val="22"/>
        </w:rPr>
      </w:pPr>
      <w:r w:rsidRPr="002B6DBD">
        <w:rPr>
          <w:szCs w:val="22"/>
        </w:rPr>
        <w:t xml:space="preserve">An ARIn may also be: </w:t>
      </w:r>
    </w:p>
    <w:p w14:paraId="39D8B292" w14:textId="6ED79008" w:rsidR="00C90073" w:rsidRPr="002B6DBD" w:rsidRDefault="00C90073" w:rsidP="004E2AD4">
      <w:pPr>
        <w:pStyle w:val="Bullet1"/>
        <w:numPr>
          <w:ilvl w:val="1"/>
          <w:numId w:val="18"/>
        </w:numPr>
        <w:spacing w:before="100" w:beforeAutospacing="1" w:after="60" w:line="240" w:lineRule="auto"/>
        <w:ind w:left="1434" w:hanging="357"/>
        <w:rPr>
          <w:sz w:val="22"/>
          <w:szCs w:val="22"/>
        </w:rPr>
      </w:pPr>
      <w:r w:rsidRPr="002B6DBD">
        <w:rPr>
          <w:sz w:val="22"/>
          <w:szCs w:val="22"/>
        </w:rPr>
        <w:lastRenderedPageBreak/>
        <w:t>ceased when an employee vacates a position on a permanent basis,</w:t>
      </w:r>
    </w:p>
    <w:p w14:paraId="6BD14D08" w14:textId="362A8AB2" w:rsidR="00C90073" w:rsidRPr="002B6DBD" w:rsidRDefault="00C90073" w:rsidP="00D35FDD">
      <w:pPr>
        <w:pStyle w:val="Bullet1"/>
        <w:numPr>
          <w:ilvl w:val="1"/>
          <w:numId w:val="18"/>
        </w:numPr>
        <w:spacing w:before="100" w:beforeAutospacing="1" w:after="60" w:line="240" w:lineRule="auto"/>
        <w:ind w:left="1434" w:hanging="357"/>
        <w:rPr>
          <w:szCs w:val="22"/>
        </w:rPr>
      </w:pPr>
      <w:r w:rsidRPr="00D35FDD">
        <w:rPr>
          <w:sz w:val="22"/>
          <w:szCs w:val="22"/>
        </w:rPr>
        <w:t>paused temporarily when an employee vacates a position on temporary transfer;</w:t>
      </w:r>
      <w:r w:rsidRPr="002B6DBD">
        <w:rPr>
          <w:szCs w:val="22"/>
        </w:rPr>
        <w:tab/>
      </w:r>
    </w:p>
    <w:p w14:paraId="38E90205" w14:textId="4D80F3F5" w:rsidR="00C90073" w:rsidRPr="00C90073" w:rsidRDefault="00C90073" w:rsidP="004E2AD4">
      <w:pPr>
        <w:pStyle w:val="Bullet1"/>
        <w:numPr>
          <w:ilvl w:val="1"/>
          <w:numId w:val="18"/>
        </w:numPr>
        <w:spacing w:before="100" w:beforeAutospacing="1" w:after="60" w:line="240" w:lineRule="auto"/>
        <w:ind w:left="1434" w:hanging="357"/>
        <w:rPr>
          <w:sz w:val="22"/>
          <w:szCs w:val="22"/>
        </w:rPr>
      </w:pPr>
      <w:r w:rsidRPr="002B6DBD">
        <w:rPr>
          <w:sz w:val="22"/>
          <w:szCs w:val="22"/>
        </w:rPr>
        <w:t>paused temporarily or ceased as a sanction after a finding arising from a misconduct or underperformance</w:t>
      </w:r>
      <w:r w:rsidRPr="00C90073">
        <w:rPr>
          <w:sz w:val="22"/>
          <w:szCs w:val="22"/>
        </w:rPr>
        <w:t xml:space="preserve"> matter in accordance with subclause G9 of the Enterprise Agreement; or</w:t>
      </w:r>
    </w:p>
    <w:p w14:paraId="404B53B8" w14:textId="7BF45B05" w:rsidR="00C90073" w:rsidRDefault="00C90073" w:rsidP="004E2AD4">
      <w:pPr>
        <w:pStyle w:val="Bullet1"/>
        <w:numPr>
          <w:ilvl w:val="1"/>
          <w:numId w:val="18"/>
        </w:numPr>
        <w:spacing w:before="100" w:beforeAutospacing="1" w:after="60" w:line="240" w:lineRule="auto"/>
        <w:ind w:left="1434" w:hanging="357"/>
        <w:rPr>
          <w:sz w:val="22"/>
          <w:szCs w:val="22"/>
        </w:rPr>
      </w:pPr>
      <w:r w:rsidRPr="00C90073">
        <w:rPr>
          <w:sz w:val="22"/>
          <w:szCs w:val="22"/>
        </w:rPr>
        <w:t>paused temporarily or ceased where an employee loses an essential qualification or registration which is required for them to perform the duties of the position to which the ARIn relates.</w:t>
      </w:r>
    </w:p>
    <w:p w14:paraId="6042F6B0" w14:textId="269C98D7" w:rsidR="009E39BE" w:rsidRPr="00B548BA" w:rsidRDefault="009E39BE" w:rsidP="00B548BA">
      <w:pPr>
        <w:pStyle w:val="ListParagraph"/>
        <w:numPr>
          <w:ilvl w:val="0"/>
          <w:numId w:val="18"/>
        </w:numPr>
        <w:rPr>
          <w:szCs w:val="22"/>
        </w:rPr>
      </w:pPr>
      <w:r>
        <w:rPr>
          <w:szCs w:val="22"/>
        </w:rPr>
        <w:t>A Group ARIn will cease to operate where, after a review, the Director-General determines that the ARIns covered by the Group Approval should no longer apply on the date that is a minimum of 90 days after the date notice of cessation of the ARIn is provided to the employee(s) to whom the ARIn applies.</w:t>
      </w:r>
    </w:p>
    <w:p w14:paraId="2AF27886" w14:textId="6D616153" w:rsidR="00BD2CB1" w:rsidRDefault="00BD2CB1" w:rsidP="00BD2CB1">
      <w:pPr>
        <w:pStyle w:val="Heading2"/>
      </w:pPr>
      <w:bookmarkStart w:id="33" w:name="_Toc163155604"/>
      <w:r>
        <w:t>Responsibilities</w:t>
      </w:r>
      <w:bookmarkEnd w:id="33"/>
    </w:p>
    <w:p w14:paraId="4E8ACD6F" w14:textId="0A6880BF" w:rsidR="00C90073" w:rsidRPr="00C90073" w:rsidRDefault="00C90073" w:rsidP="002B6EE5">
      <w:pPr>
        <w:pStyle w:val="Bullet1"/>
        <w:numPr>
          <w:ilvl w:val="0"/>
          <w:numId w:val="18"/>
        </w:numPr>
        <w:spacing w:before="200" w:after="200"/>
        <w:ind w:left="714" w:hanging="357"/>
        <w:rPr>
          <w:sz w:val="22"/>
          <w:szCs w:val="22"/>
        </w:rPr>
      </w:pPr>
      <w:r w:rsidRPr="00C90073">
        <w:rPr>
          <w:sz w:val="22"/>
          <w:szCs w:val="22"/>
        </w:rPr>
        <w:t xml:space="preserve">Directorates are responsible for facilitating </w:t>
      </w:r>
      <w:r w:rsidR="00FB679E">
        <w:rPr>
          <w:sz w:val="22"/>
          <w:szCs w:val="22"/>
        </w:rPr>
        <w:t>c</w:t>
      </w:r>
      <w:r w:rsidRPr="00C90073">
        <w:rPr>
          <w:sz w:val="22"/>
          <w:szCs w:val="22"/>
        </w:rPr>
        <w:t xml:space="preserve">omprehensive and </w:t>
      </w:r>
      <w:r w:rsidR="00FB679E">
        <w:rPr>
          <w:sz w:val="22"/>
          <w:szCs w:val="22"/>
        </w:rPr>
        <w:t>r</w:t>
      </w:r>
      <w:r w:rsidRPr="00C90073">
        <w:rPr>
          <w:sz w:val="22"/>
          <w:szCs w:val="22"/>
        </w:rPr>
        <w:t xml:space="preserve">enewal </w:t>
      </w:r>
      <w:r w:rsidR="00FB679E">
        <w:rPr>
          <w:sz w:val="22"/>
          <w:szCs w:val="22"/>
        </w:rPr>
        <w:t>s</w:t>
      </w:r>
      <w:r w:rsidRPr="00C90073">
        <w:rPr>
          <w:sz w:val="22"/>
          <w:szCs w:val="22"/>
        </w:rPr>
        <w:t xml:space="preserve">ubmissions and </w:t>
      </w:r>
      <w:r w:rsidR="00FB679E">
        <w:rPr>
          <w:sz w:val="22"/>
          <w:szCs w:val="22"/>
        </w:rPr>
        <w:t>r</w:t>
      </w:r>
      <w:r w:rsidRPr="00C90073">
        <w:rPr>
          <w:sz w:val="22"/>
          <w:szCs w:val="22"/>
        </w:rPr>
        <w:t xml:space="preserve">eview processes, including internal governance and approval flows. Directorates are responsible for consulting with employees during the </w:t>
      </w:r>
      <w:r w:rsidR="00FB679E">
        <w:rPr>
          <w:sz w:val="22"/>
          <w:szCs w:val="22"/>
        </w:rPr>
        <w:t>r</w:t>
      </w:r>
      <w:r w:rsidRPr="00C90073">
        <w:rPr>
          <w:sz w:val="22"/>
          <w:szCs w:val="22"/>
        </w:rPr>
        <w:t xml:space="preserve">eview phase of the ARIns process. </w:t>
      </w:r>
    </w:p>
    <w:p w14:paraId="3DF7E92D" w14:textId="3420ED6D" w:rsidR="00C90073" w:rsidRPr="00C90073" w:rsidRDefault="00C90073" w:rsidP="002B6EE5">
      <w:pPr>
        <w:pStyle w:val="Bullet1"/>
        <w:numPr>
          <w:ilvl w:val="0"/>
          <w:numId w:val="18"/>
        </w:numPr>
        <w:spacing w:before="200" w:after="200"/>
        <w:ind w:left="714" w:hanging="357"/>
        <w:rPr>
          <w:sz w:val="22"/>
          <w:szCs w:val="22"/>
        </w:rPr>
      </w:pPr>
      <w:r w:rsidRPr="00C90073">
        <w:rPr>
          <w:sz w:val="22"/>
          <w:szCs w:val="22"/>
        </w:rPr>
        <w:t xml:space="preserve">Office of Industrial Relations and Workforce Strategy is responsible for facilitating the Head of Service consideration of </w:t>
      </w:r>
      <w:r w:rsidR="009E39BE">
        <w:rPr>
          <w:sz w:val="22"/>
          <w:szCs w:val="22"/>
        </w:rPr>
        <w:t>c</w:t>
      </w:r>
      <w:r w:rsidRPr="00C90073">
        <w:rPr>
          <w:sz w:val="22"/>
          <w:szCs w:val="22"/>
        </w:rPr>
        <w:t xml:space="preserve">omprehensive </w:t>
      </w:r>
      <w:r w:rsidR="009E39BE">
        <w:rPr>
          <w:sz w:val="22"/>
          <w:szCs w:val="22"/>
        </w:rPr>
        <w:t>s</w:t>
      </w:r>
      <w:r w:rsidRPr="00C90073">
        <w:rPr>
          <w:sz w:val="22"/>
          <w:szCs w:val="22"/>
        </w:rPr>
        <w:t xml:space="preserve">ubmissions and </w:t>
      </w:r>
      <w:r w:rsidR="009E39BE">
        <w:rPr>
          <w:sz w:val="22"/>
          <w:szCs w:val="22"/>
        </w:rPr>
        <w:t>c</w:t>
      </w:r>
      <w:r w:rsidRPr="00C90073">
        <w:rPr>
          <w:sz w:val="22"/>
          <w:szCs w:val="22"/>
        </w:rPr>
        <w:t xml:space="preserve">omprehensive </w:t>
      </w:r>
      <w:r w:rsidR="009E39BE">
        <w:rPr>
          <w:sz w:val="22"/>
          <w:szCs w:val="22"/>
        </w:rPr>
        <w:t>s</w:t>
      </w:r>
      <w:r w:rsidRPr="00C90073">
        <w:rPr>
          <w:sz w:val="22"/>
          <w:szCs w:val="22"/>
        </w:rPr>
        <w:t xml:space="preserve">ubmission renewals and has ownership of the overall policy and process. The Office of Industrial Relations and Workforce Strategy is responsible for compliance checking of </w:t>
      </w:r>
      <w:r w:rsidR="002261CB">
        <w:rPr>
          <w:sz w:val="22"/>
          <w:szCs w:val="22"/>
        </w:rPr>
        <w:t>r</w:t>
      </w:r>
      <w:r w:rsidRPr="00C90073">
        <w:rPr>
          <w:sz w:val="22"/>
          <w:szCs w:val="22"/>
        </w:rPr>
        <w:t xml:space="preserve">enewal </w:t>
      </w:r>
      <w:r w:rsidR="002261CB">
        <w:rPr>
          <w:sz w:val="22"/>
          <w:szCs w:val="22"/>
        </w:rPr>
        <w:t>s</w:t>
      </w:r>
      <w:r w:rsidRPr="00C90073">
        <w:rPr>
          <w:sz w:val="22"/>
          <w:szCs w:val="22"/>
        </w:rPr>
        <w:t>ubmissions, the registration of all ARIns and for the payroll processes.</w:t>
      </w:r>
    </w:p>
    <w:p w14:paraId="4BDF8E1C" w14:textId="4EE62605" w:rsidR="00BD2CB1" w:rsidRDefault="00BD2CB1" w:rsidP="00BD2CB1">
      <w:pPr>
        <w:pStyle w:val="Heading2"/>
      </w:pPr>
      <w:bookmarkStart w:id="34" w:name="_Toc163155605"/>
      <w:r>
        <w:t>Consultation</w:t>
      </w:r>
      <w:bookmarkEnd w:id="34"/>
    </w:p>
    <w:p w14:paraId="6B502C52" w14:textId="15B36172" w:rsidR="00C90073" w:rsidRPr="00C90073" w:rsidRDefault="00C90073" w:rsidP="00C90073">
      <w:pPr>
        <w:pStyle w:val="Bullet1"/>
        <w:numPr>
          <w:ilvl w:val="0"/>
          <w:numId w:val="18"/>
        </w:numPr>
        <w:spacing w:before="0" w:after="60" w:line="240" w:lineRule="auto"/>
        <w:rPr>
          <w:sz w:val="22"/>
          <w:szCs w:val="22"/>
        </w:rPr>
      </w:pPr>
      <w:bookmarkStart w:id="35" w:name="_Hlk50931513"/>
      <w:r w:rsidRPr="00C90073">
        <w:rPr>
          <w:sz w:val="22"/>
          <w:szCs w:val="22"/>
        </w:rPr>
        <w:t xml:space="preserve">This policy was consulted with the ACTPS People Forum, unions, the Office of Industrial Relations and </w:t>
      </w:r>
      <w:r w:rsidR="00D04BDF">
        <w:rPr>
          <w:sz w:val="22"/>
          <w:szCs w:val="22"/>
        </w:rPr>
        <w:t>Workforce Strategy</w:t>
      </w:r>
      <w:r w:rsidRPr="00C90073">
        <w:rPr>
          <w:sz w:val="22"/>
          <w:szCs w:val="22"/>
        </w:rPr>
        <w:t>.</w:t>
      </w:r>
      <w:bookmarkEnd w:id="35"/>
    </w:p>
    <w:p w14:paraId="6E4D62DC" w14:textId="639E2BCD" w:rsidR="00BD2CB1" w:rsidRDefault="00BD2CB1" w:rsidP="00BD2CB1">
      <w:pPr>
        <w:pStyle w:val="Heading2"/>
      </w:pPr>
      <w:bookmarkStart w:id="36" w:name="_Toc163155606"/>
      <w:r>
        <w:t>References</w:t>
      </w:r>
      <w:bookmarkEnd w:id="36"/>
    </w:p>
    <w:p w14:paraId="6FCCE18F" w14:textId="56817B78" w:rsidR="00C90073" w:rsidRPr="004E2AD4" w:rsidRDefault="00C90073" w:rsidP="00C90073">
      <w:pPr>
        <w:pStyle w:val="Bullet1"/>
        <w:numPr>
          <w:ilvl w:val="0"/>
          <w:numId w:val="18"/>
        </w:numPr>
        <w:spacing w:before="0" w:after="60" w:line="240" w:lineRule="auto"/>
        <w:rPr>
          <w:rFonts w:cstheme="minorHAnsi"/>
          <w:sz w:val="22"/>
          <w:szCs w:val="22"/>
        </w:rPr>
      </w:pPr>
      <w:r w:rsidRPr="004E2AD4">
        <w:rPr>
          <w:rFonts w:cstheme="minorHAnsi"/>
          <w:sz w:val="22"/>
          <w:szCs w:val="22"/>
        </w:rPr>
        <w:t>The key principles of this Policy are aligned with the following authorised sources:</w:t>
      </w:r>
    </w:p>
    <w:p w14:paraId="21F62409" w14:textId="752479DC" w:rsidR="00C90073" w:rsidRPr="004E2AD4" w:rsidRDefault="00B330AF" w:rsidP="00D04BDF">
      <w:pPr>
        <w:pStyle w:val="Bullet1"/>
        <w:numPr>
          <w:ilvl w:val="1"/>
          <w:numId w:val="18"/>
        </w:numPr>
        <w:spacing w:line="240" w:lineRule="auto"/>
        <w:ind w:left="1491" w:hanging="357"/>
        <w:rPr>
          <w:rFonts w:cstheme="minorHAnsi"/>
          <w:sz w:val="22"/>
          <w:szCs w:val="22"/>
        </w:rPr>
      </w:pPr>
      <w:hyperlink r:id="rId23" w:history="1">
        <w:r w:rsidR="00C90073" w:rsidRPr="004E2AD4">
          <w:rPr>
            <w:rStyle w:val="Hyperlink"/>
            <w:rFonts w:cstheme="minorHAnsi"/>
            <w:color w:val="auto"/>
            <w:sz w:val="22"/>
            <w:szCs w:val="22"/>
          </w:rPr>
          <w:t>Public Sector Management Act 1994</w:t>
        </w:r>
      </w:hyperlink>
      <w:r w:rsidR="00C90073" w:rsidRPr="004E2AD4">
        <w:rPr>
          <w:rFonts w:cstheme="minorHAnsi"/>
          <w:sz w:val="22"/>
          <w:szCs w:val="22"/>
        </w:rPr>
        <w:t>;</w:t>
      </w:r>
    </w:p>
    <w:p w14:paraId="7AD1351F" w14:textId="399E97C9" w:rsidR="00C90073" w:rsidRPr="004E2AD4" w:rsidRDefault="00B330AF" w:rsidP="00D04BDF">
      <w:pPr>
        <w:pStyle w:val="Bullet1"/>
        <w:numPr>
          <w:ilvl w:val="1"/>
          <w:numId w:val="18"/>
        </w:numPr>
        <w:spacing w:line="240" w:lineRule="auto"/>
        <w:ind w:left="1491" w:hanging="357"/>
        <w:rPr>
          <w:rFonts w:cstheme="minorHAnsi"/>
          <w:sz w:val="22"/>
          <w:szCs w:val="22"/>
        </w:rPr>
      </w:pPr>
      <w:hyperlink r:id="rId24" w:history="1">
        <w:r w:rsidR="00C90073" w:rsidRPr="004E2AD4">
          <w:rPr>
            <w:rStyle w:val="Hyperlink"/>
            <w:rFonts w:cstheme="minorHAnsi"/>
            <w:color w:val="auto"/>
            <w:sz w:val="22"/>
            <w:szCs w:val="22"/>
          </w:rPr>
          <w:t>Financial Management Act 1996</w:t>
        </w:r>
      </w:hyperlink>
      <w:r w:rsidR="00C90073" w:rsidRPr="004E2AD4">
        <w:rPr>
          <w:rFonts w:cstheme="minorHAnsi"/>
          <w:sz w:val="22"/>
          <w:szCs w:val="22"/>
        </w:rPr>
        <w:t>;</w:t>
      </w:r>
    </w:p>
    <w:p w14:paraId="46EFEDE2" w14:textId="3E920155" w:rsidR="00C90073" w:rsidRPr="004E2AD4" w:rsidRDefault="00B330AF" w:rsidP="00D04BDF">
      <w:pPr>
        <w:pStyle w:val="Bullet1"/>
        <w:numPr>
          <w:ilvl w:val="1"/>
          <w:numId w:val="18"/>
        </w:numPr>
        <w:spacing w:line="240" w:lineRule="auto"/>
        <w:ind w:left="1491" w:hanging="357"/>
        <w:rPr>
          <w:rFonts w:cstheme="minorHAnsi"/>
          <w:sz w:val="22"/>
          <w:szCs w:val="22"/>
        </w:rPr>
      </w:pPr>
      <w:hyperlink r:id="rId25" w:history="1">
        <w:r w:rsidR="00C90073" w:rsidRPr="004E2AD4">
          <w:rPr>
            <w:rStyle w:val="Hyperlink"/>
            <w:rFonts w:cstheme="minorHAnsi"/>
            <w:color w:val="auto"/>
            <w:sz w:val="22"/>
            <w:szCs w:val="22"/>
          </w:rPr>
          <w:t>Fair Work Act 2009</w:t>
        </w:r>
      </w:hyperlink>
      <w:r w:rsidR="00C90073" w:rsidRPr="004E2AD4">
        <w:rPr>
          <w:rFonts w:cstheme="minorHAnsi"/>
          <w:sz w:val="22"/>
          <w:szCs w:val="22"/>
        </w:rPr>
        <w:t>; and</w:t>
      </w:r>
    </w:p>
    <w:p w14:paraId="7D85C83F" w14:textId="4F94A0F7" w:rsidR="00C90073" w:rsidRPr="004E2AD4" w:rsidRDefault="00B330AF" w:rsidP="00D04BDF">
      <w:pPr>
        <w:pStyle w:val="Bullet1"/>
        <w:numPr>
          <w:ilvl w:val="1"/>
          <w:numId w:val="18"/>
        </w:numPr>
        <w:spacing w:line="240" w:lineRule="auto"/>
        <w:ind w:left="1491" w:hanging="357"/>
        <w:rPr>
          <w:rFonts w:cstheme="minorHAnsi"/>
          <w:sz w:val="22"/>
          <w:szCs w:val="22"/>
        </w:rPr>
      </w:pPr>
      <w:hyperlink r:id="rId26" w:history="1">
        <w:r w:rsidR="00C90073" w:rsidRPr="004E2AD4">
          <w:rPr>
            <w:rStyle w:val="Hyperlink"/>
            <w:rFonts w:cstheme="minorHAnsi"/>
            <w:color w:val="auto"/>
            <w:sz w:val="22"/>
            <w:szCs w:val="22"/>
          </w:rPr>
          <w:t>ACTPS Enterprise Agreements</w:t>
        </w:r>
      </w:hyperlink>
      <w:r w:rsidR="00C90073" w:rsidRPr="004E2AD4">
        <w:rPr>
          <w:rFonts w:cstheme="minorHAnsi"/>
          <w:sz w:val="22"/>
          <w:szCs w:val="22"/>
        </w:rPr>
        <w:t>.</w:t>
      </w:r>
    </w:p>
    <w:p w14:paraId="46034671" w14:textId="40C8B575" w:rsidR="00BD2CB1" w:rsidRDefault="00BD2CB1" w:rsidP="00BD2CB1">
      <w:pPr>
        <w:pStyle w:val="Heading2"/>
      </w:pPr>
      <w:bookmarkStart w:id="37" w:name="_Toc163155607"/>
      <w:r>
        <w:t>Further Information</w:t>
      </w:r>
      <w:bookmarkEnd w:id="37"/>
    </w:p>
    <w:p w14:paraId="60784251" w14:textId="57AFB710" w:rsidR="00C90073" w:rsidRPr="004E2AD4" w:rsidRDefault="00C90073" w:rsidP="002B6EE5">
      <w:pPr>
        <w:pStyle w:val="Bullet1"/>
        <w:numPr>
          <w:ilvl w:val="0"/>
          <w:numId w:val="18"/>
        </w:numPr>
        <w:spacing w:before="200" w:after="200"/>
        <w:ind w:left="714" w:hanging="357"/>
        <w:rPr>
          <w:sz w:val="22"/>
          <w:szCs w:val="22"/>
        </w:rPr>
      </w:pPr>
      <w:r w:rsidRPr="004E2AD4">
        <w:rPr>
          <w:sz w:val="22"/>
          <w:szCs w:val="22"/>
        </w:rPr>
        <w:t xml:space="preserve">Where an employee has questions about an ARIn, the ARIn Framework or this policy, they should in the first instance contact their relevant directorate HR team. </w:t>
      </w:r>
    </w:p>
    <w:p w14:paraId="0094F5C5" w14:textId="77777777" w:rsidR="00C90073" w:rsidRPr="004E2AD4" w:rsidRDefault="00C90073" w:rsidP="002B6EE5">
      <w:pPr>
        <w:pStyle w:val="Bullet1"/>
        <w:numPr>
          <w:ilvl w:val="0"/>
          <w:numId w:val="18"/>
        </w:numPr>
        <w:spacing w:before="200" w:after="200"/>
        <w:ind w:left="714" w:hanging="357"/>
        <w:rPr>
          <w:sz w:val="22"/>
          <w:szCs w:val="22"/>
        </w:rPr>
      </w:pPr>
      <w:r w:rsidRPr="004E2AD4">
        <w:rPr>
          <w:sz w:val="22"/>
          <w:szCs w:val="22"/>
        </w:rPr>
        <w:t xml:space="preserve">The forms related to ARIns are available on the OneGov Service Centre Website </w:t>
      </w:r>
      <w:hyperlink r:id="rId27" w:history="1">
        <w:r w:rsidRPr="004E2AD4">
          <w:rPr>
            <w:rStyle w:val="Hyperlink"/>
            <w:rFonts w:eastAsiaTheme="majorEastAsia"/>
            <w:sz w:val="22"/>
            <w:szCs w:val="22"/>
          </w:rPr>
          <w:t>https://actss.service-now.com/sharedservices/?id=employment</w:t>
        </w:r>
      </w:hyperlink>
      <w:r w:rsidRPr="004E2AD4">
        <w:rPr>
          <w:sz w:val="22"/>
          <w:szCs w:val="22"/>
        </w:rPr>
        <w:t>.</w:t>
      </w:r>
    </w:p>
    <w:p w14:paraId="6DA53FF6" w14:textId="77777777" w:rsidR="00C90073" w:rsidRPr="004E2AD4" w:rsidRDefault="00C90073" w:rsidP="002B6EE5">
      <w:pPr>
        <w:pStyle w:val="Bullet1"/>
        <w:numPr>
          <w:ilvl w:val="0"/>
          <w:numId w:val="18"/>
        </w:numPr>
        <w:spacing w:before="200" w:after="200"/>
        <w:ind w:left="714" w:hanging="357"/>
        <w:rPr>
          <w:sz w:val="22"/>
          <w:szCs w:val="22"/>
        </w:rPr>
      </w:pPr>
      <w:r w:rsidRPr="004E2AD4">
        <w:rPr>
          <w:sz w:val="22"/>
          <w:szCs w:val="22"/>
        </w:rPr>
        <w:lastRenderedPageBreak/>
        <w:t xml:space="preserve">Inquiries related to ARIns and the operation of this policy should be addressed to the Office of Industrial Relations and Workforce Strategy through an email to </w:t>
      </w:r>
      <w:hyperlink r:id="rId28" w:history="1">
        <w:r w:rsidRPr="004E2AD4">
          <w:rPr>
            <w:rStyle w:val="Hyperlink"/>
            <w:rFonts w:eastAsiaTheme="majorEastAsia"/>
            <w:sz w:val="22"/>
            <w:szCs w:val="22"/>
          </w:rPr>
          <w:t>ACTPS_ARIns@act.gov.au</w:t>
        </w:r>
      </w:hyperlink>
      <w:r w:rsidRPr="004E2AD4">
        <w:rPr>
          <w:sz w:val="22"/>
          <w:szCs w:val="22"/>
        </w:rPr>
        <w:t>.</w:t>
      </w:r>
    </w:p>
    <w:p w14:paraId="77939F73" w14:textId="77777777" w:rsidR="00C90073" w:rsidRPr="004E2AD4" w:rsidRDefault="00C90073" w:rsidP="002B6EE5">
      <w:pPr>
        <w:pStyle w:val="Bullet1"/>
        <w:numPr>
          <w:ilvl w:val="0"/>
          <w:numId w:val="18"/>
        </w:numPr>
        <w:spacing w:before="200" w:after="200"/>
        <w:ind w:left="714" w:hanging="357"/>
        <w:rPr>
          <w:sz w:val="22"/>
          <w:szCs w:val="22"/>
        </w:rPr>
      </w:pPr>
      <w:r w:rsidRPr="004E2AD4">
        <w:rPr>
          <w:sz w:val="22"/>
          <w:szCs w:val="22"/>
        </w:rPr>
        <w:t xml:space="preserve">Inquiries related to ARIn processing or Renewal Review should be addressed to </w:t>
      </w:r>
      <w:hyperlink r:id="rId29" w:history="1">
        <w:r w:rsidRPr="004E2AD4">
          <w:rPr>
            <w:rStyle w:val="Hyperlink"/>
            <w:rFonts w:eastAsiaTheme="majorEastAsia"/>
            <w:sz w:val="22"/>
            <w:szCs w:val="22"/>
          </w:rPr>
          <w:t>SSHRARIns@act.gov.au</w:t>
        </w:r>
      </w:hyperlink>
      <w:r w:rsidRPr="004E2AD4">
        <w:rPr>
          <w:sz w:val="22"/>
          <w:szCs w:val="22"/>
        </w:rPr>
        <w:t>.</w:t>
      </w:r>
    </w:p>
    <w:p w14:paraId="5BFC09C4" w14:textId="10D36851" w:rsidR="00BD2CB1" w:rsidRDefault="00BD2CB1" w:rsidP="00BD2CB1">
      <w:pPr>
        <w:pStyle w:val="Heading2"/>
      </w:pPr>
      <w:bookmarkStart w:id="38" w:name="_Toc163155608"/>
      <w:r>
        <w:t>Review</w:t>
      </w:r>
      <w:bookmarkEnd w:id="38"/>
    </w:p>
    <w:p w14:paraId="0E47CC0A" w14:textId="617ED629" w:rsidR="00BD2CB1" w:rsidRDefault="00BD2CB1" w:rsidP="00C90073">
      <w:pPr>
        <w:pStyle w:val="ListParagraph"/>
        <w:numPr>
          <w:ilvl w:val="0"/>
          <w:numId w:val="18"/>
        </w:numPr>
        <w:spacing w:before="0" w:line="250" w:lineRule="exact"/>
        <w:rPr>
          <w:szCs w:val="22"/>
        </w:rPr>
      </w:pPr>
      <w:r w:rsidRPr="00BD2CB1">
        <w:rPr>
          <w:szCs w:val="22"/>
        </w:rPr>
        <w:t>This policy is due for review 3 years from the last issued or reviewed date, or earlier where there are changes that affect the operation of the policy.</w:t>
      </w:r>
    </w:p>
    <w:p w14:paraId="59EAD3E3" w14:textId="77777777" w:rsidR="00480CD2" w:rsidRDefault="00480CD2" w:rsidP="00480CD2">
      <w:pPr>
        <w:pStyle w:val="ListParagraph"/>
        <w:spacing w:before="0" w:line="250" w:lineRule="exact"/>
        <w:rPr>
          <w:szCs w:val="22"/>
        </w:rPr>
      </w:pPr>
    </w:p>
    <w:tbl>
      <w:tblPr>
        <w:tblStyle w:val="ARTableText"/>
        <w:tblW w:w="9356" w:type="dxa"/>
        <w:tblLook w:val="04A0" w:firstRow="1" w:lastRow="0" w:firstColumn="1" w:lastColumn="0" w:noHBand="0" w:noVBand="1"/>
      </w:tblPr>
      <w:tblGrid>
        <w:gridCol w:w="2410"/>
        <w:gridCol w:w="6946"/>
      </w:tblGrid>
      <w:tr w:rsidR="00480CD2" w14:paraId="4DE2016D" w14:textId="77777777" w:rsidTr="00CF0C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1D8384BC" w14:textId="5EE182C5" w:rsidR="00480CD2" w:rsidRPr="00B83F53" w:rsidRDefault="0048682A" w:rsidP="00253413">
            <w:pPr>
              <w:pStyle w:val="TableheadingNormal"/>
            </w:pPr>
            <w:r>
              <w:t>Item</w:t>
            </w:r>
          </w:p>
        </w:tc>
        <w:tc>
          <w:tcPr>
            <w:tcW w:w="6946" w:type="dxa"/>
          </w:tcPr>
          <w:p w14:paraId="5987E827" w14:textId="11C8AC73" w:rsidR="00480CD2" w:rsidRPr="00B83F53" w:rsidRDefault="0048682A" w:rsidP="00253413">
            <w:pPr>
              <w:pStyle w:val="TableheadingNormal"/>
              <w:cnfStyle w:val="100000000000" w:firstRow="1" w:lastRow="0" w:firstColumn="0" w:lastColumn="0" w:oddVBand="0" w:evenVBand="0" w:oddHBand="0" w:evenHBand="0" w:firstRowFirstColumn="0" w:firstRowLastColumn="0" w:lastRowFirstColumn="0" w:lastRowLastColumn="0"/>
            </w:pPr>
            <w:r>
              <w:t>Details</w:t>
            </w:r>
          </w:p>
        </w:tc>
      </w:tr>
      <w:tr w:rsidR="00480CD2" w14:paraId="53B02CF5" w14:textId="77777777" w:rsidTr="00CF0C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5A11C098" w14:textId="0449C6CB" w:rsidR="00480CD2" w:rsidRPr="00B83F53" w:rsidRDefault="00480CD2" w:rsidP="00253413">
            <w:pPr>
              <w:pStyle w:val="Tabletext"/>
            </w:pPr>
            <w:r>
              <w:t xml:space="preserve">Document name: </w:t>
            </w:r>
          </w:p>
        </w:tc>
        <w:tc>
          <w:tcPr>
            <w:tcW w:w="6946" w:type="dxa"/>
          </w:tcPr>
          <w:p w14:paraId="761661BB" w14:textId="5C3FC0AE" w:rsidR="00480CD2" w:rsidRPr="00B83F53" w:rsidRDefault="00F66C82" w:rsidP="00253413">
            <w:pPr>
              <w:pStyle w:val="Tabletext"/>
              <w:cnfStyle w:val="000000100000" w:firstRow="0" w:lastRow="0" w:firstColumn="0" w:lastColumn="0" w:oddVBand="0" w:evenVBand="0" w:oddHBand="1" w:evenHBand="0" w:firstRowFirstColumn="0" w:firstRowLastColumn="0" w:lastRowFirstColumn="0" w:lastRowLastColumn="0"/>
            </w:pPr>
            <w:r>
              <w:t>Attraction and Retention Incentives Policy</w:t>
            </w:r>
          </w:p>
        </w:tc>
      </w:tr>
      <w:tr w:rsidR="00480CD2" w14:paraId="7CDE9B64" w14:textId="77777777" w:rsidTr="00CF0C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1E082B58" w14:textId="540155AF" w:rsidR="00480CD2" w:rsidRPr="00480CD2" w:rsidRDefault="00480CD2" w:rsidP="00253413">
            <w:pPr>
              <w:pStyle w:val="Tabletext"/>
              <w:rPr>
                <w:i/>
                <w:iCs/>
              </w:rPr>
            </w:pPr>
            <w:r>
              <w:t xml:space="preserve">Policy Number: </w:t>
            </w:r>
          </w:p>
        </w:tc>
        <w:tc>
          <w:tcPr>
            <w:tcW w:w="6946" w:type="dxa"/>
          </w:tcPr>
          <w:p w14:paraId="3A7385BE" w14:textId="1D8CBF8C" w:rsidR="00480CD2" w:rsidRPr="00B83F53" w:rsidRDefault="007849C3" w:rsidP="00253413">
            <w:pPr>
              <w:pStyle w:val="Tabletext"/>
              <w:cnfStyle w:val="000000010000" w:firstRow="0" w:lastRow="0" w:firstColumn="0" w:lastColumn="0" w:oddVBand="0" w:evenVBand="0" w:oddHBand="0" w:evenHBand="1" w:firstRowFirstColumn="0" w:firstRowLastColumn="0" w:lastRowFirstColumn="0" w:lastRowLastColumn="0"/>
            </w:pPr>
            <w:r>
              <w:t>7/2024</w:t>
            </w:r>
          </w:p>
        </w:tc>
      </w:tr>
      <w:tr w:rsidR="00480CD2" w14:paraId="3B43EE61" w14:textId="77777777" w:rsidTr="00CF0C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06A134AE" w14:textId="786D0244" w:rsidR="00480CD2" w:rsidRPr="00480CD2" w:rsidRDefault="00480CD2" w:rsidP="00253413">
            <w:pPr>
              <w:pStyle w:val="Tabletext"/>
              <w:rPr>
                <w:i/>
                <w:iCs/>
              </w:rPr>
            </w:pPr>
            <w:r>
              <w:t xml:space="preserve">Prepared by: </w:t>
            </w:r>
          </w:p>
        </w:tc>
        <w:tc>
          <w:tcPr>
            <w:tcW w:w="6946" w:type="dxa"/>
          </w:tcPr>
          <w:p w14:paraId="716E9B2D" w14:textId="65DA7B52" w:rsidR="00480CD2" w:rsidRPr="00B83F53" w:rsidRDefault="005B75EE" w:rsidP="00253413">
            <w:pPr>
              <w:pStyle w:val="Tabletext"/>
              <w:cnfStyle w:val="000000100000" w:firstRow="0" w:lastRow="0" w:firstColumn="0" w:lastColumn="0" w:oddVBand="0" w:evenVBand="0" w:oddHBand="1" w:evenHBand="0" w:firstRowFirstColumn="0" w:firstRowLastColumn="0" w:lastRowFirstColumn="0" w:lastRowLastColumn="0"/>
            </w:pPr>
            <w:r>
              <w:t>Industrial Relations and Public Sector Employment, OIRWS, CMTEDD</w:t>
            </w:r>
          </w:p>
        </w:tc>
      </w:tr>
      <w:tr w:rsidR="00480CD2" w14:paraId="1742056A" w14:textId="77777777" w:rsidTr="00CF0C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189A2AD6" w14:textId="01A9B97C" w:rsidR="00480CD2" w:rsidRPr="00480CD2" w:rsidRDefault="00480CD2" w:rsidP="00253413">
            <w:pPr>
              <w:pStyle w:val="Tabletext"/>
              <w:rPr>
                <w:i/>
                <w:iCs/>
              </w:rPr>
            </w:pPr>
            <w:r>
              <w:t xml:space="preserve">Feedback to: </w:t>
            </w:r>
          </w:p>
        </w:tc>
        <w:tc>
          <w:tcPr>
            <w:tcW w:w="6946" w:type="dxa"/>
          </w:tcPr>
          <w:p w14:paraId="6D6A04AB" w14:textId="063D028C" w:rsidR="00480CD2" w:rsidRPr="00B83F53" w:rsidRDefault="000B47F1" w:rsidP="00253413">
            <w:pPr>
              <w:pStyle w:val="Tabletext"/>
              <w:cnfStyle w:val="000000010000" w:firstRow="0" w:lastRow="0" w:firstColumn="0" w:lastColumn="0" w:oddVBand="0" w:evenVBand="0" w:oddHBand="0" w:evenHBand="1" w:firstRowFirstColumn="0" w:firstRowLastColumn="0" w:lastRowFirstColumn="0" w:lastRowLastColumn="0"/>
            </w:pPr>
            <w:r>
              <w:t>eba@act.gov.au</w:t>
            </w:r>
          </w:p>
        </w:tc>
      </w:tr>
      <w:tr w:rsidR="00480CD2" w14:paraId="3384C39D" w14:textId="77777777" w:rsidTr="00CF0C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08649769" w14:textId="3581E57F" w:rsidR="00480CD2" w:rsidRPr="00480CD2" w:rsidRDefault="00480CD2" w:rsidP="00253413">
            <w:pPr>
              <w:pStyle w:val="Tabletext"/>
              <w:rPr>
                <w:i/>
                <w:iCs/>
              </w:rPr>
            </w:pPr>
            <w:r>
              <w:t xml:space="preserve">Issue Date: </w:t>
            </w:r>
          </w:p>
        </w:tc>
        <w:tc>
          <w:tcPr>
            <w:tcW w:w="6946" w:type="dxa"/>
          </w:tcPr>
          <w:p w14:paraId="16115F61" w14:textId="0D99DF50" w:rsidR="00480CD2" w:rsidRPr="00B83F53" w:rsidRDefault="007849C3" w:rsidP="00253413">
            <w:pPr>
              <w:pStyle w:val="Tabletext"/>
              <w:cnfStyle w:val="000000100000" w:firstRow="0" w:lastRow="0" w:firstColumn="0" w:lastColumn="0" w:oddVBand="0" w:evenVBand="0" w:oddHBand="1" w:evenHBand="0" w:firstRowFirstColumn="0" w:firstRowLastColumn="0" w:lastRowFirstColumn="0" w:lastRowLastColumn="0"/>
            </w:pPr>
            <w:r>
              <w:t>April 2024</w:t>
            </w:r>
          </w:p>
        </w:tc>
      </w:tr>
      <w:tr w:rsidR="00581D4B" w14:paraId="2DB711FB" w14:textId="77777777" w:rsidTr="00CF0C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00AF5ED2" w14:textId="70B7CA0C" w:rsidR="00581D4B" w:rsidRDefault="00581D4B" w:rsidP="00253413">
            <w:pPr>
              <w:pStyle w:val="Tabletext"/>
            </w:pPr>
            <w:r>
              <w:t>Last Review Date:</w:t>
            </w:r>
          </w:p>
        </w:tc>
        <w:tc>
          <w:tcPr>
            <w:tcW w:w="6946" w:type="dxa"/>
          </w:tcPr>
          <w:p w14:paraId="62D558A8" w14:textId="4AF248BC" w:rsidR="00581D4B" w:rsidRDefault="007849C3" w:rsidP="00253413">
            <w:pPr>
              <w:pStyle w:val="Tabletext"/>
              <w:cnfStyle w:val="000000010000" w:firstRow="0" w:lastRow="0" w:firstColumn="0" w:lastColumn="0" w:oddVBand="0" w:evenVBand="0" w:oddHBand="0" w:evenHBand="1" w:firstRowFirstColumn="0" w:firstRowLastColumn="0" w:lastRowFirstColumn="0" w:lastRowLastColumn="0"/>
            </w:pPr>
            <w:r>
              <w:t>April 2024</w:t>
            </w:r>
          </w:p>
        </w:tc>
      </w:tr>
      <w:tr w:rsidR="00480CD2" w14:paraId="74B24028" w14:textId="77777777" w:rsidTr="00CF0C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06336C90" w14:textId="704F25C7" w:rsidR="00480CD2" w:rsidRPr="00480CD2" w:rsidRDefault="00581D4B" w:rsidP="00253413">
            <w:pPr>
              <w:pStyle w:val="Tabletext"/>
              <w:rPr>
                <w:i/>
                <w:iCs/>
              </w:rPr>
            </w:pPr>
            <w:r>
              <w:t xml:space="preserve">Next </w:t>
            </w:r>
            <w:r w:rsidR="00480CD2">
              <w:t xml:space="preserve">Review Date: </w:t>
            </w:r>
          </w:p>
        </w:tc>
        <w:tc>
          <w:tcPr>
            <w:tcW w:w="6946" w:type="dxa"/>
          </w:tcPr>
          <w:p w14:paraId="7DD8794B" w14:textId="40C3A997" w:rsidR="00480CD2" w:rsidRPr="00B83F53" w:rsidRDefault="00AD1A66" w:rsidP="00253413">
            <w:pPr>
              <w:pStyle w:val="Tabletext"/>
              <w:cnfStyle w:val="000000100000" w:firstRow="0" w:lastRow="0" w:firstColumn="0" w:lastColumn="0" w:oddVBand="0" w:evenVBand="0" w:oddHBand="1" w:evenHBand="0" w:firstRowFirstColumn="0" w:firstRowLastColumn="0" w:lastRowFirstColumn="0" w:lastRowLastColumn="0"/>
            </w:pPr>
            <w:r>
              <w:t>April</w:t>
            </w:r>
            <w:r w:rsidR="00B330AF">
              <w:t xml:space="preserve"> </w:t>
            </w:r>
            <w:r w:rsidR="000B47F1">
              <w:t>2027</w:t>
            </w:r>
          </w:p>
        </w:tc>
      </w:tr>
    </w:tbl>
    <w:p w14:paraId="79D7F397" w14:textId="77777777" w:rsidR="00480CD2" w:rsidRPr="0048682A" w:rsidRDefault="00480CD2" w:rsidP="0048682A">
      <w:pPr>
        <w:spacing w:before="0" w:line="250" w:lineRule="exact"/>
        <w:rPr>
          <w:szCs w:val="22"/>
        </w:rPr>
      </w:pPr>
    </w:p>
    <w:p w14:paraId="7187D1E0" w14:textId="01094749" w:rsidR="00BD2CB1" w:rsidRDefault="00BD2CB1" w:rsidP="00BD2CB1">
      <w:pPr>
        <w:pStyle w:val="Heading2"/>
      </w:pPr>
      <w:bookmarkStart w:id="39" w:name="_Toc163155609"/>
      <w:r>
        <w:t>Approval Authority</w:t>
      </w:r>
      <w:bookmarkEnd w:id="39"/>
      <w:r>
        <w:t xml:space="preserve"> </w:t>
      </w:r>
    </w:p>
    <w:p w14:paraId="7DF24AA4" w14:textId="1F564F17" w:rsidR="000B47F1" w:rsidRDefault="0048682A" w:rsidP="000B47F1">
      <w:pPr>
        <w:pStyle w:val="ListParagraph"/>
        <w:numPr>
          <w:ilvl w:val="0"/>
          <w:numId w:val="18"/>
        </w:numPr>
        <w:rPr>
          <w:szCs w:val="22"/>
        </w:rPr>
      </w:pPr>
      <w:r w:rsidRPr="000B47F1">
        <w:rPr>
          <w:szCs w:val="22"/>
        </w:rPr>
        <w:t>This policy is approved</w:t>
      </w:r>
      <w:r w:rsidR="000B47F1" w:rsidRPr="000B47F1">
        <w:rPr>
          <w:szCs w:val="22"/>
        </w:rPr>
        <w:t xml:space="preserve"> by</w:t>
      </w:r>
      <w:r w:rsidR="00B330AF">
        <w:rPr>
          <w:szCs w:val="22"/>
        </w:rPr>
        <w:t>:</w:t>
      </w:r>
    </w:p>
    <w:p w14:paraId="485FD40A" w14:textId="77777777" w:rsidR="00B330AF" w:rsidRDefault="00B330AF" w:rsidP="00B330AF">
      <w:pPr>
        <w:pStyle w:val="ListParagraph"/>
        <w:rPr>
          <w:szCs w:val="22"/>
        </w:rPr>
      </w:pPr>
    </w:p>
    <w:p w14:paraId="1CFC1ED3" w14:textId="73FDE5DB" w:rsidR="00B330AF" w:rsidRDefault="00B330AF" w:rsidP="00B330AF">
      <w:pPr>
        <w:pStyle w:val="ListParagraph"/>
        <w:rPr>
          <w:szCs w:val="22"/>
        </w:rPr>
      </w:pPr>
      <w:r>
        <w:rPr>
          <w:szCs w:val="22"/>
        </w:rPr>
        <w:t>Geoffrey Rutledge</w:t>
      </w:r>
    </w:p>
    <w:p w14:paraId="55D3DC74" w14:textId="77777777" w:rsidR="00B330AF" w:rsidRDefault="00B330AF" w:rsidP="00B330AF">
      <w:pPr>
        <w:pStyle w:val="ListParagraph"/>
        <w:rPr>
          <w:szCs w:val="22"/>
        </w:rPr>
      </w:pPr>
      <w:r>
        <w:rPr>
          <w:szCs w:val="22"/>
        </w:rPr>
        <w:t>Deputy Director-General</w:t>
      </w:r>
    </w:p>
    <w:p w14:paraId="03C7186B" w14:textId="77777777" w:rsidR="00B330AF" w:rsidRDefault="005B75EE" w:rsidP="00B330AF">
      <w:pPr>
        <w:pStyle w:val="ListParagraph"/>
        <w:rPr>
          <w:spacing w:val="-2"/>
        </w:rPr>
      </w:pPr>
      <w:r>
        <w:t>Office</w:t>
      </w:r>
      <w:r>
        <w:rPr>
          <w:spacing w:val="-6"/>
        </w:rPr>
        <w:t xml:space="preserve"> </w:t>
      </w:r>
      <w:r>
        <w:t>of</w:t>
      </w:r>
      <w:r>
        <w:rPr>
          <w:spacing w:val="-4"/>
        </w:rPr>
        <w:t xml:space="preserve"> </w:t>
      </w:r>
      <w:r>
        <w:t>Industrial</w:t>
      </w:r>
      <w:r>
        <w:rPr>
          <w:spacing w:val="-6"/>
        </w:rPr>
        <w:t xml:space="preserve"> </w:t>
      </w:r>
      <w:r>
        <w:t>Relations</w:t>
      </w:r>
      <w:r>
        <w:rPr>
          <w:spacing w:val="-4"/>
        </w:rPr>
        <w:t xml:space="preserve"> </w:t>
      </w:r>
      <w:r>
        <w:t>&amp;</w:t>
      </w:r>
      <w:r>
        <w:rPr>
          <w:spacing w:val="-6"/>
        </w:rPr>
        <w:t xml:space="preserve"> </w:t>
      </w:r>
      <w:r>
        <w:t>Workforce</w:t>
      </w:r>
      <w:r>
        <w:rPr>
          <w:spacing w:val="-2"/>
        </w:rPr>
        <w:t xml:space="preserve"> Strategy</w:t>
      </w:r>
    </w:p>
    <w:p w14:paraId="1218078E" w14:textId="77777777" w:rsidR="00B330AF" w:rsidRDefault="005B75EE" w:rsidP="00B330AF">
      <w:pPr>
        <w:pStyle w:val="ListParagraph"/>
      </w:pPr>
      <w:r>
        <w:t>Chief</w:t>
      </w:r>
      <w:r>
        <w:rPr>
          <w:spacing w:val="-5"/>
        </w:rPr>
        <w:t xml:space="preserve"> </w:t>
      </w:r>
      <w:r>
        <w:t>Minister,</w:t>
      </w:r>
      <w:r>
        <w:rPr>
          <w:spacing w:val="-7"/>
        </w:rPr>
        <w:t xml:space="preserve"> </w:t>
      </w:r>
      <w:r>
        <w:t>Treasury</w:t>
      </w:r>
      <w:r>
        <w:rPr>
          <w:spacing w:val="-4"/>
        </w:rPr>
        <w:t xml:space="preserve"> </w:t>
      </w:r>
      <w:r>
        <w:t>and</w:t>
      </w:r>
      <w:r>
        <w:rPr>
          <w:spacing w:val="-6"/>
        </w:rPr>
        <w:t xml:space="preserve"> </w:t>
      </w:r>
      <w:r>
        <w:t>Economic</w:t>
      </w:r>
      <w:r>
        <w:rPr>
          <w:spacing w:val="-7"/>
        </w:rPr>
        <w:t xml:space="preserve"> </w:t>
      </w:r>
      <w:r>
        <w:t>Development</w:t>
      </w:r>
      <w:r>
        <w:rPr>
          <w:spacing w:val="-7"/>
        </w:rPr>
        <w:t xml:space="preserve"> </w:t>
      </w:r>
      <w:r>
        <w:t xml:space="preserve">Directorate </w:t>
      </w:r>
    </w:p>
    <w:p w14:paraId="634FE8C3" w14:textId="77777777" w:rsidR="00B330AF" w:rsidRDefault="005B75EE" w:rsidP="00B330AF">
      <w:pPr>
        <w:pStyle w:val="ListParagraph"/>
      </w:pPr>
      <w:r>
        <w:t>On behalf of the Head of Service</w:t>
      </w:r>
    </w:p>
    <w:p w14:paraId="47B52AD9" w14:textId="2BF14E27" w:rsidR="005B75EE" w:rsidRPr="00B330AF" w:rsidRDefault="00AD1A66" w:rsidP="00B330AF">
      <w:pPr>
        <w:pStyle w:val="ListParagraph"/>
        <w:rPr>
          <w:szCs w:val="22"/>
        </w:rPr>
      </w:pPr>
      <w:r w:rsidRPr="00AD1A66">
        <w:t>10</w:t>
      </w:r>
      <w:r w:rsidR="00E17885" w:rsidRPr="00AD1A66">
        <w:t xml:space="preserve"> April 2024</w:t>
      </w:r>
    </w:p>
    <w:p w14:paraId="5F0B6292" w14:textId="5FBFC07B" w:rsidR="000B47F1" w:rsidRDefault="000B47F1" w:rsidP="000B47F1">
      <w:pPr>
        <w:spacing w:line="250" w:lineRule="exact"/>
        <w:rPr>
          <w:szCs w:val="22"/>
        </w:rPr>
      </w:pPr>
    </w:p>
    <w:p w14:paraId="5A482A17" w14:textId="77777777" w:rsidR="000B47F1" w:rsidRDefault="000B47F1">
      <w:pPr>
        <w:spacing w:before="0" w:after="160" w:line="259" w:lineRule="auto"/>
        <w:rPr>
          <w:szCs w:val="22"/>
        </w:rPr>
      </w:pPr>
      <w:r>
        <w:rPr>
          <w:szCs w:val="22"/>
        </w:rPr>
        <w:br w:type="page"/>
      </w:r>
    </w:p>
    <w:p w14:paraId="718D95FB" w14:textId="0CEECD3F" w:rsidR="0048682A" w:rsidRDefault="000B47F1" w:rsidP="000B47F1">
      <w:pPr>
        <w:pStyle w:val="Heading2"/>
      </w:pPr>
      <w:bookmarkStart w:id="40" w:name="_Toc163155610"/>
      <w:r>
        <w:lastRenderedPageBreak/>
        <w:t>Appendix 1: ARIn Process Flow</w:t>
      </w:r>
      <w:bookmarkEnd w:id="40"/>
    </w:p>
    <w:p w14:paraId="6C46A25F" w14:textId="1E770761" w:rsidR="00C21EE7" w:rsidRDefault="00C21EE7" w:rsidP="00C21EE7">
      <w:pPr>
        <w:pStyle w:val="NormalWeb"/>
      </w:pPr>
      <w:r>
        <w:rPr>
          <w:noProof/>
        </w:rPr>
        <w:drawing>
          <wp:inline distT="0" distB="0" distL="0" distR="0" wp14:anchorId="1A19D680" wp14:editId="09263260">
            <wp:extent cx="5635952" cy="7972425"/>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642015" cy="7981002"/>
                    </a:xfrm>
                    <a:prstGeom prst="rect">
                      <a:avLst/>
                    </a:prstGeom>
                    <a:noFill/>
                    <a:ln>
                      <a:noFill/>
                    </a:ln>
                  </pic:spPr>
                </pic:pic>
              </a:graphicData>
            </a:graphic>
          </wp:inline>
        </w:drawing>
      </w:r>
    </w:p>
    <w:p w14:paraId="403FE9FB" w14:textId="57FEF1E5" w:rsidR="000B47F1" w:rsidRPr="000B47F1" w:rsidRDefault="000B47F1" w:rsidP="000B47F1">
      <w:pPr>
        <w:spacing w:line="250" w:lineRule="exact"/>
        <w:rPr>
          <w:szCs w:val="22"/>
        </w:rPr>
      </w:pPr>
    </w:p>
    <w:p w14:paraId="6228E55A" w14:textId="3A7326BB" w:rsidR="00874B34" w:rsidRPr="00C21EE7" w:rsidRDefault="000B47F1" w:rsidP="00C21EE7">
      <w:pPr>
        <w:pStyle w:val="Heading2"/>
        <w:rPr>
          <w:szCs w:val="22"/>
        </w:rPr>
      </w:pPr>
      <w:bookmarkStart w:id="41" w:name="_Toc163155611"/>
      <w:r>
        <w:lastRenderedPageBreak/>
        <w:t>Appendix 2: Recruitment and Advertising in relation to ARIn</w:t>
      </w:r>
      <w:bookmarkEnd w:id="41"/>
    </w:p>
    <w:p w14:paraId="386BCB6C" w14:textId="2493CF51" w:rsidR="000B47F1" w:rsidRDefault="000B47F1" w:rsidP="000B47F1">
      <w:pPr>
        <w:pStyle w:val="Heading3"/>
      </w:pPr>
      <w:bookmarkStart w:id="42" w:name="_Toc163155612"/>
      <w:r>
        <w:t>Advertising with an ARIn</w:t>
      </w:r>
      <w:bookmarkEnd w:id="42"/>
    </w:p>
    <w:p w14:paraId="65542487" w14:textId="2DBEC076" w:rsidR="000B47F1" w:rsidRPr="000B47F1" w:rsidRDefault="000B47F1" w:rsidP="000B47F1">
      <w:pPr>
        <w:pStyle w:val="Bullet1"/>
        <w:numPr>
          <w:ilvl w:val="0"/>
          <w:numId w:val="25"/>
        </w:numPr>
        <w:spacing w:before="0" w:after="60" w:line="240" w:lineRule="auto"/>
        <w:rPr>
          <w:rFonts w:cstheme="minorHAnsi"/>
          <w:sz w:val="22"/>
          <w:szCs w:val="22"/>
        </w:rPr>
      </w:pPr>
      <w:r w:rsidRPr="000B47F1">
        <w:rPr>
          <w:rFonts w:ascii="Calibri" w:hAnsi="Calibri" w:cs="Calibri"/>
          <w:sz w:val="22"/>
          <w:szCs w:val="22"/>
        </w:rPr>
        <w:t>There are several ways that a directorate may use an ARIn as part of a recruitment process.</w:t>
      </w:r>
    </w:p>
    <w:tbl>
      <w:tblPr>
        <w:tblStyle w:val="TableGrid"/>
        <w:tblW w:w="0" w:type="auto"/>
        <w:tblInd w:w="-5" w:type="dxa"/>
        <w:tblLook w:val="04A0" w:firstRow="1" w:lastRow="0" w:firstColumn="1" w:lastColumn="0" w:noHBand="0" w:noVBand="1"/>
      </w:tblPr>
      <w:tblGrid>
        <w:gridCol w:w="9634"/>
      </w:tblGrid>
      <w:tr w:rsidR="00E7303A" w14:paraId="11C0AD95" w14:textId="77777777" w:rsidTr="00E7303A">
        <w:tc>
          <w:tcPr>
            <w:tcW w:w="9634" w:type="dxa"/>
          </w:tcPr>
          <w:p w14:paraId="78612B82" w14:textId="77777777" w:rsidR="00E7303A" w:rsidRDefault="00E7303A" w:rsidP="00E7303A">
            <w:pPr>
              <w:pStyle w:val="Heading4"/>
            </w:pPr>
            <w:r>
              <w:t>Preferred (and recommended) Approach:</w:t>
            </w:r>
          </w:p>
          <w:p w14:paraId="42CF054D" w14:textId="77777777" w:rsidR="00E7303A" w:rsidRPr="00025328" w:rsidRDefault="00E7303A" w:rsidP="00E7303A">
            <w:pPr>
              <w:rPr>
                <w:sz w:val="24"/>
                <w:szCs w:val="24"/>
              </w:rPr>
            </w:pPr>
            <w:r w:rsidRPr="00025328">
              <w:rPr>
                <w:sz w:val="24"/>
                <w:szCs w:val="24"/>
              </w:rPr>
              <w:t>To advertise the position with the ARIn included. That is, advertising the position at a higher total package value, comprising the relevant Agreement rate of pay plus an identified ARIn amount.</w:t>
            </w:r>
          </w:p>
          <w:p w14:paraId="14D6DBF3" w14:textId="699424B9" w:rsidR="00E7303A" w:rsidRPr="00E7303A" w:rsidRDefault="00E7303A" w:rsidP="00E7303A">
            <w:pPr>
              <w:rPr>
                <w:sz w:val="24"/>
                <w:szCs w:val="24"/>
              </w:rPr>
            </w:pPr>
            <w:r w:rsidRPr="00025328">
              <w:rPr>
                <w:sz w:val="24"/>
                <w:szCs w:val="24"/>
              </w:rPr>
              <w:t xml:space="preserve">i.e. </w:t>
            </w:r>
            <w:r w:rsidRPr="00D04BDF">
              <w:rPr>
                <w:i/>
                <w:iCs/>
                <w:sz w:val="24"/>
                <w:szCs w:val="24"/>
              </w:rPr>
              <w:t xml:space="preserve">This position is eligible for an Attraction and Retention Incentive (ARIn) of $(insert amount/or range). </w:t>
            </w:r>
            <w:r w:rsidRPr="00D04BDF">
              <w:rPr>
                <w:rStyle w:val="ui-provider"/>
                <w:i/>
                <w:iCs/>
                <w:sz w:val="24"/>
                <w:szCs w:val="24"/>
              </w:rPr>
              <w:t>This ARIn is reviewable under the terms of the ACTPS ARIn Framework and Policy.</w:t>
            </w:r>
            <w:r w:rsidRPr="00D04BDF">
              <w:rPr>
                <w:i/>
                <w:iCs/>
                <w:sz w:val="24"/>
                <w:szCs w:val="24"/>
              </w:rPr>
              <w:t xml:space="preserve"> Further details on meeting the criteria can be found in the ARIn Framework at Annex B of the relevant Enterprise Agreement, or by contacting the contact officer.</w:t>
            </w:r>
          </w:p>
        </w:tc>
      </w:tr>
    </w:tbl>
    <w:p w14:paraId="0A8C38F4" w14:textId="77777777" w:rsidR="00E7303A" w:rsidRDefault="00E7303A" w:rsidP="00E7303A">
      <w:pPr>
        <w:pStyle w:val="Bullet1"/>
        <w:numPr>
          <w:ilvl w:val="0"/>
          <w:numId w:val="0"/>
        </w:numPr>
        <w:spacing w:before="0" w:after="60" w:line="240" w:lineRule="auto"/>
        <w:ind w:left="720"/>
        <w:rPr>
          <w:rFonts w:cstheme="minorHAnsi"/>
          <w:sz w:val="22"/>
          <w:szCs w:val="22"/>
        </w:rPr>
      </w:pPr>
    </w:p>
    <w:p w14:paraId="42DD4D79" w14:textId="6A4F9822" w:rsidR="000B47F1" w:rsidRPr="000B47F1" w:rsidRDefault="000B47F1" w:rsidP="002B6EE5">
      <w:pPr>
        <w:pStyle w:val="Bullet1"/>
        <w:numPr>
          <w:ilvl w:val="0"/>
          <w:numId w:val="25"/>
        </w:numPr>
        <w:spacing w:before="200" w:after="200"/>
        <w:ind w:left="714" w:hanging="357"/>
        <w:rPr>
          <w:rFonts w:cstheme="minorHAnsi"/>
          <w:sz w:val="22"/>
          <w:szCs w:val="22"/>
        </w:rPr>
      </w:pPr>
      <w:r w:rsidRPr="000B47F1">
        <w:rPr>
          <w:rFonts w:cstheme="minorHAnsi"/>
          <w:sz w:val="22"/>
          <w:szCs w:val="22"/>
        </w:rPr>
        <w:t>A better field of applicants is likely to be attracted when a position is advertised with a higher total package identified up front.</w:t>
      </w:r>
    </w:p>
    <w:p w14:paraId="3EF1F5D8" w14:textId="34AC647F" w:rsidR="000B47F1" w:rsidRPr="000B47F1" w:rsidRDefault="000B47F1" w:rsidP="002B6EE5">
      <w:pPr>
        <w:pStyle w:val="Bullet1"/>
        <w:numPr>
          <w:ilvl w:val="0"/>
          <w:numId w:val="25"/>
        </w:numPr>
        <w:spacing w:before="200" w:after="200"/>
        <w:ind w:left="714" w:hanging="357"/>
        <w:rPr>
          <w:rFonts w:cstheme="minorHAnsi"/>
          <w:sz w:val="22"/>
          <w:szCs w:val="22"/>
        </w:rPr>
      </w:pPr>
      <w:r w:rsidRPr="000B47F1">
        <w:rPr>
          <w:rFonts w:cstheme="minorHAnsi"/>
          <w:sz w:val="22"/>
          <w:szCs w:val="22"/>
        </w:rPr>
        <w:t xml:space="preserve">Pre-approval is required via a </w:t>
      </w:r>
      <w:r w:rsidR="002261CB">
        <w:rPr>
          <w:rFonts w:cstheme="minorHAnsi"/>
          <w:sz w:val="22"/>
          <w:szCs w:val="22"/>
        </w:rPr>
        <w:t>c</w:t>
      </w:r>
      <w:r w:rsidRPr="000B47F1">
        <w:rPr>
          <w:rFonts w:cstheme="minorHAnsi"/>
          <w:sz w:val="22"/>
          <w:szCs w:val="22"/>
        </w:rPr>
        <w:t xml:space="preserve">omprehensive </w:t>
      </w:r>
      <w:r w:rsidR="002261CB">
        <w:rPr>
          <w:rFonts w:cstheme="minorHAnsi"/>
          <w:sz w:val="22"/>
          <w:szCs w:val="22"/>
        </w:rPr>
        <w:t>s</w:t>
      </w:r>
      <w:r w:rsidRPr="000B47F1">
        <w:rPr>
          <w:rFonts w:cstheme="minorHAnsi"/>
          <w:sz w:val="22"/>
          <w:szCs w:val="22"/>
        </w:rPr>
        <w:t xml:space="preserve">ubmission seeking approval to advertise the position with the ARIn. If pre-approval has been granted, no further </w:t>
      </w:r>
      <w:r w:rsidR="002261CB">
        <w:rPr>
          <w:rFonts w:cstheme="minorHAnsi"/>
          <w:sz w:val="22"/>
          <w:szCs w:val="22"/>
        </w:rPr>
        <w:t>c</w:t>
      </w:r>
      <w:r w:rsidRPr="000B47F1">
        <w:rPr>
          <w:rFonts w:cstheme="minorHAnsi"/>
          <w:sz w:val="22"/>
          <w:szCs w:val="22"/>
        </w:rPr>
        <w:t xml:space="preserve">omprehensive </w:t>
      </w:r>
      <w:r w:rsidR="002261CB">
        <w:rPr>
          <w:rFonts w:cstheme="minorHAnsi"/>
          <w:sz w:val="22"/>
          <w:szCs w:val="22"/>
        </w:rPr>
        <w:t>s</w:t>
      </w:r>
      <w:r w:rsidRPr="000B47F1">
        <w:rPr>
          <w:rFonts w:cstheme="minorHAnsi"/>
          <w:sz w:val="22"/>
          <w:szCs w:val="22"/>
        </w:rPr>
        <w:t>ubmission will be required. When the employee commences, the ARIn contract can be implemented immediately.</w:t>
      </w:r>
    </w:p>
    <w:p w14:paraId="637145F8" w14:textId="0650A43E" w:rsidR="000B47F1" w:rsidRPr="000B47F1" w:rsidRDefault="000B47F1" w:rsidP="002B6EE5">
      <w:pPr>
        <w:pStyle w:val="Bullet1"/>
        <w:numPr>
          <w:ilvl w:val="0"/>
          <w:numId w:val="25"/>
        </w:numPr>
        <w:spacing w:before="200" w:after="200"/>
        <w:ind w:left="714" w:hanging="357"/>
        <w:rPr>
          <w:rFonts w:cstheme="minorHAnsi"/>
          <w:sz w:val="22"/>
          <w:szCs w:val="22"/>
        </w:rPr>
      </w:pPr>
      <w:r w:rsidRPr="000B47F1">
        <w:rPr>
          <w:rFonts w:cstheme="minorHAnsi"/>
          <w:sz w:val="22"/>
          <w:szCs w:val="22"/>
        </w:rPr>
        <w:t xml:space="preserve">When a recruitment selection process is proposed to include a pre-approved ARIn, the </w:t>
      </w:r>
      <w:r w:rsidR="002261CB">
        <w:rPr>
          <w:rFonts w:cstheme="minorHAnsi"/>
          <w:sz w:val="22"/>
          <w:szCs w:val="22"/>
        </w:rPr>
        <w:t>c</w:t>
      </w:r>
      <w:r w:rsidRPr="000B47F1">
        <w:rPr>
          <w:rFonts w:cstheme="minorHAnsi"/>
          <w:sz w:val="22"/>
          <w:szCs w:val="22"/>
        </w:rPr>
        <w:t xml:space="preserve">omprehensive </w:t>
      </w:r>
      <w:r w:rsidR="002261CB">
        <w:rPr>
          <w:rFonts w:cstheme="minorHAnsi"/>
          <w:sz w:val="22"/>
          <w:szCs w:val="22"/>
        </w:rPr>
        <w:t>s</w:t>
      </w:r>
      <w:r w:rsidRPr="000B47F1">
        <w:rPr>
          <w:rFonts w:cstheme="minorHAnsi"/>
          <w:sz w:val="22"/>
          <w:szCs w:val="22"/>
        </w:rPr>
        <w:t>ubmission must:</w:t>
      </w:r>
    </w:p>
    <w:p w14:paraId="0B962785" w14:textId="04632374" w:rsidR="000B47F1" w:rsidRPr="000B47F1" w:rsidRDefault="000B47F1" w:rsidP="000B47F1">
      <w:pPr>
        <w:pStyle w:val="Bullet1"/>
        <w:numPr>
          <w:ilvl w:val="0"/>
          <w:numId w:val="29"/>
        </w:numPr>
        <w:spacing w:before="0" w:after="60" w:line="240" w:lineRule="auto"/>
        <w:rPr>
          <w:rFonts w:cstheme="minorHAnsi"/>
          <w:sz w:val="22"/>
          <w:szCs w:val="22"/>
        </w:rPr>
      </w:pPr>
      <w:r w:rsidRPr="000B47F1">
        <w:rPr>
          <w:rFonts w:cstheme="minorHAnsi"/>
          <w:sz w:val="22"/>
          <w:szCs w:val="22"/>
        </w:rPr>
        <w:t xml:space="preserve"> address the circumstances of the recruitment selection process (i.e., why an ARIn is necessary to be included in the advertised rate);</w:t>
      </w:r>
    </w:p>
    <w:p w14:paraId="1A76C66D" w14:textId="77777777" w:rsidR="000B47F1" w:rsidRPr="000B47F1" w:rsidRDefault="000B47F1" w:rsidP="000B47F1">
      <w:pPr>
        <w:pStyle w:val="Bullet1"/>
        <w:numPr>
          <w:ilvl w:val="0"/>
          <w:numId w:val="29"/>
        </w:numPr>
        <w:spacing w:before="0" w:after="60" w:line="240" w:lineRule="auto"/>
        <w:rPr>
          <w:rFonts w:cstheme="minorHAnsi"/>
          <w:sz w:val="22"/>
          <w:szCs w:val="22"/>
        </w:rPr>
      </w:pPr>
      <w:r w:rsidRPr="000B47F1">
        <w:rPr>
          <w:rFonts w:cstheme="minorHAnsi"/>
          <w:sz w:val="22"/>
          <w:szCs w:val="22"/>
        </w:rPr>
        <w:t xml:space="preserve">demonstrate the position (or a similar position) has recently been advertised without an ARIn and did not attract a suitable field </w:t>
      </w:r>
      <w:r w:rsidRPr="000B47F1">
        <w:rPr>
          <w:rFonts w:cstheme="minorHAnsi"/>
          <w:i/>
          <w:sz w:val="22"/>
          <w:szCs w:val="22"/>
        </w:rPr>
        <w:t>or</w:t>
      </w:r>
      <w:r w:rsidRPr="000B47F1">
        <w:rPr>
          <w:rFonts w:cstheme="minorHAnsi"/>
          <w:sz w:val="22"/>
          <w:szCs w:val="22"/>
        </w:rPr>
        <w:t xml:space="preserve"> provide evidence that advertising at the Agreement rate will not attract a suitable field; and</w:t>
      </w:r>
    </w:p>
    <w:p w14:paraId="701B2393" w14:textId="3A2ECE7D" w:rsidR="000B47F1" w:rsidRPr="00E7303A" w:rsidRDefault="000B47F1" w:rsidP="000B47F1">
      <w:pPr>
        <w:pStyle w:val="ListParagraph"/>
        <w:numPr>
          <w:ilvl w:val="0"/>
          <w:numId w:val="29"/>
        </w:numPr>
        <w:rPr>
          <w:szCs w:val="22"/>
        </w:rPr>
      </w:pPr>
      <w:r w:rsidRPr="000B47F1">
        <w:rPr>
          <w:rFonts w:cstheme="minorHAnsi"/>
          <w:szCs w:val="22"/>
        </w:rPr>
        <w:t>set out the reasons in support of the ARIn itself (i.e. why the position meets the ARIn eligibility criteria).</w:t>
      </w:r>
    </w:p>
    <w:tbl>
      <w:tblPr>
        <w:tblStyle w:val="TableGrid"/>
        <w:tblW w:w="0" w:type="auto"/>
        <w:tblLook w:val="04A0" w:firstRow="1" w:lastRow="0" w:firstColumn="1" w:lastColumn="0" w:noHBand="0" w:noVBand="1"/>
      </w:tblPr>
      <w:tblGrid>
        <w:gridCol w:w="9629"/>
      </w:tblGrid>
      <w:tr w:rsidR="00E7303A" w14:paraId="33B24B68" w14:textId="77777777" w:rsidTr="00E7303A">
        <w:tc>
          <w:tcPr>
            <w:tcW w:w="9629" w:type="dxa"/>
          </w:tcPr>
          <w:p w14:paraId="1484ACD4" w14:textId="77777777" w:rsidR="00E7303A" w:rsidRDefault="00E7303A" w:rsidP="00E7303A">
            <w:pPr>
              <w:pStyle w:val="Heading4"/>
            </w:pPr>
            <w:r>
              <w:lastRenderedPageBreak/>
              <w:t>Alternative Approach:</w:t>
            </w:r>
          </w:p>
          <w:p w14:paraId="40E6F325" w14:textId="77777777" w:rsidR="00E7303A" w:rsidRPr="00025328" w:rsidRDefault="00E7303A" w:rsidP="00E7303A">
            <w:pPr>
              <w:rPr>
                <w:sz w:val="24"/>
                <w:szCs w:val="24"/>
              </w:rPr>
            </w:pPr>
            <w:r w:rsidRPr="00025328">
              <w:rPr>
                <w:sz w:val="24"/>
                <w:szCs w:val="24"/>
              </w:rPr>
              <w:t>To advertise the position using the rate of pay set out in the relevant Agreement and state that an ARIn may be available for the right applicant.</w:t>
            </w:r>
          </w:p>
          <w:p w14:paraId="12828197" w14:textId="4939500E" w:rsidR="00E7303A" w:rsidRPr="00E7303A" w:rsidRDefault="00E7303A" w:rsidP="00E7303A">
            <w:pPr>
              <w:rPr>
                <w:sz w:val="24"/>
                <w:szCs w:val="24"/>
              </w:rPr>
            </w:pPr>
            <w:r w:rsidRPr="00025328">
              <w:rPr>
                <w:sz w:val="24"/>
                <w:szCs w:val="24"/>
              </w:rPr>
              <w:t xml:space="preserve">i.e. </w:t>
            </w:r>
            <w:r w:rsidRPr="00D04BDF">
              <w:rPr>
                <w:i/>
                <w:iCs/>
                <w:sz w:val="24"/>
                <w:szCs w:val="24"/>
              </w:rPr>
              <w:t>This position may be eligible for an Attraction and Retention Incentive (ARIn), subject to meeting the ARIn eligibility criteria as outlined in the ARIn framework at Annex B of the relevant Enterprise Agreement.</w:t>
            </w:r>
          </w:p>
        </w:tc>
      </w:tr>
    </w:tbl>
    <w:p w14:paraId="204720D9" w14:textId="77777777" w:rsidR="000B47F1" w:rsidRPr="000B47F1" w:rsidRDefault="000B47F1" w:rsidP="002B6EE5">
      <w:pPr>
        <w:pStyle w:val="Bullet1"/>
        <w:numPr>
          <w:ilvl w:val="0"/>
          <w:numId w:val="25"/>
        </w:numPr>
        <w:spacing w:before="200" w:after="200"/>
        <w:ind w:left="714" w:hanging="357"/>
        <w:rPr>
          <w:rFonts w:cstheme="minorHAnsi"/>
          <w:sz w:val="22"/>
          <w:szCs w:val="22"/>
        </w:rPr>
      </w:pPr>
      <w:r w:rsidRPr="000B47F1">
        <w:rPr>
          <w:rFonts w:cstheme="minorHAnsi"/>
          <w:sz w:val="22"/>
          <w:szCs w:val="22"/>
        </w:rPr>
        <w:t>If using this approach, pre-approval of the ARIn is not required.</w:t>
      </w:r>
    </w:p>
    <w:p w14:paraId="43570A2E" w14:textId="7CA52CC6" w:rsidR="000B47F1" w:rsidRPr="000B47F1" w:rsidRDefault="000B47F1" w:rsidP="002B6EE5">
      <w:pPr>
        <w:pStyle w:val="ListParagraph"/>
        <w:numPr>
          <w:ilvl w:val="0"/>
          <w:numId w:val="25"/>
        </w:numPr>
        <w:ind w:left="714" w:hanging="357"/>
        <w:rPr>
          <w:szCs w:val="22"/>
        </w:rPr>
      </w:pPr>
      <w:r w:rsidRPr="000B47F1">
        <w:rPr>
          <w:rFonts w:cstheme="minorHAnsi"/>
          <w:szCs w:val="22"/>
        </w:rPr>
        <w:t xml:space="preserve"> However, if an ARIn is ultimately proposed to be offered to the successful applicant, approval is required through a </w:t>
      </w:r>
      <w:r w:rsidR="002261CB">
        <w:rPr>
          <w:rFonts w:cstheme="minorHAnsi"/>
          <w:szCs w:val="22"/>
        </w:rPr>
        <w:t>c</w:t>
      </w:r>
      <w:r w:rsidRPr="000B47F1">
        <w:rPr>
          <w:rFonts w:cstheme="minorHAnsi"/>
          <w:szCs w:val="22"/>
        </w:rPr>
        <w:t xml:space="preserve">omprehensive </w:t>
      </w:r>
      <w:r w:rsidR="002261CB">
        <w:rPr>
          <w:rFonts w:cstheme="minorHAnsi"/>
          <w:szCs w:val="22"/>
        </w:rPr>
        <w:t>s</w:t>
      </w:r>
      <w:r w:rsidRPr="000B47F1">
        <w:rPr>
          <w:rFonts w:cstheme="minorHAnsi"/>
          <w:szCs w:val="22"/>
        </w:rPr>
        <w:t xml:space="preserve">ubmission </w:t>
      </w:r>
      <w:r w:rsidRPr="000B47F1">
        <w:rPr>
          <w:rFonts w:cstheme="minorHAnsi"/>
          <w:b/>
          <w:bCs/>
          <w:szCs w:val="22"/>
          <w:u w:val="single"/>
        </w:rPr>
        <w:t>PRIOR</w:t>
      </w:r>
      <w:r w:rsidRPr="000B47F1">
        <w:rPr>
          <w:rFonts w:cstheme="minorHAnsi"/>
          <w:szCs w:val="22"/>
        </w:rPr>
        <w:t xml:space="preserve"> to the offer being made to the applicant.</w:t>
      </w:r>
    </w:p>
    <w:p w14:paraId="1A42E7B0" w14:textId="5AF6B4EA" w:rsidR="000B47F1" w:rsidRDefault="000B47F1" w:rsidP="000B47F1">
      <w:pPr>
        <w:pStyle w:val="Heading3"/>
      </w:pPr>
      <w:bookmarkStart w:id="43" w:name="_Toc163155613"/>
      <w:r>
        <w:t>Offering an ARIn as Part of a Job Offer</w:t>
      </w:r>
      <w:bookmarkEnd w:id="43"/>
    </w:p>
    <w:tbl>
      <w:tblPr>
        <w:tblStyle w:val="TableGrid"/>
        <w:tblW w:w="0" w:type="auto"/>
        <w:tblLook w:val="04A0" w:firstRow="1" w:lastRow="0" w:firstColumn="1" w:lastColumn="0" w:noHBand="0" w:noVBand="1"/>
      </w:tblPr>
      <w:tblGrid>
        <w:gridCol w:w="9629"/>
      </w:tblGrid>
      <w:tr w:rsidR="00E7303A" w14:paraId="0C73E35E" w14:textId="77777777" w:rsidTr="00E7303A">
        <w:tc>
          <w:tcPr>
            <w:tcW w:w="9629" w:type="dxa"/>
          </w:tcPr>
          <w:p w14:paraId="74020482" w14:textId="07AEE0E7" w:rsidR="00E7303A" w:rsidRPr="00E7303A" w:rsidRDefault="00E7303A" w:rsidP="00E7303A">
            <w:pPr>
              <w:pStyle w:val="Bullet1"/>
              <w:numPr>
                <w:ilvl w:val="0"/>
                <w:numId w:val="0"/>
              </w:numPr>
              <w:ind w:left="720"/>
              <w:rPr>
                <w:rFonts w:cstheme="minorHAnsi"/>
                <w:b/>
                <w:bCs/>
                <w:sz w:val="24"/>
                <w:szCs w:val="24"/>
              </w:rPr>
            </w:pPr>
            <w:r w:rsidRPr="000B47F1">
              <w:rPr>
                <w:rFonts w:cstheme="minorHAnsi"/>
                <w:b/>
                <w:bCs/>
                <w:sz w:val="24"/>
                <w:szCs w:val="24"/>
              </w:rPr>
              <w:t xml:space="preserve">It is imperative that no offer or commitment is made to the applicant prior to receiving Director-General approval and the Head of Service reviewing the </w:t>
            </w:r>
            <w:r>
              <w:rPr>
                <w:rFonts w:cstheme="minorHAnsi"/>
                <w:b/>
                <w:bCs/>
                <w:sz w:val="24"/>
                <w:szCs w:val="24"/>
              </w:rPr>
              <w:t>c</w:t>
            </w:r>
            <w:r w:rsidRPr="000B47F1">
              <w:rPr>
                <w:rFonts w:cstheme="minorHAnsi"/>
                <w:b/>
                <w:bCs/>
                <w:sz w:val="24"/>
                <w:szCs w:val="24"/>
              </w:rPr>
              <w:t xml:space="preserve">omprehensive </w:t>
            </w:r>
            <w:r>
              <w:rPr>
                <w:rFonts w:cstheme="minorHAnsi"/>
                <w:b/>
                <w:bCs/>
                <w:sz w:val="24"/>
                <w:szCs w:val="24"/>
              </w:rPr>
              <w:t>s</w:t>
            </w:r>
            <w:r w:rsidRPr="000B47F1">
              <w:rPr>
                <w:rFonts w:cstheme="minorHAnsi"/>
                <w:b/>
                <w:bCs/>
                <w:sz w:val="24"/>
                <w:szCs w:val="24"/>
              </w:rPr>
              <w:t>ubmission.</w:t>
            </w:r>
          </w:p>
        </w:tc>
      </w:tr>
    </w:tbl>
    <w:p w14:paraId="61C5DB92" w14:textId="0BDEEE1A" w:rsidR="000B47F1" w:rsidRPr="000B47F1" w:rsidRDefault="000B47F1" w:rsidP="002B6EE5">
      <w:pPr>
        <w:pStyle w:val="ListParagraph"/>
        <w:numPr>
          <w:ilvl w:val="0"/>
          <w:numId w:val="25"/>
        </w:numPr>
        <w:ind w:left="714" w:hanging="357"/>
        <w:rPr>
          <w:szCs w:val="22"/>
        </w:rPr>
      </w:pPr>
      <w:r w:rsidRPr="000B47F1">
        <w:rPr>
          <w:szCs w:val="22"/>
        </w:rPr>
        <w:t xml:space="preserve">An ARIn may still be proposed to a successful applicant, even if the advertisement did not state that one was available. Again, in these circumstances approval is required through a </w:t>
      </w:r>
      <w:r w:rsidR="002261CB">
        <w:rPr>
          <w:szCs w:val="22"/>
        </w:rPr>
        <w:t>c</w:t>
      </w:r>
      <w:r w:rsidRPr="000B47F1">
        <w:rPr>
          <w:szCs w:val="22"/>
        </w:rPr>
        <w:t xml:space="preserve">omprehensive </w:t>
      </w:r>
      <w:r w:rsidR="002261CB">
        <w:rPr>
          <w:szCs w:val="22"/>
        </w:rPr>
        <w:t>s</w:t>
      </w:r>
      <w:r w:rsidRPr="000B47F1">
        <w:rPr>
          <w:szCs w:val="22"/>
        </w:rPr>
        <w:t xml:space="preserve">ubmission </w:t>
      </w:r>
      <w:r w:rsidRPr="000B47F1">
        <w:rPr>
          <w:b/>
          <w:bCs/>
          <w:szCs w:val="22"/>
          <w:u w:val="single"/>
        </w:rPr>
        <w:t>PRIOR</w:t>
      </w:r>
      <w:r w:rsidRPr="000B47F1">
        <w:rPr>
          <w:szCs w:val="22"/>
        </w:rPr>
        <w:t xml:space="preserve"> to the offer being made to the applicant.</w:t>
      </w:r>
    </w:p>
    <w:p w14:paraId="7E854B00" w14:textId="77777777" w:rsidR="000B47F1" w:rsidRPr="000B47F1" w:rsidRDefault="000B47F1" w:rsidP="002B6EE5">
      <w:pPr>
        <w:pStyle w:val="Bullet1"/>
        <w:numPr>
          <w:ilvl w:val="0"/>
          <w:numId w:val="25"/>
        </w:numPr>
        <w:spacing w:before="200" w:after="200"/>
        <w:ind w:left="714" w:hanging="357"/>
        <w:rPr>
          <w:rFonts w:cstheme="minorHAnsi"/>
          <w:sz w:val="22"/>
          <w:szCs w:val="22"/>
        </w:rPr>
      </w:pPr>
      <w:r w:rsidRPr="000B47F1">
        <w:rPr>
          <w:rFonts w:cstheme="minorHAnsi"/>
          <w:sz w:val="22"/>
          <w:szCs w:val="22"/>
        </w:rPr>
        <w:t>It is essential that directorates anticipate the required time for Director-General approval and the Head of Service review process to occur within their recruitment process timeline. It is recommended that a two week period is allowed for Head of Service consideration.</w:t>
      </w:r>
    </w:p>
    <w:p w14:paraId="5FE1E545" w14:textId="45CD1FDB" w:rsidR="000B47F1" w:rsidRDefault="005B5DF3" w:rsidP="005B5DF3">
      <w:pPr>
        <w:pStyle w:val="Heading3"/>
      </w:pPr>
      <w:bookmarkStart w:id="44" w:name="_Toc163155614"/>
      <w:r>
        <w:t>Advertising Positions Covered by a Group ARIn</w:t>
      </w:r>
      <w:bookmarkEnd w:id="44"/>
    </w:p>
    <w:p w14:paraId="733BDDE5" w14:textId="6B2581BB" w:rsidR="005B5DF3" w:rsidRPr="005B5DF3" w:rsidRDefault="005B5DF3" w:rsidP="002B6EE5">
      <w:pPr>
        <w:pStyle w:val="Bullet1"/>
        <w:numPr>
          <w:ilvl w:val="0"/>
          <w:numId w:val="25"/>
        </w:numPr>
        <w:spacing w:before="200" w:after="200"/>
        <w:ind w:left="714" w:hanging="357"/>
        <w:rPr>
          <w:sz w:val="22"/>
          <w:szCs w:val="22"/>
        </w:rPr>
      </w:pPr>
      <w:r w:rsidRPr="005B5DF3">
        <w:rPr>
          <w:sz w:val="22"/>
          <w:szCs w:val="22"/>
        </w:rPr>
        <w:t xml:space="preserve">When a position to be advertised is covered by a current Group ARIn, there is no need for a further </w:t>
      </w:r>
      <w:r w:rsidR="002261CB">
        <w:rPr>
          <w:sz w:val="22"/>
          <w:szCs w:val="22"/>
        </w:rPr>
        <w:t>c</w:t>
      </w:r>
      <w:r w:rsidRPr="005B5DF3">
        <w:rPr>
          <w:sz w:val="22"/>
          <w:szCs w:val="22"/>
        </w:rPr>
        <w:t xml:space="preserve">omprehensive </w:t>
      </w:r>
      <w:r w:rsidR="002261CB">
        <w:rPr>
          <w:sz w:val="22"/>
          <w:szCs w:val="22"/>
        </w:rPr>
        <w:t>s</w:t>
      </w:r>
      <w:r w:rsidRPr="005B5DF3">
        <w:rPr>
          <w:sz w:val="22"/>
          <w:szCs w:val="22"/>
        </w:rPr>
        <w:t>ubmission (as it has already been completed as part of the Group ARIn process).</w:t>
      </w:r>
    </w:p>
    <w:p w14:paraId="5ABC81D1" w14:textId="6CF1DF10" w:rsidR="005B5DF3" w:rsidRDefault="005B5DF3" w:rsidP="002B6EE5">
      <w:pPr>
        <w:pStyle w:val="Bullet1"/>
        <w:numPr>
          <w:ilvl w:val="0"/>
          <w:numId w:val="25"/>
        </w:numPr>
        <w:spacing w:before="200" w:after="200"/>
        <w:ind w:left="714" w:hanging="357"/>
        <w:rPr>
          <w:sz w:val="22"/>
          <w:szCs w:val="22"/>
        </w:rPr>
      </w:pPr>
      <w:r w:rsidRPr="005B5DF3">
        <w:rPr>
          <w:sz w:val="22"/>
          <w:szCs w:val="22"/>
        </w:rPr>
        <w:t>The recruitment advertisement, however, should state the package at the higher value, comprising the relevant Agreement rate of pay plus the identified ARIn amount, and include the appropriate advice to the prospective employee that an ARIn is a discretionary arrangement (in accordance with Annex B1.4 in the relevant Agreement).</w:t>
      </w:r>
    </w:p>
    <w:tbl>
      <w:tblPr>
        <w:tblStyle w:val="TableGrid"/>
        <w:tblW w:w="0" w:type="auto"/>
        <w:tblInd w:w="284" w:type="dxa"/>
        <w:tblLook w:val="04A0" w:firstRow="1" w:lastRow="0" w:firstColumn="1" w:lastColumn="0" w:noHBand="0" w:noVBand="1"/>
      </w:tblPr>
      <w:tblGrid>
        <w:gridCol w:w="9345"/>
      </w:tblGrid>
      <w:tr w:rsidR="00E7303A" w14:paraId="22E7666A" w14:textId="77777777" w:rsidTr="00E7303A">
        <w:tc>
          <w:tcPr>
            <w:tcW w:w="9629" w:type="dxa"/>
          </w:tcPr>
          <w:p w14:paraId="65AEF7DA" w14:textId="77777777" w:rsidR="00E7303A" w:rsidRPr="00BD6D14" w:rsidRDefault="00E7303A" w:rsidP="00E7303A">
            <w:pPr>
              <w:pStyle w:val="Heading4"/>
            </w:pPr>
            <w:r w:rsidRPr="00BD6D14">
              <w:lastRenderedPageBreak/>
              <w:t>Suggested Group ARIn Recruitment Wording</w:t>
            </w:r>
          </w:p>
          <w:p w14:paraId="04675611" w14:textId="77777777" w:rsidR="00E7303A" w:rsidRPr="00D04BDF" w:rsidRDefault="00E7303A" w:rsidP="00E7303A">
            <w:pPr>
              <w:rPr>
                <w:i/>
                <w:iCs/>
              </w:rPr>
            </w:pPr>
            <w:r w:rsidRPr="00D04BDF">
              <w:rPr>
                <w:i/>
                <w:iCs/>
                <w:sz w:val="24"/>
                <w:szCs w:val="24"/>
              </w:rPr>
              <w:t>The successful applicant(s) to this position may be eligible for a Group Attraction and Retention Incentive (ARIn) of $ (insert relevant amount). The ARIn is reviewed at the midpoint of the relevant Enterprise Agreement term, where the ARIn may be terminated or adjusted under the terms of the ARIn policy. To continue payment, the ARIn must continue to meet the eligibility criteria as outlined in the ARIn framework.</w:t>
            </w:r>
          </w:p>
          <w:p w14:paraId="60792759" w14:textId="77777777" w:rsidR="00E7303A" w:rsidRDefault="00E7303A" w:rsidP="00E7303A">
            <w:pPr>
              <w:pStyle w:val="Bullet1"/>
              <w:numPr>
                <w:ilvl w:val="0"/>
                <w:numId w:val="0"/>
              </w:numPr>
              <w:spacing w:before="0" w:after="60" w:line="240" w:lineRule="auto"/>
              <w:rPr>
                <w:sz w:val="22"/>
                <w:szCs w:val="22"/>
              </w:rPr>
            </w:pPr>
          </w:p>
        </w:tc>
      </w:tr>
    </w:tbl>
    <w:p w14:paraId="4A962C5B" w14:textId="0B5D84EC" w:rsidR="00E7303A" w:rsidRPr="005B5DF3" w:rsidRDefault="00E7303A" w:rsidP="00E7303A">
      <w:pPr>
        <w:pStyle w:val="Bullet1"/>
        <w:numPr>
          <w:ilvl w:val="0"/>
          <w:numId w:val="0"/>
        </w:numPr>
        <w:spacing w:before="0" w:after="60" w:line="240" w:lineRule="auto"/>
        <w:rPr>
          <w:sz w:val="22"/>
          <w:szCs w:val="22"/>
        </w:rPr>
      </w:pPr>
    </w:p>
    <w:p w14:paraId="1EC3CAB9" w14:textId="411A163D" w:rsidR="005B5DF3" w:rsidRDefault="005B5DF3" w:rsidP="005B5DF3">
      <w:pPr>
        <w:pStyle w:val="Heading3"/>
      </w:pPr>
      <w:bookmarkStart w:id="45" w:name="_Toc163155615"/>
      <w:r>
        <w:t>Making Formal Offers with an ARIn Included</w:t>
      </w:r>
      <w:bookmarkEnd w:id="45"/>
    </w:p>
    <w:p w14:paraId="2FAB05D4" w14:textId="6FD10D76" w:rsidR="005B5DF3" w:rsidRPr="005B5DF3" w:rsidRDefault="005B5DF3" w:rsidP="002B6EE5">
      <w:pPr>
        <w:pStyle w:val="Bullet1"/>
        <w:numPr>
          <w:ilvl w:val="0"/>
          <w:numId w:val="25"/>
        </w:numPr>
        <w:spacing w:before="200" w:after="200"/>
        <w:ind w:left="714" w:hanging="357"/>
        <w:rPr>
          <w:sz w:val="22"/>
          <w:szCs w:val="22"/>
        </w:rPr>
      </w:pPr>
      <w:r w:rsidRPr="005B5DF3">
        <w:rPr>
          <w:sz w:val="22"/>
          <w:szCs w:val="22"/>
        </w:rPr>
        <w:t>The formal offer of an ARIn to the employee is made by the Director-General.</w:t>
      </w:r>
    </w:p>
    <w:p w14:paraId="4F0B5614" w14:textId="55F3F7FE" w:rsidR="005B5DF3" w:rsidRPr="005B5DF3" w:rsidRDefault="005B5DF3" w:rsidP="002B6EE5">
      <w:pPr>
        <w:pStyle w:val="Bullet1"/>
        <w:numPr>
          <w:ilvl w:val="0"/>
          <w:numId w:val="25"/>
        </w:numPr>
        <w:spacing w:before="200" w:after="200"/>
        <w:ind w:left="714" w:hanging="357"/>
        <w:rPr>
          <w:sz w:val="22"/>
          <w:szCs w:val="22"/>
        </w:rPr>
      </w:pPr>
      <w:r w:rsidRPr="005B5DF3">
        <w:rPr>
          <w:sz w:val="22"/>
          <w:szCs w:val="22"/>
        </w:rPr>
        <w:t xml:space="preserve">Selection panels should not commence negotiating starting salaries or other conditions of service which would require an ARIn without the </w:t>
      </w:r>
      <w:r w:rsidR="002261CB">
        <w:rPr>
          <w:sz w:val="22"/>
          <w:szCs w:val="22"/>
        </w:rPr>
        <w:t>c</w:t>
      </w:r>
      <w:r w:rsidRPr="005B5DF3">
        <w:rPr>
          <w:sz w:val="22"/>
          <w:szCs w:val="22"/>
        </w:rPr>
        <w:t>omprehensive Submission process to the Head of Service being completed.</w:t>
      </w:r>
    </w:p>
    <w:p w14:paraId="72EF2DDA" w14:textId="08E5E5F3" w:rsidR="005B5DF3" w:rsidRPr="005B5DF3" w:rsidRDefault="005B5DF3" w:rsidP="005B5DF3">
      <w:pPr>
        <w:ind w:left="360"/>
      </w:pPr>
    </w:p>
    <w:p w14:paraId="4E25E822" w14:textId="049FCF34" w:rsidR="005B5DF3" w:rsidRDefault="005B5DF3">
      <w:pPr>
        <w:spacing w:before="0" w:after="160" w:line="259" w:lineRule="auto"/>
        <w:rPr>
          <w:szCs w:val="22"/>
        </w:rPr>
      </w:pPr>
      <w:r>
        <w:rPr>
          <w:szCs w:val="22"/>
        </w:rPr>
        <w:br w:type="page"/>
      </w:r>
    </w:p>
    <w:p w14:paraId="01DCBF28" w14:textId="206B84F9" w:rsidR="000B47F1" w:rsidRDefault="005B5DF3" w:rsidP="005B5DF3">
      <w:pPr>
        <w:pStyle w:val="Heading2"/>
      </w:pPr>
      <w:bookmarkStart w:id="46" w:name="_Toc163155616"/>
      <w:r>
        <w:lastRenderedPageBreak/>
        <w:t>Appendix 3: Group ARIns</w:t>
      </w:r>
      <w:bookmarkEnd w:id="46"/>
    </w:p>
    <w:p w14:paraId="3B80E86B" w14:textId="258649FC" w:rsidR="005B5DF3" w:rsidRDefault="005B5DF3" w:rsidP="005B5DF3">
      <w:pPr>
        <w:pStyle w:val="Heading3"/>
      </w:pPr>
      <w:bookmarkStart w:id="47" w:name="_Toc163155617"/>
      <w:r>
        <w:t>Group ARIns</w:t>
      </w:r>
      <w:bookmarkEnd w:id="47"/>
    </w:p>
    <w:p w14:paraId="2E5CD627" w14:textId="434089E6" w:rsidR="005B5DF3" w:rsidRPr="005B5DF3" w:rsidRDefault="005B5DF3" w:rsidP="002B6EE5">
      <w:pPr>
        <w:pStyle w:val="Bullet1"/>
        <w:numPr>
          <w:ilvl w:val="0"/>
          <w:numId w:val="34"/>
        </w:numPr>
        <w:spacing w:before="200" w:after="200"/>
        <w:ind w:left="714" w:hanging="357"/>
        <w:rPr>
          <w:sz w:val="22"/>
          <w:szCs w:val="22"/>
        </w:rPr>
      </w:pPr>
      <w:r w:rsidRPr="005B5DF3">
        <w:rPr>
          <w:sz w:val="22"/>
          <w:szCs w:val="22"/>
        </w:rPr>
        <w:t xml:space="preserve">In certain circumstances the Head of Service may determine that a group of employees who are covered by an Enterprise Agreement and who occupy </w:t>
      </w:r>
      <w:r w:rsidR="00387882">
        <w:rPr>
          <w:sz w:val="22"/>
          <w:szCs w:val="22"/>
        </w:rPr>
        <w:t xml:space="preserve">identical functions at the same classification level </w:t>
      </w:r>
      <w:r w:rsidRPr="005B5DF3">
        <w:rPr>
          <w:sz w:val="22"/>
          <w:szCs w:val="22"/>
        </w:rPr>
        <w:t>should be provided with identical ARIns. This can be done utilising a Group ARIn. Further information regarding Groups ARIns can be found under Annex B 6.14 of the Agreement.</w:t>
      </w:r>
    </w:p>
    <w:p w14:paraId="3A9056FB" w14:textId="76339971" w:rsidR="005B5DF3" w:rsidRPr="005B5DF3" w:rsidRDefault="005B5DF3" w:rsidP="002B6EE5">
      <w:pPr>
        <w:pStyle w:val="Bullet1"/>
        <w:numPr>
          <w:ilvl w:val="0"/>
          <w:numId w:val="34"/>
        </w:numPr>
        <w:spacing w:before="200" w:after="200"/>
        <w:ind w:left="714" w:hanging="357"/>
        <w:rPr>
          <w:sz w:val="22"/>
          <w:szCs w:val="22"/>
        </w:rPr>
      </w:pPr>
      <w:r w:rsidRPr="005B5DF3">
        <w:rPr>
          <w:sz w:val="22"/>
          <w:szCs w:val="22"/>
        </w:rPr>
        <w:t xml:space="preserve">Rather than provide approvals for multiple single ARIns which contain identical terms and conditions, the Director-General may request for a Group ARIn to be applied to an identified group of positions which have the same classification and role. In such circumstances, a single </w:t>
      </w:r>
      <w:r w:rsidR="002261CB">
        <w:rPr>
          <w:sz w:val="22"/>
          <w:szCs w:val="22"/>
        </w:rPr>
        <w:t>c</w:t>
      </w:r>
      <w:r w:rsidRPr="005B5DF3">
        <w:rPr>
          <w:sz w:val="22"/>
          <w:szCs w:val="22"/>
        </w:rPr>
        <w:t xml:space="preserve">omprehensive </w:t>
      </w:r>
      <w:r w:rsidR="002261CB">
        <w:rPr>
          <w:sz w:val="22"/>
          <w:szCs w:val="22"/>
        </w:rPr>
        <w:t>s</w:t>
      </w:r>
      <w:r w:rsidRPr="005B5DF3">
        <w:rPr>
          <w:sz w:val="22"/>
          <w:szCs w:val="22"/>
        </w:rPr>
        <w:t>ubmission to the Head of Service, which addresses how the group of positions satisfies the eligibility criteria in the framework, is required.</w:t>
      </w:r>
    </w:p>
    <w:p w14:paraId="4E65B998" w14:textId="77777777" w:rsidR="005B5DF3" w:rsidRPr="005B5DF3" w:rsidRDefault="005B5DF3" w:rsidP="002B6EE5">
      <w:pPr>
        <w:pStyle w:val="Bullet1"/>
        <w:numPr>
          <w:ilvl w:val="0"/>
          <w:numId w:val="34"/>
        </w:numPr>
        <w:spacing w:before="200" w:after="200"/>
        <w:ind w:left="714" w:hanging="357"/>
        <w:rPr>
          <w:sz w:val="22"/>
          <w:szCs w:val="22"/>
        </w:rPr>
      </w:pPr>
      <w:r w:rsidRPr="005B5DF3">
        <w:rPr>
          <w:sz w:val="22"/>
          <w:szCs w:val="22"/>
        </w:rPr>
        <w:t>If the Head of Service endorses the proposal, the Director-General may enter into subsequent individual ARIn contracts in the same terms with employees who fill positions covered by the scope of the Group ARIn. This may be current or prospective positions or occupants.</w:t>
      </w:r>
    </w:p>
    <w:p w14:paraId="2F8DD0F7" w14:textId="091F7DBA" w:rsidR="005B5DF3" w:rsidRPr="005B5DF3" w:rsidRDefault="005B5DF3" w:rsidP="002B6EE5">
      <w:pPr>
        <w:pStyle w:val="Bullet1"/>
        <w:numPr>
          <w:ilvl w:val="0"/>
          <w:numId w:val="34"/>
        </w:numPr>
        <w:spacing w:before="200" w:after="200"/>
        <w:ind w:left="714" w:hanging="357"/>
        <w:rPr>
          <w:sz w:val="22"/>
          <w:szCs w:val="22"/>
        </w:rPr>
      </w:pPr>
      <w:r w:rsidRPr="005B5DF3">
        <w:rPr>
          <w:sz w:val="22"/>
          <w:szCs w:val="22"/>
        </w:rPr>
        <w:t xml:space="preserve">The Director-General is </w:t>
      </w:r>
      <w:r w:rsidRPr="005B5DF3">
        <w:rPr>
          <w:sz w:val="22"/>
          <w:szCs w:val="22"/>
          <w:u w:val="single"/>
        </w:rPr>
        <w:t>not</w:t>
      </w:r>
      <w:r w:rsidRPr="005B5DF3">
        <w:rPr>
          <w:sz w:val="22"/>
          <w:szCs w:val="22"/>
        </w:rPr>
        <w:t xml:space="preserve"> required to make further submissions to the Head of Service before entering into an individual ARIn </w:t>
      </w:r>
      <w:r w:rsidR="00106D73">
        <w:rPr>
          <w:sz w:val="22"/>
          <w:szCs w:val="22"/>
        </w:rPr>
        <w:t>c</w:t>
      </w:r>
      <w:r w:rsidR="00387882">
        <w:rPr>
          <w:sz w:val="22"/>
          <w:szCs w:val="22"/>
        </w:rPr>
        <w:t xml:space="preserve">ontract </w:t>
      </w:r>
      <w:r w:rsidRPr="005B5DF3">
        <w:rPr>
          <w:sz w:val="22"/>
          <w:szCs w:val="22"/>
        </w:rPr>
        <w:t>with an employee covered by the scope of the Group ARIn, if the ARIn meets the criteria covered under the Group ARIn approval.</w:t>
      </w:r>
    </w:p>
    <w:p w14:paraId="6E9657EA" w14:textId="77777777" w:rsidR="005B5DF3" w:rsidRPr="005B5DF3" w:rsidRDefault="005B5DF3" w:rsidP="002B6EE5">
      <w:pPr>
        <w:pStyle w:val="Bullet1"/>
        <w:numPr>
          <w:ilvl w:val="0"/>
          <w:numId w:val="34"/>
        </w:numPr>
        <w:spacing w:before="200" w:after="200"/>
        <w:ind w:left="714" w:hanging="357"/>
        <w:rPr>
          <w:sz w:val="22"/>
          <w:szCs w:val="22"/>
        </w:rPr>
      </w:pPr>
      <w:r w:rsidRPr="005B5DF3">
        <w:rPr>
          <w:sz w:val="22"/>
          <w:szCs w:val="22"/>
        </w:rPr>
        <w:t xml:space="preserve">The Director-General is </w:t>
      </w:r>
      <w:r w:rsidRPr="005B5DF3">
        <w:rPr>
          <w:sz w:val="22"/>
          <w:szCs w:val="22"/>
          <w:u w:val="single"/>
        </w:rPr>
        <w:t xml:space="preserve">not </w:t>
      </w:r>
      <w:r w:rsidRPr="005B5DF3">
        <w:rPr>
          <w:sz w:val="22"/>
          <w:szCs w:val="22"/>
        </w:rPr>
        <w:t>required to make further submissions to the Head of Service prior to advertising a position covered by the scope of the Group Approval.</w:t>
      </w:r>
    </w:p>
    <w:p w14:paraId="18B79117" w14:textId="77777777" w:rsidR="005B5DF3" w:rsidRPr="005B5DF3" w:rsidRDefault="005B5DF3" w:rsidP="002B6EE5">
      <w:pPr>
        <w:pStyle w:val="Bullet1"/>
        <w:numPr>
          <w:ilvl w:val="0"/>
          <w:numId w:val="34"/>
        </w:numPr>
        <w:spacing w:before="200" w:after="200"/>
        <w:ind w:left="714" w:hanging="357"/>
        <w:rPr>
          <w:sz w:val="22"/>
          <w:szCs w:val="22"/>
        </w:rPr>
      </w:pPr>
      <w:r w:rsidRPr="005B5DF3">
        <w:rPr>
          <w:sz w:val="22"/>
          <w:szCs w:val="22"/>
        </w:rPr>
        <w:t>The characteristics of Group ARIns are:</w:t>
      </w:r>
    </w:p>
    <w:p w14:paraId="69920784" w14:textId="631E0734" w:rsidR="005B5DF3" w:rsidRPr="005B5DF3" w:rsidRDefault="005B5DF3" w:rsidP="002B6EE5">
      <w:pPr>
        <w:pStyle w:val="Bullet1"/>
        <w:numPr>
          <w:ilvl w:val="1"/>
          <w:numId w:val="34"/>
        </w:numPr>
        <w:spacing w:line="240" w:lineRule="auto"/>
        <w:ind w:left="1491" w:hanging="357"/>
        <w:rPr>
          <w:sz w:val="22"/>
          <w:szCs w:val="22"/>
        </w:rPr>
      </w:pPr>
      <w:r w:rsidRPr="005B5DF3">
        <w:rPr>
          <w:sz w:val="22"/>
          <w:szCs w:val="22"/>
        </w:rPr>
        <w:t>Have a nominal term no longer than three years</w:t>
      </w:r>
      <w:r w:rsidR="00C274EB">
        <w:rPr>
          <w:sz w:val="22"/>
          <w:szCs w:val="22"/>
        </w:rPr>
        <w:t>;</w:t>
      </w:r>
    </w:p>
    <w:p w14:paraId="0C12584E" w14:textId="7BF5C212" w:rsidR="005B5DF3" w:rsidRPr="005B5DF3" w:rsidRDefault="005B5DF3" w:rsidP="002B6EE5">
      <w:pPr>
        <w:pStyle w:val="Bullet1"/>
        <w:numPr>
          <w:ilvl w:val="1"/>
          <w:numId w:val="34"/>
        </w:numPr>
        <w:spacing w:line="240" w:lineRule="auto"/>
        <w:ind w:left="1491" w:hanging="357"/>
        <w:rPr>
          <w:sz w:val="22"/>
          <w:szCs w:val="22"/>
        </w:rPr>
      </w:pPr>
      <w:r w:rsidRPr="005B5DF3">
        <w:rPr>
          <w:sz w:val="22"/>
          <w:szCs w:val="22"/>
        </w:rPr>
        <w:t>The ARIns expire on the date specified in the Group Approval (up to 36 months from commencement) or an earlier date expressed in the ARIn</w:t>
      </w:r>
      <w:r w:rsidR="00387882">
        <w:rPr>
          <w:sz w:val="22"/>
          <w:szCs w:val="22"/>
        </w:rPr>
        <w:t xml:space="preserve"> contract</w:t>
      </w:r>
      <w:r w:rsidRPr="005B5DF3">
        <w:rPr>
          <w:sz w:val="22"/>
          <w:szCs w:val="22"/>
        </w:rPr>
        <w:t xml:space="preserve"> themselves, unless they are continued through a </w:t>
      </w:r>
      <w:r w:rsidR="00D04BDF">
        <w:rPr>
          <w:sz w:val="22"/>
          <w:szCs w:val="22"/>
        </w:rPr>
        <w:t>c</w:t>
      </w:r>
      <w:r w:rsidRPr="005B5DF3">
        <w:rPr>
          <w:sz w:val="22"/>
          <w:szCs w:val="22"/>
        </w:rPr>
        <w:t xml:space="preserve">omprehensive </w:t>
      </w:r>
      <w:r w:rsidR="00D04BDF">
        <w:rPr>
          <w:sz w:val="22"/>
          <w:szCs w:val="22"/>
        </w:rPr>
        <w:t>s</w:t>
      </w:r>
      <w:r w:rsidRPr="005B5DF3">
        <w:rPr>
          <w:sz w:val="22"/>
          <w:szCs w:val="22"/>
        </w:rPr>
        <w:t xml:space="preserve">ubmission </w:t>
      </w:r>
      <w:r w:rsidR="00D04BDF">
        <w:rPr>
          <w:sz w:val="22"/>
          <w:szCs w:val="22"/>
        </w:rPr>
        <w:t>r</w:t>
      </w:r>
      <w:r w:rsidRPr="005B5DF3">
        <w:rPr>
          <w:sz w:val="22"/>
          <w:szCs w:val="22"/>
        </w:rPr>
        <w:t>eview</w:t>
      </w:r>
      <w:r w:rsidR="00C274EB">
        <w:rPr>
          <w:sz w:val="22"/>
          <w:szCs w:val="22"/>
        </w:rPr>
        <w:t>;</w:t>
      </w:r>
    </w:p>
    <w:p w14:paraId="36D24D5A" w14:textId="5B8D0084" w:rsidR="005B5DF3" w:rsidRPr="005B5DF3" w:rsidRDefault="005B5DF3" w:rsidP="002B6EE5">
      <w:pPr>
        <w:pStyle w:val="Bullet1"/>
        <w:numPr>
          <w:ilvl w:val="1"/>
          <w:numId w:val="34"/>
        </w:numPr>
        <w:spacing w:line="240" w:lineRule="auto"/>
        <w:ind w:left="1491" w:hanging="357"/>
        <w:rPr>
          <w:sz w:val="22"/>
          <w:szCs w:val="22"/>
        </w:rPr>
      </w:pPr>
      <w:r w:rsidRPr="005B5DF3">
        <w:rPr>
          <w:sz w:val="22"/>
          <w:szCs w:val="22"/>
        </w:rPr>
        <w:t xml:space="preserve"> A </w:t>
      </w:r>
      <w:r w:rsidR="00813403">
        <w:rPr>
          <w:sz w:val="22"/>
          <w:szCs w:val="22"/>
        </w:rPr>
        <w:t>c</w:t>
      </w:r>
      <w:r w:rsidRPr="005B5DF3">
        <w:rPr>
          <w:sz w:val="22"/>
          <w:szCs w:val="22"/>
        </w:rPr>
        <w:t xml:space="preserve">omprehensive </w:t>
      </w:r>
      <w:r w:rsidR="00813403">
        <w:rPr>
          <w:sz w:val="22"/>
          <w:szCs w:val="22"/>
        </w:rPr>
        <w:t>s</w:t>
      </w:r>
      <w:r w:rsidRPr="005B5DF3">
        <w:rPr>
          <w:sz w:val="22"/>
          <w:szCs w:val="22"/>
        </w:rPr>
        <w:t>ubmission is required at the midpoint of the agreed term and prior to the nominal expiry of the Group ARIn</w:t>
      </w:r>
      <w:r w:rsidR="00C274EB">
        <w:rPr>
          <w:sz w:val="22"/>
          <w:szCs w:val="22"/>
        </w:rPr>
        <w:t>;</w:t>
      </w:r>
    </w:p>
    <w:p w14:paraId="3CEE4532" w14:textId="32B74F34" w:rsidR="005B5DF3" w:rsidRPr="005B5DF3" w:rsidRDefault="005B5DF3" w:rsidP="002B6EE5">
      <w:pPr>
        <w:pStyle w:val="Bullet1"/>
        <w:numPr>
          <w:ilvl w:val="1"/>
          <w:numId w:val="34"/>
        </w:numPr>
        <w:spacing w:line="240" w:lineRule="auto"/>
        <w:ind w:left="1491" w:hanging="357"/>
        <w:rPr>
          <w:sz w:val="22"/>
          <w:szCs w:val="22"/>
        </w:rPr>
      </w:pPr>
      <w:r w:rsidRPr="005B5DF3">
        <w:rPr>
          <w:sz w:val="22"/>
          <w:szCs w:val="22"/>
        </w:rPr>
        <w:t>All individual ARIn</w:t>
      </w:r>
      <w:r w:rsidR="00106D73">
        <w:rPr>
          <w:sz w:val="22"/>
          <w:szCs w:val="22"/>
        </w:rPr>
        <w:t xml:space="preserve"> contracts</w:t>
      </w:r>
      <w:r w:rsidRPr="005B5DF3">
        <w:rPr>
          <w:sz w:val="22"/>
          <w:szCs w:val="22"/>
        </w:rPr>
        <w:t xml:space="preserve"> made pursuant to a Group ARIn expire on a common date, notwithstanding they may have commenced at different times</w:t>
      </w:r>
      <w:r w:rsidR="00C274EB">
        <w:rPr>
          <w:sz w:val="22"/>
          <w:szCs w:val="22"/>
        </w:rPr>
        <w:t>; and</w:t>
      </w:r>
    </w:p>
    <w:p w14:paraId="72508B99" w14:textId="4C350C30" w:rsidR="00C274EB" w:rsidRPr="00D04BDF" w:rsidRDefault="005B5DF3" w:rsidP="00D04BDF">
      <w:pPr>
        <w:pStyle w:val="Bullet1"/>
        <w:numPr>
          <w:ilvl w:val="1"/>
          <w:numId w:val="34"/>
        </w:numPr>
        <w:spacing w:line="240" w:lineRule="auto"/>
        <w:ind w:left="1491" w:hanging="357"/>
        <w:rPr>
          <w:sz w:val="22"/>
          <w:szCs w:val="22"/>
        </w:rPr>
      </w:pPr>
      <w:r w:rsidRPr="005B5DF3">
        <w:rPr>
          <w:sz w:val="22"/>
          <w:szCs w:val="22"/>
        </w:rPr>
        <w:t xml:space="preserve">The midpoint review date for a Group ARIn is to be the midpoint of the agreed term. </w:t>
      </w:r>
    </w:p>
    <w:p w14:paraId="1BE15E4A" w14:textId="27049AD6" w:rsidR="005B5DF3" w:rsidRPr="005B5DF3" w:rsidRDefault="005B5DF3" w:rsidP="002B6EE5">
      <w:pPr>
        <w:pStyle w:val="Bullet1"/>
        <w:numPr>
          <w:ilvl w:val="0"/>
          <w:numId w:val="34"/>
        </w:numPr>
        <w:spacing w:before="200" w:after="200"/>
        <w:rPr>
          <w:sz w:val="22"/>
          <w:szCs w:val="22"/>
        </w:rPr>
      </w:pPr>
      <w:r w:rsidRPr="005B5DF3">
        <w:rPr>
          <w:sz w:val="22"/>
          <w:szCs w:val="22"/>
        </w:rPr>
        <w:t xml:space="preserve">It is the Directors-General responsibility to undertake a </w:t>
      </w:r>
      <w:r w:rsidR="002261CB">
        <w:rPr>
          <w:sz w:val="22"/>
          <w:szCs w:val="22"/>
        </w:rPr>
        <w:t>c</w:t>
      </w:r>
      <w:r w:rsidRPr="005B5DF3">
        <w:rPr>
          <w:sz w:val="22"/>
          <w:szCs w:val="22"/>
        </w:rPr>
        <w:t xml:space="preserve">omprehensive </w:t>
      </w:r>
      <w:r w:rsidR="002261CB">
        <w:rPr>
          <w:sz w:val="22"/>
          <w:szCs w:val="22"/>
        </w:rPr>
        <w:t>s</w:t>
      </w:r>
      <w:r w:rsidRPr="005B5DF3">
        <w:rPr>
          <w:sz w:val="22"/>
          <w:szCs w:val="22"/>
        </w:rPr>
        <w:t xml:space="preserve">ubmission review of all Group ARIns against the eligibility criteria and provide to the Head of Service for consideration prior to this date. </w:t>
      </w:r>
    </w:p>
    <w:p w14:paraId="52ED0F05" w14:textId="77777777" w:rsidR="005B5DF3" w:rsidRPr="005B5DF3" w:rsidRDefault="005B5DF3" w:rsidP="002B6EE5">
      <w:pPr>
        <w:pStyle w:val="Bullet1"/>
        <w:numPr>
          <w:ilvl w:val="0"/>
          <w:numId w:val="34"/>
        </w:numPr>
        <w:spacing w:before="200" w:after="200"/>
        <w:rPr>
          <w:sz w:val="22"/>
          <w:szCs w:val="22"/>
        </w:rPr>
      </w:pPr>
      <w:r w:rsidRPr="005B5DF3">
        <w:rPr>
          <w:sz w:val="22"/>
          <w:szCs w:val="22"/>
        </w:rPr>
        <w:t xml:space="preserve">To assist directorates in managing reviews, reports can be provided by emailing </w:t>
      </w:r>
      <w:hyperlink r:id="rId31" w:history="1">
        <w:r w:rsidRPr="005B5DF3">
          <w:rPr>
            <w:rStyle w:val="Hyperlink"/>
            <w:sz w:val="22"/>
            <w:szCs w:val="22"/>
          </w:rPr>
          <w:t>SSHRARIns@act.gov.au</w:t>
        </w:r>
      </w:hyperlink>
      <w:r w:rsidRPr="005B5DF3">
        <w:rPr>
          <w:sz w:val="22"/>
          <w:szCs w:val="22"/>
        </w:rPr>
        <w:t xml:space="preserve"> upon request.</w:t>
      </w:r>
    </w:p>
    <w:p w14:paraId="7CCC26E7" w14:textId="7778394F" w:rsidR="005B5DF3" w:rsidRDefault="005B5DF3" w:rsidP="002B6EE5">
      <w:r>
        <w:br w:type="page"/>
      </w:r>
    </w:p>
    <w:tbl>
      <w:tblPr>
        <w:tblStyle w:val="TableGrid"/>
        <w:tblpPr w:leftFromText="180" w:rightFromText="180" w:horzAnchor="margin" w:tblpY="900"/>
        <w:tblW w:w="9693" w:type="dxa"/>
        <w:tblLook w:val="04A0" w:firstRow="1" w:lastRow="0" w:firstColumn="1" w:lastColumn="0" w:noHBand="0" w:noVBand="1"/>
      </w:tblPr>
      <w:tblGrid>
        <w:gridCol w:w="4702"/>
        <w:gridCol w:w="4991"/>
      </w:tblGrid>
      <w:tr w:rsidR="005B5DF3" w14:paraId="7AA82DB2" w14:textId="77777777" w:rsidTr="004E2AD4">
        <w:trPr>
          <w:trHeight w:val="5719"/>
        </w:trPr>
        <w:tc>
          <w:tcPr>
            <w:tcW w:w="0" w:type="auto"/>
          </w:tcPr>
          <w:p w14:paraId="7B5F8A7F" w14:textId="77777777" w:rsidR="00106D73" w:rsidRDefault="005B5DF3" w:rsidP="005B5DF3">
            <w:pPr>
              <w:pStyle w:val="Bullet1"/>
              <w:numPr>
                <w:ilvl w:val="0"/>
                <w:numId w:val="0"/>
              </w:numPr>
              <w:ind w:left="720"/>
              <w:rPr>
                <w:b/>
                <w:bCs/>
                <w:i/>
                <w:sz w:val="22"/>
                <w:szCs w:val="22"/>
                <w:u w:val="single"/>
              </w:rPr>
            </w:pPr>
            <w:r w:rsidRPr="00C274EB">
              <w:rPr>
                <w:b/>
                <w:bCs/>
                <w:i/>
                <w:sz w:val="22"/>
                <w:szCs w:val="22"/>
                <w:u w:val="single"/>
              </w:rPr>
              <w:lastRenderedPageBreak/>
              <w:t>An employee moves out of or can no longer perform the role covered by the Group ARIn:</w:t>
            </w:r>
          </w:p>
          <w:p w14:paraId="732D6814" w14:textId="70580D9F" w:rsidR="005B5DF3" w:rsidRDefault="005B5DF3" w:rsidP="005B5DF3">
            <w:pPr>
              <w:pStyle w:val="Bullet1"/>
              <w:numPr>
                <w:ilvl w:val="0"/>
                <w:numId w:val="0"/>
              </w:numPr>
              <w:ind w:left="720"/>
              <w:rPr>
                <w:sz w:val="22"/>
                <w:szCs w:val="22"/>
              </w:rPr>
            </w:pPr>
            <w:r w:rsidRPr="00C274EB">
              <w:rPr>
                <w:sz w:val="22"/>
                <w:szCs w:val="22"/>
              </w:rPr>
              <w:t xml:space="preserve">The ARIn ceases on the basis the employee is no longer in a position or can no longer perform the role covered by the Group ARIn. </w:t>
            </w:r>
            <w:r w:rsidRPr="00C274EB">
              <w:rPr>
                <w:sz w:val="22"/>
                <w:szCs w:val="22"/>
              </w:rPr>
              <w:br/>
              <w:t>The Director-General may separately authorise an ARIn for a different role, but it would not be approved through the original Group ARIn process and would be treated in the same way as any other ARIn application.</w:t>
            </w:r>
          </w:p>
          <w:p w14:paraId="6FF8FFAF" w14:textId="359C43A7" w:rsidR="00106D73" w:rsidRPr="00C274EB" w:rsidRDefault="00106D73" w:rsidP="005B5DF3">
            <w:pPr>
              <w:pStyle w:val="Bullet1"/>
              <w:numPr>
                <w:ilvl w:val="0"/>
                <w:numId w:val="0"/>
              </w:numPr>
              <w:ind w:left="720"/>
              <w:rPr>
                <w:sz w:val="22"/>
                <w:szCs w:val="22"/>
              </w:rPr>
            </w:pPr>
            <w:r>
              <w:rPr>
                <w:sz w:val="22"/>
                <w:szCs w:val="22"/>
              </w:rPr>
              <w:t xml:space="preserve">A </w:t>
            </w:r>
            <w:hyperlink r:id="rId32" w:history="1">
              <w:r w:rsidRPr="00106D73">
                <w:rPr>
                  <w:rStyle w:val="Hyperlink"/>
                  <w:sz w:val="22"/>
                  <w:szCs w:val="22"/>
                </w:rPr>
                <w:t>cessation form</w:t>
              </w:r>
            </w:hyperlink>
            <w:r>
              <w:rPr>
                <w:sz w:val="22"/>
                <w:szCs w:val="22"/>
              </w:rPr>
              <w:t xml:space="preserve"> would need to be completed and forwarded to payroll.</w:t>
            </w:r>
          </w:p>
          <w:p w14:paraId="2FFEA97F" w14:textId="77777777" w:rsidR="005B5DF3" w:rsidRPr="00C274EB" w:rsidRDefault="005B5DF3" w:rsidP="005B5DF3">
            <w:pPr>
              <w:pStyle w:val="Bullet1"/>
              <w:numPr>
                <w:ilvl w:val="0"/>
                <w:numId w:val="0"/>
              </w:numPr>
              <w:ind w:left="720"/>
              <w:rPr>
                <w:sz w:val="22"/>
                <w:szCs w:val="22"/>
              </w:rPr>
            </w:pPr>
          </w:p>
        </w:tc>
        <w:tc>
          <w:tcPr>
            <w:tcW w:w="0" w:type="auto"/>
          </w:tcPr>
          <w:p w14:paraId="57B94C12" w14:textId="7B2A6B70" w:rsidR="005B5DF3" w:rsidRPr="00C274EB" w:rsidRDefault="005B5DF3" w:rsidP="002B6EE5">
            <w:pPr>
              <w:pStyle w:val="Bullet1"/>
              <w:numPr>
                <w:ilvl w:val="0"/>
                <w:numId w:val="0"/>
              </w:numPr>
              <w:ind w:left="720"/>
              <w:rPr>
                <w:sz w:val="22"/>
                <w:szCs w:val="22"/>
              </w:rPr>
            </w:pPr>
            <w:r w:rsidRPr="00C274EB">
              <w:rPr>
                <w:b/>
                <w:bCs/>
                <w:i/>
                <w:sz w:val="22"/>
                <w:szCs w:val="22"/>
                <w:u w:val="single"/>
              </w:rPr>
              <w:t>The role covered by a Group ARIn is no longer eligible for an ARIn</w:t>
            </w:r>
            <w:r w:rsidRPr="00C274EB">
              <w:rPr>
                <w:b/>
                <w:bCs/>
                <w:sz w:val="22"/>
                <w:szCs w:val="22"/>
                <w:u w:val="single"/>
              </w:rPr>
              <w:t>:</w:t>
            </w:r>
            <w:r w:rsidRPr="00C274EB">
              <w:rPr>
                <w:sz w:val="22"/>
                <w:szCs w:val="22"/>
              </w:rPr>
              <w:t xml:space="preserve"> </w:t>
            </w:r>
            <w:r w:rsidRPr="00C274EB">
              <w:rPr>
                <w:sz w:val="22"/>
                <w:szCs w:val="22"/>
              </w:rPr>
              <w:br/>
            </w:r>
            <w:r w:rsidRPr="00C274EB">
              <w:rPr>
                <w:sz w:val="22"/>
                <w:szCs w:val="22"/>
              </w:rPr>
              <w:br/>
              <w:t xml:space="preserve">The circumstances of the Group ARIn no longer satisfies the ARIn eligibility criteria. </w:t>
            </w:r>
            <w:r w:rsidRPr="00C274EB">
              <w:rPr>
                <w:sz w:val="22"/>
                <w:szCs w:val="22"/>
              </w:rPr>
              <w:br/>
              <w:t xml:space="preserve">In such circumstances, all ARIns made pursuant to the same Group ARIn will be ceased (for example, where a group of Physiotherapist positions previously met the ARIn criteria, but no longer do so). </w:t>
            </w:r>
            <w:r w:rsidRPr="00C274EB">
              <w:rPr>
                <w:sz w:val="22"/>
                <w:szCs w:val="22"/>
              </w:rPr>
              <w:br/>
              <w:t>The Director-General may authorise an ARIn for some of the roles formerly covered by the Group ARIn, but they would not be approved under the original Group ARIn process and would be treated in the same way as any other</w:t>
            </w:r>
            <w:r w:rsidR="00106D73">
              <w:rPr>
                <w:sz w:val="22"/>
                <w:szCs w:val="22"/>
              </w:rPr>
              <w:t xml:space="preserve"> individual</w:t>
            </w:r>
            <w:r w:rsidRPr="00C274EB">
              <w:rPr>
                <w:sz w:val="22"/>
                <w:szCs w:val="22"/>
              </w:rPr>
              <w:t xml:space="preserve"> ARIn application.</w:t>
            </w:r>
          </w:p>
        </w:tc>
      </w:tr>
      <w:tr w:rsidR="005B5DF3" w14:paraId="2170A4D0" w14:textId="77777777" w:rsidTr="004E2AD4">
        <w:trPr>
          <w:trHeight w:val="4747"/>
        </w:trPr>
        <w:tc>
          <w:tcPr>
            <w:tcW w:w="0" w:type="auto"/>
          </w:tcPr>
          <w:p w14:paraId="20EDF9BB" w14:textId="77777777" w:rsidR="005B5DF3" w:rsidRPr="00C274EB" w:rsidRDefault="005B5DF3" w:rsidP="005B5DF3">
            <w:pPr>
              <w:pStyle w:val="Bullet1"/>
              <w:numPr>
                <w:ilvl w:val="0"/>
                <w:numId w:val="0"/>
              </w:numPr>
              <w:ind w:left="720"/>
              <w:rPr>
                <w:sz w:val="22"/>
                <w:szCs w:val="22"/>
              </w:rPr>
            </w:pPr>
            <w:r w:rsidRPr="00C274EB">
              <w:rPr>
                <w:b/>
                <w:bCs/>
                <w:i/>
                <w:sz w:val="22"/>
                <w:szCs w:val="22"/>
                <w:u w:val="single"/>
              </w:rPr>
              <w:t>ARIn holder under a Group ARIn has additional circumstances which warrant different benefits to the Group ARIn:</w:t>
            </w:r>
            <w:r w:rsidRPr="00C274EB">
              <w:rPr>
                <w:sz w:val="22"/>
                <w:szCs w:val="22"/>
              </w:rPr>
              <w:t xml:space="preserve"> </w:t>
            </w:r>
            <w:r w:rsidRPr="00C274EB">
              <w:rPr>
                <w:sz w:val="22"/>
                <w:szCs w:val="22"/>
              </w:rPr>
              <w:br/>
            </w:r>
            <w:r w:rsidRPr="00C274EB">
              <w:rPr>
                <w:sz w:val="22"/>
                <w:szCs w:val="22"/>
              </w:rPr>
              <w:br/>
              <w:t xml:space="preserve">The need may arise for an employee under a Group ARIn to include different terms. This would be in circumstances where it is determined that an employee within the group warrants a different set of benefits than the rest of the group. </w:t>
            </w:r>
          </w:p>
          <w:p w14:paraId="5921EBC3" w14:textId="2A217969" w:rsidR="005B5DF3" w:rsidRPr="00C274EB" w:rsidRDefault="005B5DF3" w:rsidP="00D04BDF">
            <w:pPr>
              <w:pStyle w:val="Bullet1"/>
              <w:numPr>
                <w:ilvl w:val="0"/>
                <w:numId w:val="0"/>
              </w:numPr>
              <w:ind w:left="720"/>
              <w:rPr>
                <w:sz w:val="22"/>
                <w:szCs w:val="22"/>
              </w:rPr>
            </w:pPr>
            <w:r w:rsidRPr="00C274EB">
              <w:rPr>
                <w:sz w:val="22"/>
                <w:szCs w:val="22"/>
              </w:rPr>
              <w:t xml:space="preserve">In this case the ARIn ceases to be within the scope of the Group ARIn and would be treated in the same way as any other </w:t>
            </w:r>
            <w:r w:rsidR="00106D73">
              <w:rPr>
                <w:sz w:val="22"/>
                <w:szCs w:val="22"/>
              </w:rPr>
              <w:t xml:space="preserve">individual </w:t>
            </w:r>
            <w:r w:rsidRPr="00C274EB">
              <w:rPr>
                <w:sz w:val="22"/>
                <w:szCs w:val="22"/>
              </w:rPr>
              <w:t>ARIn application.</w:t>
            </w:r>
          </w:p>
        </w:tc>
        <w:tc>
          <w:tcPr>
            <w:tcW w:w="0" w:type="auto"/>
          </w:tcPr>
          <w:p w14:paraId="055E71FC" w14:textId="6AA0C15F" w:rsidR="005B5DF3" w:rsidRPr="00C274EB" w:rsidRDefault="005B5DF3" w:rsidP="005B5DF3">
            <w:pPr>
              <w:pStyle w:val="Bullet1"/>
              <w:numPr>
                <w:ilvl w:val="0"/>
                <w:numId w:val="0"/>
              </w:numPr>
              <w:ind w:left="720"/>
              <w:rPr>
                <w:sz w:val="22"/>
                <w:szCs w:val="22"/>
              </w:rPr>
            </w:pPr>
            <w:r w:rsidRPr="00C274EB">
              <w:rPr>
                <w:b/>
                <w:bCs/>
                <w:i/>
                <w:sz w:val="22"/>
                <w:szCs w:val="22"/>
                <w:u w:val="single"/>
              </w:rPr>
              <w:t>The positions covered by a Group ARIn require a variation of the conditions of their ARIns:</w:t>
            </w:r>
            <w:r w:rsidRPr="00C274EB">
              <w:rPr>
                <w:sz w:val="22"/>
                <w:szCs w:val="22"/>
              </w:rPr>
              <w:t xml:space="preserve"> </w:t>
            </w:r>
            <w:r w:rsidRPr="00C274EB">
              <w:rPr>
                <w:sz w:val="22"/>
                <w:szCs w:val="22"/>
              </w:rPr>
              <w:br/>
            </w:r>
            <w:r w:rsidRPr="00C274EB">
              <w:rPr>
                <w:sz w:val="22"/>
                <w:szCs w:val="22"/>
              </w:rPr>
              <w:br/>
              <w:t xml:space="preserve">If a review of ARIns made under a Group Approval finds that the ARIns need to be varied, this needs to be done through the provision of a new </w:t>
            </w:r>
            <w:r w:rsidR="00A62D5C">
              <w:rPr>
                <w:sz w:val="22"/>
                <w:szCs w:val="22"/>
              </w:rPr>
              <w:t>c</w:t>
            </w:r>
            <w:r w:rsidRPr="00C274EB">
              <w:rPr>
                <w:sz w:val="22"/>
                <w:szCs w:val="22"/>
              </w:rPr>
              <w:t xml:space="preserve">omprehensive </w:t>
            </w:r>
            <w:r w:rsidR="00A62D5C">
              <w:rPr>
                <w:sz w:val="22"/>
                <w:szCs w:val="22"/>
              </w:rPr>
              <w:t>s</w:t>
            </w:r>
            <w:r w:rsidRPr="00C274EB">
              <w:rPr>
                <w:sz w:val="22"/>
                <w:szCs w:val="22"/>
              </w:rPr>
              <w:t xml:space="preserve">ubmission. </w:t>
            </w:r>
          </w:p>
          <w:p w14:paraId="1347715E" w14:textId="77777777" w:rsidR="005B5DF3" w:rsidRPr="00C274EB" w:rsidRDefault="005B5DF3" w:rsidP="005B5DF3">
            <w:pPr>
              <w:pStyle w:val="Bullet1"/>
              <w:numPr>
                <w:ilvl w:val="0"/>
                <w:numId w:val="0"/>
              </w:numPr>
              <w:ind w:left="720"/>
              <w:rPr>
                <w:sz w:val="22"/>
                <w:szCs w:val="22"/>
              </w:rPr>
            </w:pPr>
            <w:r w:rsidRPr="00C274EB">
              <w:rPr>
                <w:sz w:val="22"/>
                <w:szCs w:val="22"/>
              </w:rPr>
              <w:t>This would be in circumstances where it is determined the role that all employees covered by the Group ARIn perform justifies a variation to the benefits received.</w:t>
            </w:r>
          </w:p>
          <w:p w14:paraId="36D4EC0E" w14:textId="77777777" w:rsidR="005B5DF3" w:rsidRPr="00C274EB" w:rsidRDefault="005B5DF3" w:rsidP="005B5DF3">
            <w:pPr>
              <w:pStyle w:val="Bullet1"/>
              <w:numPr>
                <w:ilvl w:val="0"/>
                <w:numId w:val="0"/>
              </w:numPr>
              <w:ind w:left="720"/>
              <w:rPr>
                <w:sz w:val="22"/>
                <w:szCs w:val="22"/>
              </w:rPr>
            </w:pPr>
          </w:p>
        </w:tc>
      </w:tr>
    </w:tbl>
    <w:p w14:paraId="10A8058C" w14:textId="77777777" w:rsidR="005B5DF3" w:rsidRDefault="005B5DF3" w:rsidP="005B5DF3">
      <w:pPr>
        <w:pStyle w:val="ListParagraph"/>
        <w:numPr>
          <w:ilvl w:val="0"/>
          <w:numId w:val="34"/>
        </w:numPr>
      </w:pPr>
      <w:r w:rsidRPr="005B5DF3">
        <w:rPr>
          <w:szCs w:val="22"/>
        </w:rPr>
        <w:t>A range of situations</w:t>
      </w:r>
      <w:r>
        <w:t xml:space="preserve"> can arise from the use of Group ARIns.</w:t>
      </w:r>
    </w:p>
    <w:p w14:paraId="7B90E71C" w14:textId="15F0C21B" w:rsidR="005B5DF3" w:rsidRPr="005B5DF3" w:rsidRDefault="005B5DF3" w:rsidP="005B5DF3"/>
    <w:sectPr w:rsidR="005B5DF3" w:rsidRPr="005B5DF3" w:rsidSect="000B47F1">
      <w:type w:val="continuous"/>
      <w:pgSz w:w="11907" w:h="16840" w:code="9"/>
      <w:pgMar w:top="1134" w:right="1134" w:bottom="1702" w:left="1134" w:header="567" w:footer="25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5F4C1" w14:textId="77777777" w:rsidR="005C7499" w:rsidRDefault="005C7499">
      <w:pPr>
        <w:spacing w:before="0" w:after="0"/>
      </w:pPr>
      <w:r>
        <w:separator/>
      </w:r>
    </w:p>
    <w:p w14:paraId="487B9AF5" w14:textId="77777777" w:rsidR="005C7499" w:rsidRDefault="005C7499"/>
  </w:endnote>
  <w:endnote w:type="continuationSeparator" w:id="0">
    <w:p w14:paraId="64E545D0" w14:textId="77777777" w:rsidR="005C7499" w:rsidRDefault="005C7499">
      <w:pPr>
        <w:spacing w:before="0" w:after="0"/>
      </w:pPr>
      <w:r>
        <w:continuationSeparator/>
      </w:r>
    </w:p>
    <w:p w14:paraId="4AB43BDE" w14:textId="77777777" w:rsidR="005C7499" w:rsidRDefault="005C74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old">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85635842"/>
      <w:docPartObj>
        <w:docPartGallery w:val="Page Numbers (Bottom of Page)"/>
        <w:docPartUnique/>
      </w:docPartObj>
    </w:sdtPr>
    <w:sdtEndPr>
      <w:rPr>
        <w:rStyle w:val="PageNumber"/>
      </w:rPr>
    </w:sdtEndPr>
    <w:sdtContent>
      <w:p w14:paraId="6250DCA5" w14:textId="5030CB73" w:rsidR="000459F7" w:rsidRDefault="000459F7" w:rsidP="00B46B2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480CD2">
          <w:rPr>
            <w:rStyle w:val="PageNumber"/>
            <w:noProof/>
          </w:rPr>
          <w:t>4</w:t>
        </w:r>
        <w:r>
          <w:rPr>
            <w:rStyle w:val="PageNumber"/>
          </w:rPr>
          <w:fldChar w:fldCharType="end"/>
        </w:r>
      </w:p>
    </w:sdtContent>
  </w:sdt>
  <w:p w14:paraId="65AD0C32" w14:textId="77777777" w:rsidR="000459F7" w:rsidRDefault="000459F7" w:rsidP="00D678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16"/>
        <w:szCs w:val="16"/>
      </w:rPr>
      <w:id w:val="-1138035189"/>
      <w:docPartObj>
        <w:docPartGallery w:val="Page Numbers (Bottom of Page)"/>
        <w:docPartUnique/>
      </w:docPartObj>
    </w:sdtPr>
    <w:sdtEndPr>
      <w:rPr>
        <w:rStyle w:val="PageNumber"/>
      </w:rPr>
    </w:sdtEndPr>
    <w:sdtContent>
      <w:p w14:paraId="362FA08C" w14:textId="345F26EC" w:rsidR="000459F7" w:rsidRPr="00A50ACF" w:rsidRDefault="000459F7" w:rsidP="004D749A">
        <w:pPr>
          <w:pStyle w:val="Footer"/>
          <w:framePr w:h="586" w:hRule="exact" w:wrap="none" w:vAnchor="text" w:hAnchor="page" w:x="5922" w:y="-193"/>
          <w:rPr>
            <w:rStyle w:val="PageNumber"/>
            <w:sz w:val="16"/>
            <w:szCs w:val="16"/>
          </w:rPr>
        </w:pPr>
        <w:r w:rsidRPr="00A50ACF">
          <w:rPr>
            <w:rStyle w:val="PageNumber"/>
            <w:sz w:val="16"/>
            <w:szCs w:val="16"/>
          </w:rPr>
          <w:fldChar w:fldCharType="begin"/>
        </w:r>
        <w:r w:rsidRPr="00A50ACF">
          <w:rPr>
            <w:rStyle w:val="PageNumber"/>
            <w:sz w:val="16"/>
            <w:szCs w:val="16"/>
          </w:rPr>
          <w:instrText xml:space="preserve"> PAGE </w:instrText>
        </w:r>
        <w:r w:rsidRPr="00A50ACF">
          <w:rPr>
            <w:rStyle w:val="PageNumber"/>
            <w:sz w:val="16"/>
            <w:szCs w:val="16"/>
          </w:rPr>
          <w:fldChar w:fldCharType="separate"/>
        </w:r>
        <w:r w:rsidRPr="00A50ACF">
          <w:rPr>
            <w:rStyle w:val="PageNumber"/>
            <w:noProof/>
            <w:sz w:val="16"/>
            <w:szCs w:val="16"/>
          </w:rPr>
          <w:t>1</w:t>
        </w:r>
        <w:r w:rsidRPr="00A50ACF">
          <w:rPr>
            <w:rStyle w:val="PageNumber"/>
            <w:sz w:val="16"/>
            <w:szCs w:val="16"/>
          </w:rPr>
          <w:fldChar w:fldCharType="end"/>
        </w:r>
      </w:p>
    </w:sdtContent>
  </w:sdt>
  <w:p w14:paraId="61C7144D" w14:textId="3A976571" w:rsidR="000459F7" w:rsidRPr="00480CD2" w:rsidRDefault="000A1179" w:rsidP="00480CD2">
    <w:pPr>
      <w:pStyle w:val="Footer"/>
      <w:ind w:left="0"/>
      <w:jc w:val="both"/>
      <w:rPr>
        <w:b/>
        <w:sz w:val="18"/>
        <w:szCs w:val="18"/>
      </w:rPr>
    </w:pPr>
    <w:r w:rsidRPr="00480CD2">
      <w:rPr>
        <w:noProof/>
        <w:sz w:val="18"/>
        <w:szCs w:val="18"/>
      </w:rPr>
      <w:drawing>
        <wp:anchor distT="0" distB="0" distL="114300" distR="114300" simplePos="0" relativeHeight="251657216" behindDoc="1" locked="0" layoutInCell="1" allowOverlap="1" wp14:anchorId="2F866DD3" wp14:editId="2311D128">
          <wp:simplePos x="0" y="0"/>
          <wp:positionH relativeFrom="column">
            <wp:posOffset>-453390</wp:posOffset>
          </wp:positionH>
          <wp:positionV relativeFrom="paragraph">
            <wp:posOffset>-60960</wp:posOffset>
          </wp:positionV>
          <wp:extent cx="6883200" cy="252000"/>
          <wp:effectExtent l="0" t="0" r="0" b="0"/>
          <wp:wrapNone/>
          <wp:docPr id="1" name="Picture 1" descr="Example Footer">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 WHog_B thin.png" descr="Example Footer">
                    <a:extLst>
                      <a:ext uri="{C183D7F6-B498-43B3-948B-1728B52AA6E4}">
                        <adec:decorative xmlns:adec="http://schemas.microsoft.com/office/drawing/2017/decorative" val="0"/>
                      </a:ext>
                    </a:extLst>
                  </pic:cNvPr>
                  <pic:cNvPicPr/>
                </pic:nvPicPr>
                <pic:blipFill>
                  <a:blip r:embed="rId1" r:link="rId2">
                    <a:extLst>
                      <a:ext uri="{28A0092B-C50C-407E-A947-70E740481C1C}">
                        <a14:useLocalDpi xmlns:a14="http://schemas.microsoft.com/office/drawing/2010/main" val="0"/>
                      </a:ext>
                    </a:extLst>
                  </a:blip>
                  <a:stretch>
                    <a:fillRect/>
                  </a:stretch>
                </pic:blipFill>
                <pic:spPr>
                  <a:xfrm>
                    <a:off x="0" y="0"/>
                    <a:ext cx="6883200" cy="252000"/>
                  </a:xfrm>
                  <a:prstGeom prst="rect">
                    <a:avLst/>
                  </a:prstGeom>
                </pic:spPr>
              </pic:pic>
            </a:graphicData>
          </a:graphic>
          <wp14:sizeRelH relativeFrom="margin">
            <wp14:pctWidth>0</wp14:pctWidth>
          </wp14:sizeRelH>
          <wp14:sizeRelV relativeFrom="margin">
            <wp14:pctHeight>0</wp14:pctHeight>
          </wp14:sizeRelV>
        </wp:anchor>
      </w:drawing>
    </w:r>
    <w:r w:rsidR="00BD2CB1" w:rsidRPr="00480CD2">
      <w:rPr>
        <w:noProof/>
        <w:sz w:val="18"/>
        <w:szCs w:val="18"/>
      </w:rPr>
      <w:t>Chief Minister, Treasury and Economic Development</w:t>
    </w:r>
    <w:r w:rsidR="00723F5C" w:rsidRPr="00480CD2">
      <w:rPr>
        <w:noProof/>
        <w:sz w:val="18"/>
        <w:szCs w:val="18"/>
      </w:rPr>
      <w:tab/>
    </w:r>
    <w:r w:rsidR="004D749A" w:rsidRPr="00480CD2">
      <w:rPr>
        <w:noProof/>
        <w:sz w:val="18"/>
        <w:szCs w:val="18"/>
      </w:rPr>
      <w:tab/>
    </w:r>
    <w:r w:rsidR="004D749A" w:rsidRPr="00480CD2">
      <w:rPr>
        <w:noProof/>
        <w:sz w:val="18"/>
        <w:szCs w:val="18"/>
      </w:rPr>
      <w:tab/>
      <w:t xml:space="preserve"> </w:t>
    </w:r>
    <w:r w:rsidR="00F66C82">
      <w:rPr>
        <w:noProof/>
        <w:sz w:val="18"/>
        <w:szCs w:val="18"/>
      </w:rPr>
      <w:tab/>
      <w:t>Attraction and Retention Incentives Policy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3F6D0" w14:textId="77777777" w:rsidR="003D2309" w:rsidRDefault="003D23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983EB" w14:textId="77777777" w:rsidR="005C7499" w:rsidRDefault="005C7499" w:rsidP="001723F7">
      <w:pPr>
        <w:spacing w:before="0" w:after="0"/>
      </w:pPr>
      <w:r>
        <w:separator/>
      </w:r>
    </w:p>
  </w:footnote>
  <w:footnote w:type="continuationSeparator" w:id="0">
    <w:p w14:paraId="6B3357F0" w14:textId="77777777" w:rsidR="005C7499" w:rsidRDefault="005C7499">
      <w:pPr>
        <w:spacing w:before="0" w:after="0"/>
      </w:pPr>
      <w:r>
        <w:continuationSeparator/>
      </w:r>
    </w:p>
    <w:p w14:paraId="2BC18FFE" w14:textId="77777777" w:rsidR="005C7499" w:rsidRDefault="005C7499"/>
  </w:footnote>
  <w:footnote w:id="1">
    <w:p w14:paraId="2929CB6A" w14:textId="154D6BC8" w:rsidR="00F356F7" w:rsidRDefault="00F356F7">
      <w:pPr>
        <w:pStyle w:val="FootnoteText"/>
      </w:pPr>
      <w:r>
        <w:rPr>
          <w:rStyle w:val="FootnoteReference"/>
        </w:rPr>
        <w:footnoteRef/>
      </w:r>
      <w:r>
        <w:t xml:space="preserve"> Clause 7.6.3 of Annex B – Attraction and Retention Incentives of 2023-2026 ACTPS Enterprise Agreements was left in error and clause 10.9.2 of Annex B applies when an employee in receipt of an ARIn returns to their nominal position.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609AF" w14:textId="26604BCD" w:rsidR="00E61BB1" w:rsidRDefault="00E61B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582EF" w14:textId="1DD25030" w:rsidR="003D2309" w:rsidRDefault="003D23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9E88B" w14:textId="77777777" w:rsidR="003D2309" w:rsidRDefault="003D23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5457"/>
    <w:multiLevelType w:val="multilevel"/>
    <w:tmpl w:val="9A1221A6"/>
    <w:lvl w:ilvl="0">
      <w:start w:val="1"/>
      <w:numFmt w:val="lowerLetter"/>
      <w:lvlText w:val="(%1)"/>
      <w:lvlJc w:val="left"/>
      <w:pPr>
        <w:ind w:left="284" w:hanging="284"/>
      </w:pPr>
      <w:rPr>
        <w:rFonts w:asciiTheme="minorHAnsi" w:eastAsiaTheme="minorHAnsi" w:hAnsiTheme="minorHAnsi" w:cstheme="minorBidi"/>
        <w:color w:val="auto"/>
      </w:rPr>
    </w:lvl>
    <w:lvl w:ilvl="1">
      <w:start w:val="1"/>
      <w:numFmt w:val="lowerLetter"/>
      <w:lvlText w:val="%2."/>
      <w:lvlJc w:val="left"/>
      <w:pPr>
        <w:ind w:left="644" w:hanging="360"/>
      </w:pPr>
    </w:lvl>
    <w:lvl w:ilvl="2">
      <w:start w:val="1"/>
      <w:numFmt w:val="bullet"/>
      <w:lvlText w:val="»"/>
      <w:lvlJc w:val="left"/>
      <w:pPr>
        <w:ind w:left="852" w:hanging="284"/>
      </w:pPr>
      <w:rPr>
        <w:rFonts w:ascii="Arial" w:hAnsi="Arial" w:hint="default"/>
        <w:color w:val="44546A" w:themeColor="text2"/>
      </w:rPr>
    </w:lvl>
    <w:lvl w:ilvl="3">
      <w:start w:val="1"/>
      <w:numFmt w:val="decimal"/>
      <w:lvlText w:val="(%4)"/>
      <w:lvlJc w:val="left"/>
      <w:pPr>
        <w:ind w:left="1136" w:hanging="284"/>
      </w:pPr>
      <w:rPr>
        <w:rFonts w:hint="default"/>
      </w:rPr>
    </w:lvl>
    <w:lvl w:ilvl="4">
      <w:start w:val="1"/>
      <w:numFmt w:val="lowerLetter"/>
      <w:lvlText w:val="%5."/>
      <w:lvlJc w:val="left"/>
      <w:pPr>
        <w:ind w:left="1496" w:hanging="360"/>
      </w:p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 w15:restartNumberingAfterBreak="0">
    <w:nsid w:val="02576E9E"/>
    <w:multiLevelType w:val="multilevel"/>
    <w:tmpl w:val="402E7EF2"/>
    <w:numStyleLink w:val="AppendixNumbers"/>
  </w:abstractNum>
  <w:abstractNum w:abstractNumId="2" w15:restartNumberingAfterBreak="0">
    <w:nsid w:val="081363AD"/>
    <w:multiLevelType w:val="hybridMultilevel"/>
    <w:tmpl w:val="CB04F446"/>
    <w:lvl w:ilvl="0" w:tplc="AFF02342">
      <w:start w:val="1"/>
      <w:numFmt w:val="lowerLetter"/>
      <w:lvlText w:val="%1."/>
      <w:lvlJc w:val="left"/>
      <w:pPr>
        <w:ind w:left="1440" w:hanging="360"/>
      </w:pPr>
      <w:rPr>
        <w:rFonts w:asciiTheme="minorHAnsi" w:eastAsiaTheme="minorHAnsi" w:hAnsiTheme="minorHAnsi" w:cstheme="minorHAnsi"/>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 w15:restartNumberingAfterBreak="0">
    <w:nsid w:val="0F6C678D"/>
    <w:multiLevelType w:val="multilevel"/>
    <w:tmpl w:val="57D26A18"/>
    <w:styleLink w:val="KCBullets"/>
    <w:lvl w:ilvl="0">
      <w:start w:val="1"/>
      <w:numFmt w:val="lowerLetter"/>
      <w:pStyle w:val="Bullet1"/>
      <w:lvlText w:val="(%1)"/>
      <w:lvlJc w:val="left"/>
      <w:pPr>
        <w:ind w:left="284" w:hanging="284"/>
      </w:pPr>
      <w:rPr>
        <w:rFonts w:asciiTheme="minorHAnsi" w:eastAsiaTheme="minorHAnsi" w:hAnsiTheme="minorHAnsi" w:cstheme="minorBidi"/>
        <w:color w:val="auto"/>
      </w:rPr>
    </w:lvl>
    <w:lvl w:ilvl="1">
      <w:start w:val="1"/>
      <w:numFmt w:val="bullet"/>
      <w:pStyle w:val="Bullet2"/>
      <w:lvlText w:val="–"/>
      <w:lvlJc w:val="left"/>
      <w:pPr>
        <w:ind w:left="568" w:hanging="284"/>
      </w:pPr>
      <w:rPr>
        <w:rFonts w:ascii="Arial" w:hAnsi="Arial" w:hint="default"/>
        <w:color w:val="44546A" w:themeColor="text2"/>
      </w:rPr>
    </w:lvl>
    <w:lvl w:ilvl="2">
      <w:start w:val="1"/>
      <w:numFmt w:val="bullet"/>
      <w:pStyle w:val="Bullet3"/>
      <w:lvlText w:val="»"/>
      <w:lvlJc w:val="left"/>
      <w:pPr>
        <w:ind w:left="852" w:hanging="284"/>
      </w:pPr>
      <w:rPr>
        <w:rFonts w:ascii="Arial" w:hAnsi="Arial" w:hint="default"/>
        <w:color w:val="44546A"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4" w15:restartNumberingAfterBreak="0">
    <w:nsid w:val="135670C5"/>
    <w:multiLevelType w:val="hybridMultilevel"/>
    <w:tmpl w:val="76C8519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B3A4016"/>
    <w:multiLevelType w:val="hybridMultilevel"/>
    <w:tmpl w:val="A372FD2C"/>
    <w:lvl w:ilvl="0" w:tplc="1744141A">
      <w:start w:val="1"/>
      <w:numFmt w:val="bullet"/>
      <w:lvlText w:val=""/>
      <w:lvlJc w:val="left"/>
      <w:pPr>
        <w:ind w:left="1060" w:hanging="360"/>
      </w:pPr>
      <w:rPr>
        <w:rFonts w:ascii="Symbol" w:hAnsi="Symbol"/>
      </w:rPr>
    </w:lvl>
    <w:lvl w:ilvl="1" w:tplc="7EDC2F62">
      <w:start w:val="1"/>
      <w:numFmt w:val="bullet"/>
      <w:lvlText w:val=""/>
      <w:lvlJc w:val="left"/>
      <w:pPr>
        <w:ind w:left="1060" w:hanging="360"/>
      </w:pPr>
      <w:rPr>
        <w:rFonts w:ascii="Symbol" w:hAnsi="Symbol"/>
      </w:rPr>
    </w:lvl>
    <w:lvl w:ilvl="2" w:tplc="27C05BF0">
      <w:start w:val="1"/>
      <w:numFmt w:val="bullet"/>
      <w:lvlText w:val=""/>
      <w:lvlJc w:val="left"/>
      <w:pPr>
        <w:ind w:left="1060" w:hanging="360"/>
      </w:pPr>
      <w:rPr>
        <w:rFonts w:ascii="Symbol" w:hAnsi="Symbol"/>
      </w:rPr>
    </w:lvl>
    <w:lvl w:ilvl="3" w:tplc="A3D6D6B4">
      <w:start w:val="1"/>
      <w:numFmt w:val="bullet"/>
      <w:lvlText w:val=""/>
      <w:lvlJc w:val="left"/>
      <w:pPr>
        <w:ind w:left="1060" w:hanging="360"/>
      </w:pPr>
      <w:rPr>
        <w:rFonts w:ascii="Symbol" w:hAnsi="Symbol"/>
      </w:rPr>
    </w:lvl>
    <w:lvl w:ilvl="4" w:tplc="34085EDC">
      <w:start w:val="1"/>
      <w:numFmt w:val="bullet"/>
      <w:lvlText w:val=""/>
      <w:lvlJc w:val="left"/>
      <w:pPr>
        <w:ind w:left="1060" w:hanging="360"/>
      </w:pPr>
      <w:rPr>
        <w:rFonts w:ascii="Symbol" w:hAnsi="Symbol"/>
      </w:rPr>
    </w:lvl>
    <w:lvl w:ilvl="5" w:tplc="8018AC92">
      <w:start w:val="1"/>
      <w:numFmt w:val="bullet"/>
      <w:lvlText w:val=""/>
      <w:lvlJc w:val="left"/>
      <w:pPr>
        <w:ind w:left="1060" w:hanging="360"/>
      </w:pPr>
      <w:rPr>
        <w:rFonts w:ascii="Symbol" w:hAnsi="Symbol"/>
      </w:rPr>
    </w:lvl>
    <w:lvl w:ilvl="6" w:tplc="F60A95B4">
      <w:start w:val="1"/>
      <w:numFmt w:val="bullet"/>
      <w:lvlText w:val=""/>
      <w:lvlJc w:val="left"/>
      <w:pPr>
        <w:ind w:left="1060" w:hanging="360"/>
      </w:pPr>
      <w:rPr>
        <w:rFonts w:ascii="Symbol" w:hAnsi="Symbol"/>
      </w:rPr>
    </w:lvl>
    <w:lvl w:ilvl="7" w:tplc="ABBCC6A0">
      <w:start w:val="1"/>
      <w:numFmt w:val="bullet"/>
      <w:lvlText w:val=""/>
      <w:lvlJc w:val="left"/>
      <w:pPr>
        <w:ind w:left="1060" w:hanging="360"/>
      </w:pPr>
      <w:rPr>
        <w:rFonts w:ascii="Symbol" w:hAnsi="Symbol"/>
      </w:rPr>
    </w:lvl>
    <w:lvl w:ilvl="8" w:tplc="9D484954">
      <w:start w:val="1"/>
      <w:numFmt w:val="bullet"/>
      <w:lvlText w:val=""/>
      <w:lvlJc w:val="left"/>
      <w:pPr>
        <w:ind w:left="1060" w:hanging="360"/>
      </w:pPr>
      <w:rPr>
        <w:rFonts w:ascii="Symbol" w:hAnsi="Symbol"/>
      </w:rPr>
    </w:lvl>
  </w:abstractNum>
  <w:abstractNum w:abstractNumId="6" w15:restartNumberingAfterBreak="0">
    <w:nsid w:val="1C81458C"/>
    <w:multiLevelType w:val="multilevel"/>
    <w:tmpl w:val="57749992"/>
    <w:lvl w:ilvl="0">
      <w:start w:val="1"/>
      <w:numFmt w:val="lowerLetter"/>
      <w:lvlText w:val="%1."/>
      <w:lvlJc w:val="left"/>
      <w:pPr>
        <w:ind w:left="717" w:hanging="360"/>
      </w:pPr>
      <w:rPr>
        <w:rFonts w:hint="default"/>
      </w:rPr>
    </w:lvl>
    <w:lvl w:ilvl="1">
      <w:start w:val="1"/>
      <w:numFmt w:val="lowerLetter"/>
      <w:lvlText w:val="%2."/>
      <w:lvlJc w:val="left"/>
      <w:pPr>
        <w:ind w:left="1227" w:hanging="360"/>
      </w:pPr>
    </w:lvl>
    <w:lvl w:ilvl="2">
      <w:start w:val="1"/>
      <w:numFmt w:val="bullet"/>
      <w:lvlText w:val=""/>
      <w:lvlJc w:val="left"/>
      <w:pPr>
        <w:ind w:left="1734" w:hanging="357"/>
      </w:pPr>
      <w:rPr>
        <w:rFonts w:ascii="Wingdings" w:hAnsi="Wingdings" w:hint="default"/>
      </w:rPr>
    </w:lvl>
    <w:lvl w:ilvl="3">
      <w:start w:val="1"/>
      <w:numFmt w:val="bullet"/>
      <w:lvlText w:val=""/>
      <w:lvlJc w:val="left"/>
      <w:pPr>
        <w:ind w:left="2244" w:hanging="357"/>
      </w:pPr>
      <w:rPr>
        <w:rFonts w:ascii="Symbol" w:hAnsi="Symbol" w:hint="default"/>
      </w:rPr>
    </w:lvl>
    <w:lvl w:ilvl="4">
      <w:start w:val="1"/>
      <w:numFmt w:val="bullet"/>
      <w:lvlText w:val="o"/>
      <w:lvlJc w:val="left"/>
      <w:pPr>
        <w:ind w:left="2754" w:hanging="357"/>
      </w:pPr>
      <w:rPr>
        <w:rFonts w:ascii="Courier New" w:hAnsi="Courier New" w:cs="Courier New" w:hint="default"/>
      </w:rPr>
    </w:lvl>
    <w:lvl w:ilvl="5">
      <w:start w:val="1"/>
      <w:numFmt w:val="bullet"/>
      <w:lvlText w:val=""/>
      <w:lvlJc w:val="left"/>
      <w:pPr>
        <w:ind w:left="3264" w:hanging="357"/>
      </w:pPr>
      <w:rPr>
        <w:rFonts w:ascii="Wingdings" w:hAnsi="Wingdings" w:hint="default"/>
      </w:rPr>
    </w:lvl>
    <w:lvl w:ilvl="6">
      <w:start w:val="1"/>
      <w:numFmt w:val="bullet"/>
      <w:lvlText w:val=""/>
      <w:lvlJc w:val="left"/>
      <w:pPr>
        <w:ind w:left="3774" w:hanging="357"/>
      </w:pPr>
      <w:rPr>
        <w:rFonts w:ascii="Symbol" w:hAnsi="Symbol" w:hint="default"/>
      </w:rPr>
    </w:lvl>
    <w:lvl w:ilvl="7">
      <w:start w:val="1"/>
      <w:numFmt w:val="bullet"/>
      <w:lvlText w:val="o"/>
      <w:lvlJc w:val="left"/>
      <w:pPr>
        <w:ind w:left="4284" w:hanging="357"/>
      </w:pPr>
      <w:rPr>
        <w:rFonts w:ascii="Courier New" w:hAnsi="Courier New" w:cs="Courier New" w:hint="default"/>
      </w:rPr>
    </w:lvl>
    <w:lvl w:ilvl="8">
      <w:start w:val="1"/>
      <w:numFmt w:val="bullet"/>
      <w:lvlText w:val=""/>
      <w:lvlJc w:val="left"/>
      <w:pPr>
        <w:ind w:left="4794" w:hanging="357"/>
      </w:pPr>
      <w:rPr>
        <w:rFonts w:ascii="Wingdings" w:hAnsi="Wingdings" w:hint="default"/>
      </w:rPr>
    </w:lvl>
  </w:abstractNum>
  <w:abstractNum w:abstractNumId="7" w15:restartNumberingAfterBreak="0">
    <w:nsid w:val="1CC862E1"/>
    <w:multiLevelType w:val="multilevel"/>
    <w:tmpl w:val="C284D0B0"/>
    <w:styleLink w:val="FigureNumbers"/>
    <w:lvl w:ilvl="0">
      <w:start w:val="1"/>
      <w:numFmt w:val="decimal"/>
      <w:pStyle w:val="FigureTitle"/>
      <w:lvlText w:val="Figure %1."/>
      <w:lvlJc w:val="left"/>
      <w:pPr>
        <w:ind w:left="1134" w:hanging="1134"/>
      </w:pPr>
      <w:rPr>
        <w:rFonts w:hint="default"/>
        <w:b/>
        <w:i w:val="0"/>
        <w:caps w:val="0"/>
        <w:color w:val="5B9BD5"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E0565B6"/>
    <w:multiLevelType w:val="hybridMultilevel"/>
    <w:tmpl w:val="76C8519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0336ADE"/>
    <w:multiLevelType w:val="multilevel"/>
    <w:tmpl w:val="131EEC6C"/>
    <w:styleLink w:val="TableNumbers"/>
    <w:lvl w:ilvl="0">
      <w:start w:val="1"/>
      <w:numFmt w:val="decimal"/>
      <w:pStyle w:val="TableTitle"/>
      <w:lvlText w:val="Table %1."/>
      <w:lvlJc w:val="left"/>
      <w:pPr>
        <w:ind w:left="1134" w:hanging="1134"/>
      </w:pPr>
      <w:rPr>
        <w:rFonts w:hint="default"/>
        <w:b/>
        <w:i w:val="0"/>
        <w:caps w:val="0"/>
        <w:color w:val="5B9BD5"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76A38C9"/>
    <w:multiLevelType w:val="hybridMultilevel"/>
    <w:tmpl w:val="6D2455A2"/>
    <w:lvl w:ilvl="0" w:tplc="A90EFF1A">
      <w:start w:val="1"/>
      <w:numFmt w:val="decimal"/>
      <w:pStyle w:val="noteslist"/>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3C415180"/>
    <w:multiLevelType w:val="hybridMultilevel"/>
    <w:tmpl w:val="4E8EEBCA"/>
    <w:lvl w:ilvl="0" w:tplc="390A8100">
      <w:start w:val="1"/>
      <w:numFmt w:val="lowerRoman"/>
      <w:pStyle w:val="Bullet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5D64EB"/>
    <w:multiLevelType w:val="hybridMultilevel"/>
    <w:tmpl w:val="C94C02FA"/>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3" w15:restartNumberingAfterBreak="0">
    <w:nsid w:val="40C334E0"/>
    <w:multiLevelType w:val="hybridMultilevel"/>
    <w:tmpl w:val="76C8519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44546A" w:themeColor="text2"/>
      </w:rPr>
    </w:lvl>
    <w:lvl w:ilvl="3">
      <w:start w:val="1"/>
      <w:numFmt w:val="bullet"/>
      <w:lvlText w:val="»"/>
      <w:lvlJc w:val="left"/>
      <w:pPr>
        <w:ind w:left="794" w:hanging="510"/>
      </w:pPr>
      <w:rPr>
        <w:rFonts w:ascii="Arial" w:hAnsi="Arial" w:hint="default"/>
        <w:color w:val="44546A"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15" w15:restartNumberingAfterBreak="0">
    <w:nsid w:val="465A212B"/>
    <w:multiLevelType w:val="hybridMultilevel"/>
    <w:tmpl w:val="D924B6FE"/>
    <w:lvl w:ilvl="0" w:tplc="CEAE7970">
      <w:numFmt w:val="bullet"/>
      <w:pStyle w:val="bullet30"/>
      <w:lvlText w:val="-"/>
      <w:lvlJc w:val="left"/>
      <w:pPr>
        <w:ind w:left="1077" w:hanging="360"/>
      </w:pPr>
      <w:rPr>
        <w:rFonts w:ascii="Calibri" w:eastAsiaTheme="minorHAnsi" w:hAnsi="Calibri" w:cstheme="minorBidi"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6" w15:restartNumberingAfterBreak="0">
    <w:nsid w:val="497670B0"/>
    <w:multiLevelType w:val="hybridMultilevel"/>
    <w:tmpl w:val="CA56040C"/>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7" w15:restartNumberingAfterBreak="0">
    <w:nsid w:val="4A2C4FC2"/>
    <w:multiLevelType w:val="hybridMultilevel"/>
    <w:tmpl w:val="F5AEA3CC"/>
    <w:lvl w:ilvl="0" w:tplc="44CE0BD4">
      <w:start w:val="1"/>
      <w:numFmt w:val="lowerLetter"/>
      <w:pStyle w:val="bulletalpha"/>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start w:val="1"/>
      <w:numFmt w:val="bullet"/>
      <w:lvlText w:val="o"/>
      <w:lvlJc w:val="left"/>
      <w:pPr>
        <w:tabs>
          <w:tab w:val="num" w:pos="1800"/>
        </w:tabs>
        <w:ind w:left="1800" w:hanging="360"/>
      </w:pPr>
      <w:rPr>
        <w:rFonts w:ascii="Courier New" w:hAnsi="Courier New" w:hint="default"/>
      </w:rPr>
    </w:lvl>
    <w:lvl w:ilvl="2" w:tplc="0C09001B">
      <w:start w:val="1"/>
      <w:numFmt w:val="bullet"/>
      <w:lvlText w:val=""/>
      <w:lvlJc w:val="left"/>
      <w:pPr>
        <w:tabs>
          <w:tab w:val="num" w:pos="2520"/>
        </w:tabs>
        <w:ind w:left="2520" w:hanging="360"/>
      </w:pPr>
      <w:rPr>
        <w:rFonts w:ascii="Wingdings" w:hAnsi="Wingdings" w:hint="default"/>
      </w:rPr>
    </w:lvl>
    <w:lvl w:ilvl="3" w:tplc="0C09000F">
      <w:start w:val="1"/>
      <w:numFmt w:val="bullet"/>
      <w:lvlText w:val=""/>
      <w:lvlJc w:val="left"/>
      <w:pPr>
        <w:tabs>
          <w:tab w:val="num" w:pos="3240"/>
        </w:tabs>
        <w:ind w:left="3240" w:hanging="360"/>
      </w:pPr>
      <w:rPr>
        <w:rFonts w:ascii="Symbol" w:hAnsi="Symbol" w:hint="default"/>
      </w:rPr>
    </w:lvl>
    <w:lvl w:ilvl="4" w:tplc="0C090019">
      <w:start w:val="1"/>
      <w:numFmt w:val="bullet"/>
      <w:lvlText w:val="o"/>
      <w:lvlJc w:val="left"/>
      <w:pPr>
        <w:tabs>
          <w:tab w:val="num" w:pos="3960"/>
        </w:tabs>
        <w:ind w:left="3960" w:hanging="360"/>
      </w:pPr>
      <w:rPr>
        <w:rFonts w:ascii="Courier New" w:hAnsi="Courier New" w:hint="default"/>
      </w:rPr>
    </w:lvl>
    <w:lvl w:ilvl="5" w:tplc="0C09001B">
      <w:start w:val="1"/>
      <w:numFmt w:val="bullet"/>
      <w:lvlText w:val=""/>
      <w:lvlJc w:val="left"/>
      <w:pPr>
        <w:tabs>
          <w:tab w:val="num" w:pos="4680"/>
        </w:tabs>
        <w:ind w:left="4680" w:hanging="360"/>
      </w:pPr>
      <w:rPr>
        <w:rFonts w:ascii="Wingdings" w:hAnsi="Wingdings" w:hint="default"/>
      </w:rPr>
    </w:lvl>
    <w:lvl w:ilvl="6" w:tplc="0C09000F">
      <w:start w:val="1"/>
      <w:numFmt w:val="bullet"/>
      <w:lvlText w:val=""/>
      <w:lvlJc w:val="left"/>
      <w:pPr>
        <w:tabs>
          <w:tab w:val="num" w:pos="5400"/>
        </w:tabs>
        <w:ind w:left="5400" w:hanging="360"/>
      </w:pPr>
      <w:rPr>
        <w:rFonts w:ascii="Symbol" w:hAnsi="Symbol" w:hint="default"/>
      </w:rPr>
    </w:lvl>
    <w:lvl w:ilvl="7" w:tplc="0C090019">
      <w:start w:val="1"/>
      <w:numFmt w:val="bullet"/>
      <w:lvlText w:val="o"/>
      <w:lvlJc w:val="left"/>
      <w:pPr>
        <w:tabs>
          <w:tab w:val="num" w:pos="6120"/>
        </w:tabs>
        <w:ind w:left="6120" w:hanging="360"/>
      </w:pPr>
      <w:rPr>
        <w:rFonts w:ascii="Courier New" w:hAnsi="Courier New" w:hint="default"/>
      </w:rPr>
    </w:lvl>
    <w:lvl w:ilvl="8" w:tplc="0C09001B">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50517343"/>
    <w:multiLevelType w:val="multilevel"/>
    <w:tmpl w:val="131EEC6C"/>
    <w:numStyleLink w:val="TableNumbers"/>
  </w:abstractNum>
  <w:abstractNum w:abstractNumId="19" w15:restartNumberingAfterBreak="0">
    <w:nsid w:val="50E12008"/>
    <w:multiLevelType w:val="multilevel"/>
    <w:tmpl w:val="57D26A18"/>
    <w:numStyleLink w:val="KCBullets"/>
  </w:abstractNum>
  <w:abstractNum w:abstractNumId="20" w15:restartNumberingAfterBreak="0">
    <w:nsid w:val="51877500"/>
    <w:multiLevelType w:val="hybridMultilevel"/>
    <w:tmpl w:val="EC0C1548"/>
    <w:lvl w:ilvl="0" w:tplc="0C090019">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2717C5A"/>
    <w:multiLevelType w:val="hybridMultilevel"/>
    <w:tmpl w:val="5B36A428"/>
    <w:lvl w:ilvl="0" w:tplc="0C090019">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31A54FB"/>
    <w:multiLevelType w:val="hybridMultilevel"/>
    <w:tmpl w:val="5E6CDF62"/>
    <w:lvl w:ilvl="0" w:tplc="67664A72">
      <w:start w:val="1"/>
      <w:numFmt w:val="decimal"/>
      <w:pStyle w:val="bulletnumbers"/>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35249AF"/>
    <w:multiLevelType w:val="multilevel"/>
    <w:tmpl w:val="402E7EF2"/>
    <w:styleLink w:val="AppendixNumbers"/>
    <w:lvl w:ilvl="0">
      <w:start w:val="1"/>
      <w:numFmt w:val="upperLetter"/>
      <w:pStyle w:val="AppendixNumbered"/>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5563048B"/>
    <w:multiLevelType w:val="multilevel"/>
    <w:tmpl w:val="C284D0B0"/>
    <w:numStyleLink w:val="FigureNumbers"/>
  </w:abstractNum>
  <w:abstractNum w:abstractNumId="25" w15:restartNumberingAfterBreak="0">
    <w:nsid w:val="5E3D0711"/>
    <w:multiLevelType w:val="hybridMultilevel"/>
    <w:tmpl w:val="CA56040C"/>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6" w15:restartNumberingAfterBreak="0">
    <w:nsid w:val="679D420E"/>
    <w:multiLevelType w:val="hybridMultilevel"/>
    <w:tmpl w:val="695EDD6C"/>
    <w:lvl w:ilvl="0" w:tplc="1F80BF74">
      <w:start w:val="1"/>
      <w:numFmt w:val="bullet"/>
      <w:lvlText w:val=""/>
      <w:lvlJc w:val="left"/>
      <w:pPr>
        <w:ind w:left="360" w:hanging="360"/>
      </w:pPr>
      <w:rPr>
        <w:rFonts w:ascii="Symbol" w:hAnsi="Symbol" w:hint="default"/>
        <w:sz w:val="24"/>
      </w:rPr>
    </w:lvl>
    <w:lvl w:ilvl="1" w:tplc="0C090019">
      <w:start w:val="1"/>
      <w:numFmt w:val="bullet"/>
      <w:lvlText w:val="o"/>
      <w:lvlJc w:val="left"/>
      <w:pPr>
        <w:tabs>
          <w:tab w:val="num" w:pos="1800"/>
        </w:tabs>
        <w:ind w:left="1800" w:hanging="360"/>
      </w:pPr>
      <w:rPr>
        <w:rFonts w:ascii="Courier New" w:hAnsi="Courier New" w:hint="default"/>
      </w:rPr>
    </w:lvl>
    <w:lvl w:ilvl="2" w:tplc="0C09001B">
      <w:start w:val="1"/>
      <w:numFmt w:val="bullet"/>
      <w:lvlText w:val=""/>
      <w:lvlJc w:val="left"/>
      <w:pPr>
        <w:tabs>
          <w:tab w:val="num" w:pos="2520"/>
        </w:tabs>
        <w:ind w:left="2520" w:hanging="360"/>
      </w:pPr>
      <w:rPr>
        <w:rFonts w:ascii="Wingdings" w:hAnsi="Wingdings" w:hint="default"/>
      </w:rPr>
    </w:lvl>
    <w:lvl w:ilvl="3" w:tplc="0C09000F">
      <w:start w:val="1"/>
      <w:numFmt w:val="bullet"/>
      <w:lvlText w:val=""/>
      <w:lvlJc w:val="left"/>
      <w:pPr>
        <w:tabs>
          <w:tab w:val="num" w:pos="3240"/>
        </w:tabs>
        <w:ind w:left="3240" w:hanging="360"/>
      </w:pPr>
      <w:rPr>
        <w:rFonts w:ascii="Symbol" w:hAnsi="Symbol" w:hint="default"/>
      </w:rPr>
    </w:lvl>
    <w:lvl w:ilvl="4" w:tplc="0C090019">
      <w:start w:val="1"/>
      <w:numFmt w:val="bullet"/>
      <w:lvlText w:val="o"/>
      <w:lvlJc w:val="left"/>
      <w:pPr>
        <w:tabs>
          <w:tab w:val="num" w:pos="3960"/>
        </w:tabs>
        <w:ind w:left="3960" w:hanging="360"/>
      </w:pPr>
      <w:rPr>
        <w:rFonts w:ascii="Courier New" w:hAnsi="Courier New" w:hint="default"/>
      </w:rPr>
    </w:lvl>
    <w:lvl w:ilvl="5" w:tplc="0C09001B">
      <w:start w:val="1"/>
      <w:numFmt w:val="bullet"/>
      <w:lvlText w:val=""/>
      <w:lvlJc w:val="left"/>
      <w:pPr>
        <w:tabs>
          <w:tab w:val="num" w:pos="4680"/>
        </w:tabs>
        <w:ind w:left="4680" w:hanging="360"/>
      </w:pPr>
      <w:rPr>
        <w:rFonts w:ascii="Wingdings" w:hAnsi="Wingdings" w:hint="default"/>
      </w:rPr>
    </w:lvl>
    <w:lvl w:ilvl="6" w:tplc="0C09000F">
      <w:start w:val="1"/>
      <w:numFmt w:val="bullet"/>
      <w:lvlText w:val=""/>
      <w:lvlJc w:val="left"/>
      <w:pPr>
        <w:tabs>
          <w:tab w:val="num" w:pos="5400"/>
        </w:tabs>
        <w:ind w:left="5400" w:hanging="360"/>
      </w:pPr>
      <w:rPr>
        <w:rFonts w:ascii="Symbol" w:hAnsi="Symbol" w:hint="default"/>
      </w:rPr>
    </w:lvl>
    <w:lvl w:ilvl="7" w:tplc="0C090019">
      <w:start w:val="1"/>
      <w:numFmt w:val="bullet"/>
      <w:lvlText w:val="o"/>
      <w:lvlJc w:val="left"/>
      <w:pPr>
        <w:tabs>
          <w:tab w:val="num" w:pos="6120"/>
        </w:tabs>
        <w:ind w:left="6120" w:hanging="360"/>
      </w:pPr>
      <w:rPr>
        <w:rFonts w:ascii="Courier New" w:hAnsi="Courier New" w:hint="default"/>
      </w:rPr>
    </w:lvl>
    <w:lvl w:ilvl="8" w:tplc="0C09001B">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9D862DE"/>
    <w:multiLevelType w:val="hybridMultilevel"/>
    <w:tmpl w:val="63007840"/>
    <w:lvl w:ilvl="0" w:tplc="0C090001">
      <w:start w:val="1"/>
      <w:numFmt w:val="bullet"/>
      <w:lvlText w:val=""/>
      <w:lvlJc w:val="left"/>
      <w:pPr>
        <w:ind w:left="720" w:hanging="360"/>
      </w:pPr>
      <w:rPr>
        <w:rFonts w:ascii="Symbol" w:hAnsi="Symbol" w:hint="default"/>
        <w:b w:val="0"/>
        <w:bCs/>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F37668B"/>
    <w:multiLevelType w:val="hybridMultilevel"/>
    <w:tmpl w:val="042C454E"/>
    <w:lvl w:ilvl="0" w:tplc="0F848AD6">
      <w:start w:val="1"/>
      <w:numFmt w:val="decimal"/>
      <w:lvlText w:val="%1."/>
      <w:lvlJc w:val="left"/>
      <w:pPr>
        <w:ind w:left="720" w:hanging="360"/>
      </w:pPr>
      <w:rPr>
        <w:b w:val="0"/>
        <w:bCs/>
        <w:color w:val="auto"/>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F607433"/>
    <w:multiLevelType w:val="hybridMultilevel"/>
    <w:tmpl w:val="DAEC419C"/>
    <w:lvl w:ilvl="0" w:tplc="4D784E72">
      <w:start w:val="1"/>
      <w:numFmt w:val="bullet"/>
      <w:pStyle w:val="bullet10"/>
      <w:lvlText w:val=""/>
      <w:lvlJc w:val="left"/>
      <w:pPr>
        <w:ind w:left="360" w:hanging="360"/>
      </w:pPr>
      <w:rPr>
        <w:rFonts w:ascii="Symbol" w:hAnsi="Symbol" w:hint="default"/>
        <w:sz w:val="24"/>
      </w:rPr>
    </w:lvl>
    <w:lvl w:ilvl="1" w:tplc="0C090019">
      <w:start w:val="1"/>
      <w:numFmt w:val="bullet"/>
      <w:lvlText w:val="o"/>
      <w:lvlJc w:val="left"/>
      <w:pPr>
        <w:tabs>
          <w:tab w:val="num" w:pos="1800"/>
        </w:tabs>
        <w:ind w:left="1800" w:hanging="360"/>
      </w:pPr>
      <w:rPr>
        <w:rFonts w:ascii="Courier New" w:hAnsi="Courier New" w:hint="default"/>
      </w:rPr>
    </w:lvl>
    <w:lvl w:ilvl="2" w:tplc="0C09001B">
      <w:start w:val="1"/>
      <w:numFmt w:val="bullet"/>
      <w:lvlText w:val=""/>
      <w:lvlJc w:val="left"/>
      <w:pPr>
        <w:tabs>
          <w:tab w:val="num" w:pos="2520"/>
        </w:tabs>
        <w:ind w:left="2520" w:hanging="360"/>
      </w:pPr>
      <w:rPr>
        <w:rFonts w:ascii="Wingdings" w:hAnsi="Wingdings" w:hint="default"/>
      </w:rPr>
    </w:lvl>
    <w:lvl w:ilvl="3" w:tplc="0C09000F">
      <w:start w:val="1"/>
      <w:numFmt w:val="bullet"/>
      <w:lvlText w:val=""/>
      <w:lvlJc w:val="left"/>
      <w:pPr>
        <w:tabs>
          <w:tab w:val="num" w:pos="3240"/>
        </w:tabs>
        <w:ind w:left="3240" w:hanging="360"/>
      </w:pPr>
      <w:rPr>
        <w:rFonts w:ascii="Symbol" w:hAnsi="Symbol" w:hint="default"/>
      </w:rPr>
    </w:lvl>
    <w:lvl w:ilvl="4" w:tplc="0C090019">
      <w:start w:val="1"/>
      <w:numFmt w:val="bullet"/>
      <w:lvlText w:val="o"/>
      <w:lvlJc w:val="left"/>
      <w:pPr>
        <w:tabs>
          <w:tab w:val="num" w:pos="3960"/>
        </w:tabs>
        <w:ind w:left="3960" w:hanging="360"/>
      </w:pPr>
      <w:rPr>
        <w:rFonts w:ascii="Courier New" w:hAnsi="Courier New" w:hint="default"/>
      </w:rPr>
    </w:lvl>
    <w:lvl w:ilvl="5" w:tplc="0C09001B">
      <w:start w:val="1"/>
      <w:numFmt w:val="bullet"/>
      <w:lvlText w:val=""/>
      <w:lvlJc w:val="left"/>
      <w:pPr>
        <w:tabs>
          <w:tab w:val="num" w:pos="4680"/>
        </w:tabs>
        <w:ind w:left="4680" w:hanging="360"/>
      </w:pPr>
      <w:rPr>
        <w:rFonts w:ascii="Wingdings" w:hAnsi="Wingdings" w:hint="default"/>
      </w:rPr>
    </w:lvl>
    <w:lvl w:ilvl="6" w:tplc="0C09000F">
      <w:start w:val="1"/>
      <w:numFmt w:val="bullet"/>
      <w:lvlText w:val=""/>
      <w:lvlJc w:val="left"/>
      <w:pPr>
        <w:tabs>
          <w:tab w:val="num" w:pos="5400"/>
        </w:tabs>
        <w:ind w:left="5400" w:hanging="360"/>
      </w:pPr>
      <w:rPr>
        <w:rFonts w:ascii="Symbol" w:hAnsi="Symbol" w:hint="default"/>
      </w:rPr>
    </w:lvl>
    <w:lvl w:ilvl="7" w:tplc="0C090019">
      <w:start w:val="1"/>
      <w:numFmt w:val="bullet"/>
      <w:lvlText w:val="o"/>
      <w:lvlJc w:val="left"/>
      <w:pPr>
        <w:tabs>
          <w:tab w:val="num" w:pos="6120"/>
        </w:tabs>
        <w:ind w:left="6120" w:hanging="360"/>
      </w:pPr>
      <w:rPr>
        <w:rFonts w:ascii="Courier New" w:hAnsi="Courier New" w:hint="default"/>
      </w:rPr>
    </w:lvl>
    <w:lvl w:ilvl="8" w:tplc="0C09001B">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74356DBA"/>
    <w:multiLevelType w:val="hybridMultilevel"/>
    <w:tmpl w:val="042C454E"/>
    <w:lvl w:ilvl="0" w:tplc="FFFFFFFF">
      <w:start w:val="1"/>
      <w:numFmt w:val="decimal"/>
      <w:lvlText w:val="%1."/>
      <w:lvlJc w:val="left"/>
      <w:pPr>
        <w:ind w:left="720" w:hanging="360"/>
      </w:pPr>
      <w:rPr>
        <w:b w:val="0"/>
        <w:bCs/>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7B787609"/>
    <w:multiLevelType w:val="hybridMultilevel"/>
    <w:tmpl w:val="76C8519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7D9C1199"/>
    <w:multiLevelType w:val="multilevel"/>
    <w:tmpl w:val="903E40C8"/>
    <w:lvl w:ilvl="0">
      <w:start w:val="1"/>
      <w:numFmt w:val="bullet"/>
      <w:pStyle w:val="bullet20"/>
      <w:lvlText w:val="o"/>
      <w:lvlJc w:val="left"/>
      <w:pPr>
        <w:ind w:left="717" w:hanging="360"/>
      </w:pPr>
      <w:rPr>
        <w:rFonts w:ascii="Courier New" w:hAnsi="Courier New" w:hint="default"/>
      </w:rPr>
    </w:lvl>
    <w:lvl w:ilvl="1">
      <w:start w:val="1"/>
      <w:numFmt w:val="bullet"/>
      <w:lvlText w:val="o"/>
      <w:lvlJc w:val="left"/>
      <w:pPr>
        <w:ind w:left="1224" w:hanging="357"/>
      </w:pPr>
      <w:rPr>
        <w:rFonts w:ascii="Courier New" w:hAnsi="Courier New" w:hint="default"/>
      </w:rPr>
    </w:lvl>
    <w:lvl w:ilvl="2">
      <w:start w:val="1"/>
      <w:numFmt w:val="bullet"/>
      <w:lvlText w:val=""/>
      <w:lvlJc w:val="left"/>
      <w:pPr>
        <w:ind w:left="1734" w:hanging="357"/>
      </w:pPr>
      <w:rPr>
        <w:rFonts w:ascii="Wingdings" w:hAnsi="Wingdings" w:hint="default"/>
      </w:rPr>
    </w:lvl>
    <w:lvl w:ilvl="3">
      <w:start w:val="1"/>
      <w:numFmt w:val="bullet"/>
      <w:lvlText w:val=""/>
      <w:lvlJc w:val="left"/>
      <w:pPr>
        <w:ind w:left="2244" w:hanging="357"/>
      </w:pPr>
      <w:rPr>
        <w:rFonts w:ascii="Symbol" w:hAnsi="Symbol" w:hint="default"/>
      </w:rPr>
    </w:lvl>
    <w:lvl w:ilvl="4">
      <w:start w:val="1"/>
      <w:numFmt w:val="bullet"/>
      <w:lvlText w:val="o"/>
      <w:lvlJc w:val="left"/>
      <w:pPr>
        <w:ind w:left="2754" w:hanging="357"/>
      </w:pPr>
      <w:rPr>
        <w:rFonts w:ascii="Courier New" w:hAnsi="Courier New" w:cs="Courier New" w:hint="default"/>
      </w:rPr>
    </w:lvl>
    <w:lvl w:ilvl="5">
      <w:start w:val="1"/>
      <w:numFmt w:val="bullet"/>
      <w:lvlText w:val=""/>
      <w:lvlJc w:val="left"/>
      <w:pPr>
        <w:ind w:left="3264" w:hanging="357"/>
      </w:pPr>
      <w:rPr>
        <w:rFonts w:ascii="Wingdings" w:hAnsi="Wingdings" w:hint="default"/>
      </w:rPr>
    </w:lvl>
    <w:lvl w:ilvl="6">
      <w:start w:val="1"/>
      <w:numFmt w:val="bullet"/>
      <w:lvlText w:val=""/>
      <w:lvlJc w:val="left"/>
      <w:pPr>
        <w:ind w:left="3774" w:hanging="357"/>
      </w:pPr>
      <w:rPr>
        <w:rFonts w:ascii="Symbol" w:hAnsi="Symbol" w:hint="default"/>
      </w:rPr>
    </w:lvl>
    <w:lvl w:ilvl="7">
      <w:start w:val="1"/>
      <w:numFmt w:val="bullet"/>
      <w:lvlText w:val="o"/>
      <w:lvlJc w:val="left"/>
      <w:pPr>
        <w:ind w:left="4284" w:hanging="357"/>
      </w:pPr>
      <w:rPr>
        <w:rFonts w:ascii="Courier New" w:hAnsi="Courier New" w:cs="Courier New" w:hint="default"/>
      </w:rPr>
    </w:lvl>
    <w:lvl w:ilvl="8">
      <w:start w:val="1"/>
      <w:numFmt w:val="bullet"/>
      <w:lvlText w:val=""/>
      <w:lvlJc w:val="left"/>
      <w:pPr>
        <w:ind w:left="4794" w:hanging="357"/>
      </w:pPr>
      <w:rPr>
        <w:rFonts w:ascii="Wingdings" w:hAnsi="Wingdings" w:hint="default"/>
      </w:rPr>
    </w:lvl>
  </w:abstractNum>
  <w:num w:numId="1" w16cid:durableId="1724668679">
    <w:abstractNumId w:val="26"/>
  </w:num>
  <w:num w:numId="2" w16cid:durableId="979111286">
    <w:abstractNumId w:val="10"/>
  </w:num>
  <w:num w:numId="3" w16cid:durableId="624122357">
    <w:abstractNumId w:val="15"/>
  </w:num>
  <w:num w:numId="4" w16cid:durableId="1158498186">
    <w:abstractNumId w:val="29"/>
  </w:num>
  <w:num w:numId="5" w16cid:durableId="1532960818">
    <w:abstractNumId w:val="32"/>
  </w:num>
  <w:num w:numId="6" w16cid:durableId="552470070">
    <w:abstractNumId w:val="3"/>
  </w:num>
  <w:num w:numId="7" w16cid:durableId="611396820">
    <w:abstractNumId w:val="19"/>
  </w:num>
  <w:num w:numId="8" w16cid:durableId="404570024">
    <w:abstractNumId w:val="17"/>
  </w:num>
  <w:num w:numId="9" w16cid:durableId="1146051722">
    <w:abstractNumId w:val="11"/>
  </w:num>
  <w:num w:numId="10" w16cid:durableId="1911385974">
    <w:abstractNumId w:val="14"/>
  </w:num>
  <w:num w:numId="11" w16cid:durableId="146287623">
    <w:abstractNumId w:val="7"/>
  </w:num>
  <w:num w:numId="12" w16cid:durableId="456097330">
    <w:abstractNumId w:val="24"/>
  </w:num>
  <w:num w:numId="13" w16cid:durableId="1135489105">
    <w:abstractNumId w:val="23"/>
  </w:num>
  <w:num w:numId="14" w16cid:durableId="557402120">
    <w:abstractNumId w:val="9"/>
  </w:num>
  <w:num w:numId="15" w16cid:durableId="2081054892">
    <w:abstractNumId w:val="18"/>
    <w:lvlOverride w:ilvl="0">
      <w:lvl w:ilvl="0">
        <w:start w:val="1"/>
        <w:numFmt w:val="decimal"/>
        <w:pStyle w:val="TableTitle"/>
        <w:lvlText w:val="Table %1."/>
        <w:lvlJc w:val="left"/>
        <w:pPr>
          <w:ind w:left="1134" w:hanging="1134"/>
        </w:pPr>
        <w:rPr>
          <w:rFonts w:hint="default"/>
          <w:b/>
          <w:i w:val="0"/>
          <w:caps w:val="0"/>
          <w:color w:val="5B9BD5" w:themeColor="accent1"/>
        </w:rPr>
      </w:lvl>
    </w:lvlOverride>
  </w:num>
  <w:num w:numId="16" w16cid:durableId="1793204199">
    <w:abstractNumId w:val="1"/>
  </w:num>
  <w:num w:numId="17" w16cid:durableId="647906734">
    <w:abstractNumId w:val="22"/>
  </w:num>
  <w:num w:numId="18" w16cid:durableId="1475834925">
    <w:abstractNumId w:val="28"/>
  </w:num>
  <w:num w:numId="19" w16cid:durableId="557789921">
    <w:abstractNumId w:val="27"/>
  </w:num>
  <w:num w:numId="20" w16cid:durableId="1066802520">
    <w:abstractNumId w:val="30"/>
  </w:num>
  <w:num w:numId="21" w16cid:durableId="1160392411">
    <w:abstractNumId w:val="0"/>
  </w:num>
  <w:num w:numId="22" w16cid:durableId="1573807071">
    <w:abstractNumId w:val="6"/>
  </w:num>
  <w:num w:numId="23" w16cid:durableId="1422725327">
    <w:abstractNumId w:val="20"/>
  </w:num>
  <w:num w:numId="24" w16cid:durableId="1701083255">
    <w:abstractNumId w:val="21"/>
  </w:num>
  <w:num w:numId="25" w16cid:durableId="101342574">
    <w:abstractNumId w:val="8"/>
  </w:num>
  <w:num w:numId="26" w16cid:durableId="132069800">
    <w:abstractNumId w:val="5"/>
  </w:num>
  <w:num w:numId="27" w16cid:durableId="1838293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1978918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092433013">
    <w:abstractNumId w:val="2"/>
  </w:num>
  <w:num w:numId="30" w16cid:durableId="32003920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458494530">
    <w:abstractNumId w:val="12"/>
  </w:num>
  <w:num w:numId="32" w16cid:durableId="2072147309">
    <w:abstractNumId w:val="31"/>
  </w:num>
  <w:num w:numId="33" w16cid:durableId="1158888492">
    <w:abstractNumId w:val="13"/>
  </w:num>
  <w:num w:numId="34" w16cid:durableId="385028282">
    <w:abstractNumId w:val="4"/>
  </w:num>
  <w:num w:numId="35" w16cid:durableId="1100103290">
    <w:abstractNumId w:val="1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694"/>
    <w:rsid w:val="00002A83"/>
    <w:rsid w:val="00002AF7"/>
    <w:rsid w:val="00002E80"/>
    <w:rsid w:val="0001033F"/>
    <w:rsid w:val="00011180"/>
    <w:rsid w:val="000148A1"/>
    <w:rsid w:val="000166E2"/>
    <w:rsid w:val="00024DB8"/>
    <w:rsid w:val="00030F0F"/>
    <w:rsid w:val="00032991"/>
    <w:rsid w:val="00033095"/>
    <w:rsid w:val="00033B8B"/>
    <w:rsid w:val="00034451"/>
    <w:rsid w:val="000409CC"/>
    <w:rsid w:val="00041229"/>
    <w:rsid w:val="00042315"/>
    <w:rsid w:val="000459F7"/>
    <w:rsid w:val="000468A5"/>
    <w:rsid w:val="00046C7E"/>
    <w:rsid w:val="00047A2F"/>
    <w:rsid w:val="00050689"/>
    <w:rsid w:val="0005202D"/>
    <w:rsid w:val="00052CE2"/>
    <w:rsid w:val="0005427C"/>
    <w:rsid w:val="00060883"/>
    <w:rsid w:val="00061209"/>
    <w:rsid w:val="00061CB7"/>
    <w:rsid w:val="00062FC3"/>
    <w:rsid w:val="00063F53"/>
    <w:rsid w:val="00067AB9"/>
    <w:rsid w:val="00067E3F"/>
    <w:rsid w:val="00067F06"/>
    <w:rsid w:val="00070C45"/>
    <w:rsid w:val="000772E8"/>
    <w:rsid w:val="00080696"/>
    <w:rsid w:val="00080A08"/>
    <w:rsid w:val="000815FE"/>
    <w:rsid w:val="00093948"/>
    <w:rsid w:val="000945FC"/>
    <w:rsid w:val="000977F2"/>
    <w:rsid w:val="000A1179"/>
    <w:rsid w:val="000A2753"/>
    <w:rsid w:val="000A31F3"/>
    <w:rsid w:val="000A3AC1"/>
    <w:rsid w:val="000A5858"/>
    <w:rsid w:val="000A6F7E"/>
    <w:rsid w:val="000B192F"/>
    <w:rsid w:val="000B357A"/>
    <w:rsid w:val="000B416C"/>
    <w:rsid w:val="000B46D9"/>
    <w:rsid w:val="000B47F1"/>
    <w:rsid w:val="000B5A89"/>
    <w:rsid w:val="000C124F"/>
    <w:rsid w:val="000D3642"/>
    <w:rsid w:val="000D3DE7"/>
    <w:rsid w:val="000D473E"/>
    <w:rsid w:val="000D5635"/>
    <w:rsid w:val="000D64AA"/>
    <w:rsid w:val="000D7B2A"/>
    <w:rsid w:val="000E01B8"/>
    <w:rsid w:val="000E11E7"/>
    <w:rsid w:val="000E35A9"/>
    <w:rsid w:val="000F1369"/>
    <w:rsid w:val="000F489D"/>
    <w:rsid w:val="000F7076"/>
    <w:rsid w:val="00103C68"/>
    <w:rsid w:val="001058E8"/>
    <w:rsid w:val="0010655A"/>
    <w:rsid w:val="00106D73"/>
    <w:rsid w:val="0011082B"/>
    <w:rsid w:val="00113337"/>
    <w:rsid w:val="00116A4B"/>
    <w:rsid w:val="001202BC"/>
    <w:rsid w:val="00120DB6"/>
    <w:rsid w:val="00122B4D"/>
    <w:rsid w:val="00125E59"/>
    <w:rsid w:val="00126A84"/>
    <w:rsid w:val="001274ED"/>
    <w:rsid w:val="00132F24"/>
    <w:rsid w:val="00137F41"/>
    <w:rsid w:val="00140E63"/>
    <w:rsid w:val="001411B2"/>
    <w:rsid w:val="001456B1"/>
    <w:rsid w:val="00146D8C"/>
    <w:rsid w:val="00147183"/>
    <w:rsid w:val="00147648"/>
    <w:rsid w:val="00147A4B"/>
    <w:rsid w:val="001509FD"/>
    <w:rsid w:val="00155F96"/>
    <w:rsid w:val="001628EB"/>
    <w:rsid w:val="001659C3"/>
    <w:rsid w:val="00165D31"/>
    <w:rsid w:val="001700B0"/>
    <w:rsid w:val="001723F7"/>
    <w:rsid w:val="00182264"/>
    <w:rsid w:val="00182F29"/>
    <w:rsid w:val="00183FC6"/>
    <w:rsid w:val="00185CCE"/>
    <w:rsid w:val="00186490"/>
    <w:rsid w:val="001868B5"/>
    <w:rsid w:val="001901D9"/>
    <w:rsid w:val="0019032A"/>
    <w:rsid w:val="00190528"/>
    <w:rsid w:val="001A6487"/>
    <w:rsid w:val="001A7172"/>
    <w:rsid w:val="001A7D21"/>
    <w:rsid w:val="001B45D4"/>
    <w:rsid w:val="001B5152"/>
    <w:rsid w:val="001B5B9D"/>
    <w:rsid w:val="001B6B20"/>
    <w:rsid w:val="001D0003"/>
    <w:rsid w:val="001D03E6"/>
    <w:rsid w:val="001D1435"/>
    <w:rsid w:val="001D47FB"/>
    <w:rsid w:val="001E00FC"/>
    <w:rsid w:val="001E0980"/>
    <w:rsid w:val="001E0C4D"/>
    <w:rsid w:val="001E0F16"/>
    <w:rsid w:val="001E174B"/>
    <w:rsid w:val="001E2685"/>
    <w:rsid w:val="001E6D0F"/>
    <w:rsid w:val="001F14CD"/>
    <w:rsid w:val="001F33C7"/>
    <w:rsid w:val="001F5368"/>
    <w:rsid w:val="001F5A1E"/>
    <w:rsid w:val="00200493"/>
    <w:rsid w:val="002066E9"/>
    <w:rsid w:val="00206AF0"/>
    <w:rsid w:val="00207295"/>
    <w:rsid w:val="002105BF"/>
    <w:rsid w:val="00214621"/>
    <w:rsid w:val="002151D4"/>
    <w:rsid w:val="002220C0"/>
    <w:rsid w:val="00222C35"/>
    <w:rsid w:val="002246A4"/>
    <w:rsid w:val="00225168"/>
    <w:rsid w:val="00225D81"/>
    <w:rsid w:val="002261CB"/>
    <w:rsid w:val="00226D92"/>
    <w:rsid w:val="00227DEA"/>
    <w:rsid w:val="00232D72"/>
    <w:rsid w:val="002341A9"/>
    <w:rsid w:val="002414B3"/>
    <w:rsid w:val="002456B4"/>
    <w:rsid w:val="002519BD"/>
    <w:rsid w:val="00254EE3"/>
    <w:rsid w:val="0025564E"/>
    <w:rsid w:val="00257E4B"/>
    <w:rsid w:val="00264497"/>
    <w:rsid w:val="00272DFF"/>
    <w:rsid w:val="00272E11"/>
    <w:rsid w:val="00273FD1"/>
    <w:rsid w:val="00274BF2"/>
    <w:rsid w:val="00277AF5"/>
    <w:rsid w:val="0028052C"/>
    <w:rsid w:val="00284B1E"/>
    <w:rsid w:val="0028772E"/>
    <w:rsid w:val="002901DC"/>
    <w:rsid w:val="002903A5"/>
    <w:rsid w:val="00290922"/>
    <w:rsid w:val="00291845"/>
    <w:rsid w:val="00292832"/>
    <w:rsid w:val="002A0931"/>
    <w:rsid w:val="002A3C2D"/>
    <w:rsid w:val="002A47C5"/>
    <w:rsid w:val="002A47F8"/>
    <w:rsid w:val="002B3A89"/>
    <w:rsid w:val="002B4201"/>
    <w:rsid w:val="002B6770"/>
    <w:rsid w:val="002B6DBD"/>
    <w:rsid w:val="002B6EE5"/>
    <w:rsid w:val="002C494E"/>
    <w:rsid w:val="002C4BD6"/>
    <w:rsid w:val="002D0C44"/>
    <w:rsid w:val="002D3D10"/>
    <w:rsid w:val="002D741F"/>
    <w:rsid w:val="002D7E91"/>
    <w:rsid w:val="002E15CE"/>
    <w:rsid w:val="002E2B52"/>
    <w:rsid w:val="002E54EC"/>
    <w:rsid w:val="002F14F6"/>
    <w:rsid w:val="002F4845"/>
    <w:rsid w:val="002F7806"/>
    <w:rsid w:val="00300CCC"/>
    <w:rsid w:val="003035F1"/>
    <w:rsid w:val="0031221A"/>
    <w:rsid w:val="0031298B"/>
    <w:rsid w:val="003144A1"/>
    <w:rsid w:val="00317916"/>
    <w:rsid w:val="00325808"/>
    <w:rsid w:val="0032718E"/>
    <w:rsid w:val="00327C98"/>
    <w:rsid w:val="00334042"/>
    <w:rsid w:val="0033488F"/>
    <w:rsid w:val="003355AA"/>
    <w:rsid w:val="00340363"/>
    <w:rsid w:val="003418BE"/>
    <w:rsid w:val="003435A9"/>
    <w:rsid w:val="00350A19"/>
    <w:rsid w:val="00350BBA"/>
    <w:rsid w:val="003512DE"/>
    <w:rsid w:val="00360481"/>
    <w:rsid w:val="003633D4"/>
    <w:rsid w:val="003677B1"/>
    <w:rsid w:val="00370197"/>
    <w:rsid w:val="00371114"/>
    <w:rsid w:val="00371DB7"/>
    <w:rsid w:val="00373693"/>
    <w:rsid w:val="00376982"/>
    <w:rsid w:val="00382CED"/>
    <w:rsid w:val="00386324"/>
    <w:rsid w:val="00387882"/>
    <w:rsid w:val="0039075C"/>
    <w:rsid w:val="003908E5"/>
    <w:rsid w:val="00391887"/>
    <w:rsid w:val="00395E27"/>
    <w:rsid w:val="00396F98"/>
    <w:rsid w:val="003A12EE"/>
    <w:rsid w:val="003A148A"/>
    <w:rsid w:val="003A1497"/>
    <w:rsid w:val="003A2050"/>
    <w:rsid w:val="003A4765"/>
    <w:rsid w:val="003A5449"/>
    <w:rsid w:val="003A5E33"/>
    <w:rsid w:val="003A74DD"/>
    <w:rsid w:val="003B129B"/>
    <w:rsid w:val="003B4079"/>
    <w:rsid w:val="003B42E5"/>
    <w:rsid w:val="003B7CE2"/>
    <w:rsid w:val="003B7F9A"/>
    <w:rsid w:val="003C0B38"/>
    <w:rsid w:val="003C2BC2"/>
    <w:rsid w:val="003C3BAF"/>
    <w:rsid w:val="003C3D01"/>
    <w:rsid w:val="003C4D86"/>
    <w:rsid w:val="003C5CA1"/>
    <w:rsid w:val="003D22DE"/>
    <w:rsid w:val="003D2309"/>
    <w:rsid w:val="003D4137"/>
    <w:rsid w:val="003D6B00"/>
    <w:rsid w:val="003E232D"/>
    <w:rsid w:val="003E42E0"/>
    <w:rsid w:val="003E45FA"/>
    <w:rsid w:val="003E4738"/>
    <w:rsid w:val="003F17A8"/>
    <w:rsid w:val="003F440B"/>
    <w:rsid w:val="003F6C33"/>
    <w:rsid w:val="003F7835"/>
    <w:rsid w:val="00401DFD"/>
    <w:rsid w:val="004020B1"/>
    <w:rsid w:val="00402516"/>
    <w:rsid w:val="00402C25"/>
    <w:rsid w:val="00403623"/>
    <w:rsid w:val="00405778"/>
    <w:rsid w:val="0041036E"/>
    <w:rsid w:val="0041086B"/>
    <w:rsid w:val="00410DB1"/>
    <w:rsid w:val="00416498"/>
    <w:rsid w:val="00417870"/>
    <w:rsid w:val="00420A2A"/>
    <w:rsid w:val="004212A4"/>
    <w:rsid w:val="00423CA3"/>
    <w:rsid w:val="00425FF0"/>
    <w:rsid w:val="00430784"/>
    <w:rsid w:val="00431FCF"/>
    <w:rsid w:val="00435884"/>
    <w:rsid w:val="00435E6A"/>
    <w:rsid w:val="00441160"/>
    <w:rsid w:val="00441D11"/>
    <w:rsid w:val="00442B9C"/>
    <w:rsid w:val="00443784"/>
    <w:rsid w:val="00444579"/>
    <w:rsid w:val="004532BF"/>
    <w:rsid w:val="00453C62"/>
    <w:rsid w:val="00454420"/>
    <w:rsid w:val="00457A95"/>
    <w:rsid w:val="00460520"/>
    <w:rsid w:val="00462830"/>
    <w:rsid w:val="004670B2"/>
    <w:rsid w:val="0046797D"/>
    <w:rsid w:val="00470DB3"/>
    <w:rsid w:val="00473ED1"/>
    <w:rsid w:val="004779EA"/>
    <w:rsid w:val="00480801"/>
    <w:rsid w:val="00480CD2"/>
    <w:rsid w:val="00481CB2"/>
    <w:rsid w:val="0048305D"/>
    <w:rsid w:val="00483345"/>
    <w:rsid w:val="00483F8D"/>
    <w:rsid w:val="0048682A"/>
    <w:rsid w:val="00493D80"/>
    <w:rsid w:val="00495309"/>
    <w:rsid w:val="00495C6A"/>
    <w:rsid w:val="00497512"/>
    <w:rsid w:val="00497BC2"/>
    <w:rsid w:val="004A003A"/>
    <w:rsid w:val="004A4DD8"/>
    <w:rsid w:val="004A5A93"/>
    <w:rsid w:val="004A6470"/>
    <w:rsid w:val="004B03AD"/>
    <w:rsid w:val="004B44FE"/>
    <w:rsid w:val="004B7F23"/>
    <w:rsid w:val="004C59F7"/>
    <w:rsid w:val="004D6F63"/>
    <w:rsid w:val="004D749A"/>
    <w:rsid w:val="004E0B4D"/>
    <w:rsid w:val="004E2AD4"/>
    <w:rsid w:val="004E3BF4"/>
    <w:rsid w:val="004E4E46"/>
    <w:rsid w:val="004E501E"/>
    <w:rsid w:val="004E5382"/>
    <w:rsid w:val="004E5B32"/>
    <w:rsid w:val="004F3F45"/>
    <w:rsid w:val="004F65EA"/>
    <w:rsid w:val="00505D4E"/>
    <w:rsid w:val="00510DEA"/>
    <w:rsid w:val="00511720"/>
    <w:rsid w:val="00513CD6"/>
    <w:rsid w:val="00514C3A"/>
    <w:rsid w:val="00515C14"/>
    <w:rsid w:val="00517864"/>
    <w:rsid w:val="00525465"/>
    <w:rsid w:val="005331E2"/>
    <w:rsid w:val="00534CCC"/>
    <w:rsid w:val="00536956"/>
    <w:rsid w:val="00541AB8"/>
    <w:rsid w:val="00542290"/>
    <w:rsid w:val="00544D0B"/>
    <w:rsid w:val="00550867"/>
    <w:rsid w:val="0055278D"/>
    <w:rsid w:val="00555ED7"/>
    <w:rsid w:val="005561B3"/>
    <w:rsid w:val="00557502"/>
    <w:rsid w:val="00561662"/>
    <w:rsid w:val="00564033"/>
    <w:rsid w:val="00564C40"/>
    <w:rsid w:val="00565FB4"/>
    <w:rsid w:val="00566404"/>
    <w:rsid w:val="00567695"/>
    <w:rsid w:val="00572530"/>
    <w:rsid w:val="00577972"/>
    <w:rsid w:val="00581D4B"/>
    <w:rsid w:val="0058437E"/>
    <w:rsid w:val="0058476B"/>
    <w:rsid w:val="00586F3A"/>
    <w:rsid w:val="00587343"/>
    <w:rsid w:val="00587E63"/>
    <w:rsid w:val="005908CE"/>
    <w:rsid w:val="00590F62"/>
    <w:rsid w:val="005929CA"/>
    <w:rsid w:val="00593F35"/>
    <w:rsid w:val="005951BD"/>
    <w:rsid w:val="005970FF"/>
    <w:rsid w:val="005A4883"/>
    <w:rsid w:val="005A4F2B"/>
    <w:rsid w:val="005B1F3C"/>
    <w:rsid w:val="005B5348"/>
    <w:rsid w:val="005B5DF3"/>
    <w:rsid w:val="005B6770"/>
    <w:rsid w:val="005B6FCE"/>
    <w:rsid w:val="005B75EE"/>
    <w:rsid w:val="005C7499"/>
    <w:rsid w:val="005D23F2"/>
    <w:rsid w:val="005D314B"/>
    <w:rsid w:val="005D37BD"/>
    <w:rsid w:val="005D3F6F"/>
    <w:rsid w:val="005D5A3F"/>
    <w:rsid w:val="005D5ABB"/>
    <w:rsid w:val="005E1406"/>
    <w:rsid w:val="005E238A"/>
    <w:rsid w:val="005E298F"/>
    <w:rsid w:val="005E35C3"/>
    <w:rsid w:val="005E69BD"/>
    <w:rsid w:val="005F0068"/>
    <w:rsid w:val="005F1EC8"/>
    <w:rsid w:val="005F70C4"/>
    <w:rsid w:val="0060051C"/>
    <w:rsid w:val="006017C1"/>
    <w:rsid w:val="00602987"/>
    <w:rsid w:val="00606296"/>
    <w:rsid w:val="006073A7"/>
    <w:rsid w:val="00613213"/>
    <w:rsid w:val="00613831"/>
    <w:rsid w:val="0061416F"/>
    <w:rsid w:val="0061514F"/>
    <w:rsid w:val="00615621"/>
    <w:rsid w:val="0062146F"/>
    <w:rsid w:val="0062157D"/>
    <w:rsid w:val="00623DD6"/>
    <w:rsid w:val="0062637E"/>
    <w:rsid w:val="006325DA"/>
    <w:rsid w:val="006358B9"/>
    <w:rsid w:val="006361AE"/>
    <w:rsid w:val="00636612"/>
    <w:rsid w:val="00642335"/>
    <w:rsid w:val="006438A7"/>
    <w:rsid w:val="00650E29"/>
    <w:rsid w:val="0065359F"/>
    <w:rsid w:val="00654372"/>
    <w:rsid w:val="00654D09"/>
    <w:rsid w:val="00657B12"/>
    <w:rsid w:val="00667B0C"/>
    <w:rsid w:val="0067060B"/>
    <w:rsid w:val="00670AB7"/>
    <w:rsid w:val="006744F8"/>
    <w:rsid w:val="0067474D"/>
    <w:rsid w:val="00675B96"/>
    <w:rsid w:val="00691BCF"/>
    <w:rsid w:val="0069252D"/>
    <w:rsid w:val="00695160"/>
    <w:rsid w:val="00697374"/>
    <w:rsid w:val="006A00BD"/>
    <w:rsid w:val="006A0434"/>
    <w:rsid w:val="006A1CA9"/>
    <w:rsid w:val="006A6532"/>
    <w:rsid w:val="006A686B"/>
    <w:rsid w:val="006B0E38"/>
    <w:rsid w:val="006B4600"/>
    <w:rsid w:val="006B4D3E"/>
    <w:rsid w:val="006B56AA"/>
    <w:rsid w:val="006C3AC5"/>
    <w:rsid w:val="006C6D9F"/>
    <w:rsid w:val="006D2061"/>
    <w:rsid w:val="006E167F"/>
    <w:rsid w:val="006E2503"/>
    <w:rsid w:val="006F7B65"/>
    <w:rsid w:val="006F7F07"/>
    <w:rsid w:val="00700913"/>
    <w:rsid w:val="00705236"/>
    <w:rsid w:val="007065D5"/>
    <w:rsid w:val="007127C2"/>
    <w:rsid w:val="007136CE"/>
    <w:rsid w:val="007145ED"/>
    <w:rsid w:val="00716175"/>
    <w:rsid w:val="00716CFA"/>
    <w:rsid w:val="007227F0"/>
    <w:rsid w:val="00723F5C"/>
    <w:rsid w:val="007245BD"/>
    <w:rsid w:val="00726A29"/>
    <w:rsid w:val="00727119"/>
    <w:rsid w:val="00730294"/>
    <w:rsid w:val="00731BA1"/>
    <w:rsid w:val="00733974"/>
    <w:rsid w:val="00736191"/>
    <w:rsid w:val="007413E4"/>
    <w:rsid w:val="007428F1"/>
    <w:rsid w:val="00744D15"/>
    <w:rsid w:val="00751C91"/>
    <w:rsid w:val="00756957"/>
    <w:rsid w:val="00757931"/>
    <w:rsid w:val="00760F11"/>
    <w:rsid w:val="0076133C"/>
    <w:rsid w:val="007621B2"/>
    <w:rsid w:val="00765E05"/>
    <w:rsid w:val="007668A8"/>
    <w:rsid w:val="00770344"/>
    <w:rsid w:val="007723F5"/>
    <w:rsid w:val="007728C4"/>
    <w:rsid w:val="00774390"/>
    <w:rsid w:val="007763D8"/>
    <w:rsid w:val="007770D2"/>
    <w:rsid w:val="007805E2"/>
    <w:rsid w:val="007811EC"/>
    <w:rsid w:val="00781C6C"/>
    <w:rsid w:val="00783E48"/>
    <w:rsid w:val="007849C3"/>
    <w:rsid w:val="00785D24"/>
    <w:rsid w:val="0079173B"/>
    <w:rsid w:val="00792C68"/>
    <w:rsid w:val="00793117"/>
    <w:rsid w:val="007931DD"/>
    <w:rsid w:val="00796814"/>
    <w:rsid w:val="0079704B"/>
    <w:rsid w:val="00797552"/>
    <w:rsid w:val="007A1203"/>
    <w:rsid w:val="007A2F11"/>
    <w:rsid w:val="007A346C"/>
    <w:rsid w:val="007B0885"/>
    <w:rsid w:val="007B7F17"/>
    <w:rsid w:val="007C31FD"/>
    <w:rsid w:val="007C3FE1"/>
    <w:rsid w:val="007C65A3"/>
    <w:rsid w:val="007C762F"/>
    <w:rsid w:val="007D1067"/>
    <w:rsid w:val="007D1854"/>
    <w:rsid w:val="007D31D0"/>
    <w:rsid w:val="007D37ED"/>
    <w:rsid w:val="007D6B26"/>
    <w:rsid w:val="007D7624"/>
    <w:rsid w:val="007E09A7"/>
    <w:rsid w:val="007E0C22"/>
    <w:rsid w:val="007E0D01"/>
    <w:rsid w:val="007E150A"/>
    <w:rsid w:val="007E1ADF"/>
    <w:rsid w:val="007E34C2"/>
    <w:rsid w:val="007E5050"/>
    <w:rsid w:val="007F57EE"/>
    <w:rsid w:val="00804089"/>
    <w:rsid w:val="00805FD8"/>
    <w:rsid w:val="008069F5"/>
    <w:rsid w:val="00807B4A"/>
    <w:rsid w:val="00810AF1"/>
    <w:rsid w:val="00813403"/>
    <w:rsid w:val="00813D10"/>
    <w:rsid w:val="00814AEE"/>
    <w:rsid w:val="00814D89"/>
    <w:rsid w:val="008150D6"/>
    <w:rsid w:val="00823A16"/>
    <w:rsid w:val="00824F4C"/>
    <w:rsid w:val="00825C83"/>
    <w:rsid w:val="0083203F"/>
    <w:rsid w:val="00832706"/>
    <w:rsid w:val="00832E86"/>
    <w:rsid w:val="00842844"/>
    <w:rsid w:val="00844052"/>
    <w:rsid w:val="00844A05"/>
    <w:rsid w:val="0084687E"/>
    <w:rsid w:val="00846EFE"/>
    <w:rsid w:val="00850058"/>
    <w:rsid w:val="00850953"/>
    <w:rsid w:val="00851091"/>
    <w:rsid w:val="00852E60"/>
    <w:rsid w:val="00853876"/>
    <w:rsid w:val="00854DDA"/>
    <w:rsid w:val="00855415"/>
    <w:rsid w:val="00857180"/>
    <w:rsid w:val="008618D2"/>
    <w:rsid w:val="00861E0D"/>
    <w:rsid w:val="00864104"/>
    <w:rsid w:val="00864883"/>
    <w:rsid w:val="00870043"/>
    <w:rsid w:val="00874B34"/>
    <w:rsid w:val="0087638C"/>
    <w:rsid w:val="0088195F"/>
    <w:rsid w:val="00887730"/>
    <w:rsid w:val="008878D6"/>
    <w:rsid w:val="00891A18"/>
    <w:rsid w:val="008958D2"/>
    <w:rsid w:val="00896247"/>
    <w:rsid w:val="008A0404"/>
    <w:rsid w:val="008A251E"/>
    <w:rsid w:val="008A327A"/>
    <w:rsid w:val="008A46A8"/>
    <w:rsid w:val="008A555D"/>
    <w:rsid w:val="008A6C00"/>
    <w:rsid w:val="008C081A"/>
    <w:rsid w:val="008C1A20"/>
    <w:rsid w:val="008C3BB7"/>
    <w:rsid w:val="008C5418"/>
    <w:rsid w:val="008C7FD2"/>
    <w:rsid w:val="008D041E"/>
    <w:rsid w:val="008D0602"/>
    <w:rsid w:val="008D5EAC"/>
    <w:rsid w:val="008D6BB7"/>
    <w:rsid w:val="008E07C5"/>
    <w:rsid w:val="008E13EE"/>
    <w:rsid w:val="008E3B95"/>
    <w:rsid w:val="008E62A6"/>
    <w:rsid w:val="008F068E"/>
    <w:rsid w:val="008F187D"/>
    <w:rsid w:val="008F4C1C"/>
    <w:rsid w:val="008F70AD"/>
    <w:rsid w:val="009051C5"/>
    <w:rsid w:val="00905992"/>
    <w:rsid w:val="00905F23"/>
    <w:rsid w:val="00911A17"/>
    <w:rsid w:val="009169D8"/>
    <w:rsid w:val="009171D8"/>
    <w:rsid w:val="00917D52"/>
    <w:rsid w:val="009266DD"/>
    <w:rsid w:val="009273A3"/>
    <w:rsid w:val="0093265F"/>
    <w:rsid w:val="00934578"/>
    <w:rsid w:val="00936B0E"/>
    <w:rsid w:val="00940E2C"/>
    <w:rsid w:val="00944865"/>
    <w:rsid w:val="0094593A"/>
    <w:rsid w:val="00945946"/>
    <w:rsid w:val="00945A13"/>
    <w:rsid w:val="00945B17"/>
    <w:rsid w:val="00951E03"/>
    <w:rsid w:val="00953B18"/>
    <w:rsid w:val="00961E86"/>
    <w:rsid w:val="00962518"/>
    <w:rsid w:val="00962CDD"/>
    <w:rsid w:val="00964BB7"/>
    <w:rsid w:val="0096521B"/>
    <w:rsid w:val="009712C4"/>
    <w:rsid w:val="00975187"/>
    <w:rsid w:val="00975E18"/>
    <w:rsid w:val="00975EA9"/>
    <w:rsid w:val="009807A3"/>
    <w:rsid w:val="00981E36"/>
    <w:rsid w:val="00982D0B"/>
    <w:rsid w:val="0098420B"/>
    <w:rsid w:val="009876C6"/>
    <w:rsid w:val="0099597A"/>
    <w:rsid w:val="00996406"/>
    <w:rsid w:val="009A2F21"/>
    <w:rsid w:val="009A4076"/>
    <w:rsid w:val="009A5B2A"/>
    <w:rsid w:val="009A7D27"/>
    <w:rsid w:val="009C0482"/>
    <w:rsid w:val="009C6EF0"/>
    <w:rsid w:val="009D1D56"/>
    <w:rsid w:val="009D2444"/>
    <w:rsid w:val="009D3931"/>
    <w:rsid w:val="009D3B01"/>
    <w:rsid w:val="009D3D0A"/>
    <w:rsid w:val="009D5769"/>
    <w:rsid w:val="009D5963"/>
    <w:rsid w:val="009E0A13"/>
    <w:rsid w:val="009E39BE"/>
    <w:rsid w:val="009E6741"/>
    <w:rsid w:val="009E7231"/>
    <w:rsid w:val="009F1345"/>
    <w:rsid w:val="009F1A2F"/>
    <w:rsid w:val="009F4D46"/>
    <w:rsid w:val="00A00BEB"/>
    <w:rsid w:val="00A0120A"/>
    <w:rsid w:val="00A0335D"/>
    <w:rsid w:val="00A06137"/>
    <w:rsid w:val="00A061B8"/>
    <w:rsid w:val="00A070FE"/>
    <w:rsid w:val="00A07E1A"/>
    <w:rsid w:val="00A10BAB"/>
    <w:rsid w:val="00A1203B"/>
    <w:rsid w:val="00A1237C"/>
    <w:rsid w:val="00A14766"/>
    <w:rsid w:val="00A225E8"/>
    <w:rsid w:val="00A23149"/>
    <w:rsid w:val="00A2632E"/>
    <w:rsid w:val="00A31721"/>
    <w:rsid w:val="00A31BA5"/>
    <w:rsid w:val="00A42E9A"/>
    <w:rsid w:val="00A47788"/>
    <w:rsid w:val="00A47E3D"/>
    <w:rsid w:val="00A50ACF"/>
    <w:rsid w:val="00A51A6D"/>
    <w:rsid w:val="00A52C0F"/>
    <w:rsid w:val="00A53C78"/>
    <w:rsid w:val="00A53D59"/>
    <w:rsid w:val="00A5763E"/>
    <w:rsid w:val="00A614ED"/>
    <w:rsid w:val="00A62D5C"/>
    <w:rsid w:val="00A64EF8"/>
    <w:rsid w:val="00A663F3"/>
    <w:rsid w:val="00A66AC5"/>
    <w:rsid w:val="00A6761B"/>
    <w:rsid w:val="00A72F08"/>
    <w:rsid w:val="00A74BC2"/>
    <w:rsid w:val="00A74F68"/>
    <w:rsid w:val="00A754BB"/>
    <w:rsid w:val="00A75733"/>
    <w:rsid w:val="00A75F42"/>
    <w:rsid w:val="00A767D7"/>
    <w:rsid w:val="00A77EA4"/>
    <w:rsid w:val="00A8523A"/>
    <w:rsid w:val="00A92730"/>
    <w:rsid w:val="00AA51A2"/>
    <w:rsid w:val="00AA658C"/>
    <w:rsid w:val="00AA7C1A"/>
    <w:rsid w:val="00AB4664"/>
    <w:rsid w:val="00AB55B3"/>
    <w:rsid w:val="00AB6329"/>
    <w:rsid w:val="00AB661A"/>
    <w:rsid w:val="00AC12C3"/>
    <w:rsid w:val="00AC267D"/>
    <w:rsid w:val="00AC4601"/>
    <w:rsid w:val="00AC5AF0"/>
    <w:rsid w:val="00AC64F8"/>
    <w:rsid w:val="00AD1A66"/>
    <w:rsid w:val="00AE52FA"/>
    <w:rsid w:val="00AE7D36"/>
    <w:rsid w:val="00B003A4"/>
    <w:rsid w:val="00B00C37"/>
    <w:rsid w:val="00B02572"/>
    <w:rsid w:val="00B028FA"/>
    <w:rsid w:val="00B02B1E"/>
    <w:rsid w:val="00B1096B"/>
    <w:rsid w:val="00B12782"/>
    <w:rsid w:val="00B12EB8"/>
    <w:rsid w:val="00B1430D"/>
    <w:rsid w:val="00B16CCF"/>
    <w:rsid w:val="00B178AD"/>
    <w:rsid w:val="00B248D7"/>
    <w:rsid w:val="00B257F4"/>
    <w:rsid w:val="00B2580E"/>
    <w:rsid w:val="00B303AF"/>
    <w:rsid w:val="00B30C7A"/>
    <w:rsid w:val="00B330AF"/>
    <w:rsid w:val="00B33E9F"/>
    <w:rsid w:val="00B358EC"/>
    <w:rsid w:val="00B40632"/>
    <w:rsid w:val="00B40ECE"/>
    <w:rsid w:val="00B4239B"/>
    <w:rsid w:val="00B42B61"/>
    <w:rsid w:val="00B4507C"/>
    <w:rsid w:val="00B46596"/>
    <w:rsid w:val="00B46B29"/>
    <w:rsid w:val="00B514E3"/>
    <w:rsid w:val="00B5293F"/>
    <w:rsid w:val="00B548BA"/>
    <w:rsid w:val="00B54D08"/>
    <w:rsid w:val="00B5537D"/>
    <w:rsid w:val="00B621B9"/>
    <w:rsid w:val="00B62D1F"/>
    <w:rsid w:val="00B6389F"/>
    <w:rsid w:val="00B6647F"/>
    <w:rsid w:val="00B76680"/>
    <w:rsid w:val="00B77263"/>
    <w:rsid w:val="00B83969"/>
    <w:rsid w:val="00B83F53"/>
    <w:rsid w:val="00B84CC3"/>
    <w:rsid w:val="00B85096"/>
    <w:rsid w:val="00B95D27"/>
    <w:rsid w:val="00BA7CDA"/>
    <w:rsid w:val="00BB2F88"/>
    <w:rsid w:val="00BC0D5F"/>
    <w:rsid w:val="00BC4261"/>
    <w:rsid w:val="00BC531E"/>
    <w:rsid w:val="00BC673B"/>
    <w:rsid w:val="00BC712F"/>
    <w:rsid w:val="00BD16AB"/>
    <w:rsid w:val="00BD2CB1"/>
    <w:rsid w:val="00BD6431"/>
    <w:rsid w:val="00BD7ADC"/>
    <w:rsid w:val="00BE310F"/>
    <w:rsid w:val="00BE3CFD"/>
    <w:rsid w:val="00BF5B50"/>
    <w:rsid w:val="00BF6B28"/>
    <w:rsid w:val="00BF7E02"/>
    <w:rsid w:val="00C00757"/>
    <w:rsid w:val="00C02A27"/>
    <w:rsid w:val="00C068D6"/>
    <w:rsid w:val="00C06FD9"/>
    <w:rsid w:val="00C10B18"/>
    <w:rsid w:val="00C1197A"/>
    <w:rsid w:val="00C12B90"/>
    <w:rsid w:val="00C21EE7"/>
    <w:rsid w:val="00C23AE3"/>
    <w:rsid w:val="00C274EB"/>
    <w:rsid w:val="00C32A8C"/>
    <w:rsid w:val="00C33B04"/>
    <w:rsid w:val="00C34C1C"/>
    <w:rsid w:val="00C36102"/>
    <w:rsid w:val="00C3795E"/>
    <w:rsid w:val="00C45989"/>
    <w:rsid w:val="00C47C73"/>
    <w:rsid w:val="00C50044"/>
    <w:rsid w:val="00C51819"/>
    <w:rsid w:val="00C537D5"/>
    <w:rsid w:val="00C54568"/>
    <w:rsid w:val="00C55542"/>
    <w:rsid w:val="00C5559F"/>
    <w:rsid w:val="00C56123"/>
    <w:rsid w:val="00C57BB2"/>
    <w:rsid w:val="00C62187"/>
    <w:rsid w:val="00C62D1C"/>
    <w:rsid w:val="00C73E0D"/>
    <w:rsid w:val="00C80B9D"/>
    <w:rsid w:val="00C815E9"/>
    <w:rsid w:val="00C833B5"/>
    <w:rsid w:val="00C837A4"/>
    <w:rsid w:val="00C84412"/>
    <w:rsid w:val="00C90073"/>
    <w:rsid w:val="00C91661"/>
    <w:rsid w:val="00C916BA"/>
    <w:rsid w:val="00C92867"/>
    <w:rsid w:val="00CA31DD"/>
    <w:rsid w:val="00CA512E"/>
    <w:rsid w:val="00CB3342"/>
    <w:rsid w:val="00CC0126"/>
    <w:rsid w:val="00CC2B24"/>
    <w:rsid w:val="00CC412C"/>
    <w:rsid w:val="00CC6ABC"/>
    <w:rsid w:val="00CC730C"/>
    <w:rsid w:val="00CD0C72"/>
    <w:rsid w:val="00CD436C"/>
    <w:rsid w:val="00CE176F"/>
    <w:rsid w:val="00CE416B"/>
    <w:rsid w:val="00CE5718"/>
    <w:rsid w:val="00CF0C33"/>
    <w:rsid w:val="00CF0F63"/>
    <w:rsid w:val="00CF24C8"/>
    <w:rsid w:val="00D024CA"/>
    <w:rsid w:val="00D03790"/>
    <w:rsid w:val="00D04BDF"/>
    <w:rsid w:val="00D05766"/>
    <w:rsid w:val="00D059FB"/>
    <w:rsid w:val="00D060B7"/>
    <w:rsid w:val="00D06645"/>
    <w:rsid w:val="00D06CF5"/>
    <w:rsid w:val="00D147F8"/>
    <w:rsid w:val="00D173A4"/>
    <w:rsid w:val="00D17F50"/>
    <w:rsid w:val="00D20335"/>
    <w:rsid w:val="00D27A0B"/>
    <w:rsid w:val="00D27F93"/>
    <w:rsid w:val="00D31877"/>
    <w:rsid w:val="00D32D2A"/>
    <w:rsid w:val="00D33CD9"/>
    <w:rsid w:val="00D35AF4"/>
    <w:rsid w:val="00D35FDD"/>
    <w:rsid w:val="00D3648B"/>
    <w:rsid w:val="00D37A81"/>
    <w:rsid w:val="00D37E82"/>
    <w:rsid w:val="00D40B93"/>
    <w:rsid w:val="00D42111"/>
    <w:rsid w:val="00D440B0"/>
    <w:rsid w:val="00D4564A"/>
    <w:rsid w:val="00D47905"/>
    <w:rsid w:val="00D50DE9"/>
    <w:rsid w:val="00D50F68"/>
    <w:rsid w:val="00D52252"/>
    <w:rsid w:val="00D5231F"/>
    <w:rsid w:val="00D5237E"/>
    <w:rsid w:val="00D53344"/>
    <w:rsid w:val="00D55EB0"/>
    <w:rsid w:val="00D565AB"/>
    <w:rsid w:val="00D56624"/>
    <w:rsid w:val="00D572A8"/>
    <w:rsid w:val="00D6240D"/>
    <w:rsid w:val="00D6784A"/>
    <w:rsid w:val="00D720FE"/>
    <w:rsid w:val="00D722A0"/>
    <w:rsid w:val="00D73FC9"/>
    <w:rsid w:val="00D76208"/>
    <w:rsid w:val="00D80869"/>
    <w:rsid w:val="00D81AA3"/>
    <w:rsid w:val="00D8303E"/>
    <w:rsid w:val="00D83139"/>
    <w:rsid w:val="00D843E0"/>
    <w:rsid w:val="00D905AF"/>
    <w:rsid w:val="00D919C5"/>
    <w:rsid w:val="00DA0027"/>
    <w:rsid w:val="00DA0CFC"/>
    <w:rsid w:val="00DA302E"/>
    <w:rsid w:val="00DA320A"/>
    <w:rsid w:val="00DA420D"/>
    <w:rsid w:val="00DA5C67"/>
    <w:rsid w:val="00DB1A2C"/>
    <w:rsid w:val="00DB1BE6"/>
    <w:rsid w:val="00DB7FC3"/>
    <w:rsid w:val="00DC4F38"/>
    <w:rsid w:val="00DC7EA0"/>
    <w:rsid w:val="00DD6070"/>
    <w:rsid w:val="00DD71A1"/>
    <w:rsid w:val="00DE1C3E"/>
    <w:rsid w:val="00DE3318"/>
    <w:rsid w:val="00DE4B31"/>
    <w:rsid w:val="00DE63CA"/>
    <w:rsid w:val="00DF21AB"/>
    <w:rsid w:val="00DF5208"/>
    <w:rsid w:val="00E02893"/>
    <w:rsid w:val="00E071F5"/>
    <w:rsid w:val="00E10878"/>
    <w:rsid w:val="00E10C37"/>
    <w:rsid w:val="00E12C79"/>
    <w:rsid w:val="00E155D9"/>
    <w:rsid w:val="00E17885"/>
    <w:rsid w:val="00E35D14"/>
    <w:rsid w:val="00E3756B"/>
    <w:rsid w:val="00E40127"/>
    <w:rsid w:val="00E513D9"/>
    <w:rsid w:val="00E53156"/>
    <w:rsid w:val="00E544A0"/>
    <w:rsid w:val="00E61BB1"/>
    <w:rsid w:val="00E627B7"/>
    <w:rsid w:val="00E63215"/>
    <w:rsid w:val="00E65238"/>
    <w:rsid w:val="00E67C9A"/>
    <w:rsid w:val="00E7303A"/>
    <w:rsid w:val="00E733FE"/>
    <w:rsid w:val="00E74801"/>
    <w:rsid w:val="00E80388"/>
    <w:rsid w:val="00E80F78"/>
    <w:rsid w:val="00E81555"/>
    <w:rsid w:val="00E83AA0"/>
    <w:rsid w:val="00E83D6F"/>
    <w:rsid w:val="00E8455D"/>
    <w:rsid w:val="00E90D49"/>
    <w:rsid w:val="00E92041"/>
    <w:rsid w:val="00E92BF8"/>
    <w:rsid w:val="00EA6023"/>
    <w:rsid w:val="00EB4651"/>
    <w:rsid w:val="00EB55F8"/>
    <w:rsid w:val="00EC09ED"/>
    <w:rsid w:val="00EC28F6"/>
    <w:rsid w:val="00EC5694"/>
    <w:rsid w:val="00EC6674"/>
    <w:rsid w:val="00ED1301"/>
    <w:rsid w:val="00ED1700"/>
    <w:rsid w:val="00ED72CA"/>
    <w:rsid w:val="00ED7A5E"/>
    <w:rsid w:val="00EE67FE"/>
    <w:rsid w:val="00EF6F02"/>
    <w:rsid w:val="00F01833"/>
    <w:rsid w:val="00F049EF"/>
    <w:rsid w:val="00F04ACA"/>
    <w:rsid w:val="00F1233C"/>
    <w:rsid w:val="00F2286D"/>
    <w:rsid w:val="00F235B9"/>
    <w:rsid w:val="00F2424C"/>
    <w:rsid w:val="00F24DFF"/>
    <w:rsid w:val="00F271F9"/>
    <w:rsid w:val="00F33EBD"/>
    <w:rsid w:val="00F354C8"/>
    <w:rsid w:val="00F356F7"/>
    <w:rsid w:val="00F379D4"/>
    <w:rsid w:val="00F46791"/>
    <w:rsid w:val="00F508F4"/>
    <w:rsid w:val="00F50F96"/>
    <w:rsid w:val="00F51125"/>
    <w:rsid w:val="00F52258"/>
    <w:rsid w:val="00F52F3B"/>
    <w:rsid w:val="00F66C82"/>
    <w:rsid w:val="00F66D3F"/>
    <w:rsid w:val="00F73DB9"/>
    <w:rsid w:val="00F74592"/>
    <w:rsid w:val="00F76AAC"/>
    <w:rsid w:val="00F76D7B"/>
    <w:rsid w:val="00F80284"/>
    <w:rsid w:val="00F80368"/>
    <w:rsid w:val="00F83811"/>
    <w:rsid w:val="00F939BC"/>
    <w:rsid w:val="00F957C1"/>
    <w:rsid w:val="00F95BCA"/>
    <w:rsid w:val="00F97959"/>
    <w:rsid w:val="00FA0C41"/>
    <w:rsid w:val="00FA6FCF"/>
    <w:rsid w:val="00FB1A89"/>
    <w:rsid w:val="00FB23DB"/>
    <w:rsid w:val="00FB3D0B"/>
    <w:rsid w:val="00FB592F"/>
    <w:rsid w:val="00FB679E"/>
    <w:rsid w:val="00FB6B08"/>
    <w:rsid w:val="00FC1D06"/>
    <w:rsid w:val="00FC25F6"/>
    <w:rsid w:val="00FC62A5"/>
    <w:rsid w:val="00FD0DA5"/>
    <w:rsid w:val="00FD231A"/>
    <w:rsid w:val="00FD25BF"/>
    <w:rsid w:val="00FD36FA"/>
    <w:rsid w:val="00FE1572"/>
    <w:rsid w:val="00FE2259"/>
    <w:rsid w:val="00FE4197"/>
    <w:rsid w:val="00FE47DA"/>
    <w:rsid w:val="00FE4EF8"/>
    <w:rsid w:val="00FE4F77"/>
    <w:rsid w:val="00FE53D4"/>
    <w:rsid w:val="00FF2AB3"/>
    <w:rsid w:val="00FF3D10"/>
    <w:rsid w:val="00FF3FF3"/>
    <w:rsid w:val="00FF4175"/>
    <w:rsid w:val="00FF7C84"/>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FBAE21"/>
  <w15:docId w15:val="{1BBA45B0-6C9B-844A-8315-CE663E28F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33"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28F1"/>
    <w:pPr>
      <w:spacing w:before="200" w:after="200" w:line="276" w:lineRule="auto"/>
    </w:pPr>
    <w:rPr>
      <w:rFonts w:ascii="Calibri" w:eastAsia="Times New Roman" w:hAnsi="Calibri" w:cs="Times New Roman"/>
      <w:szCs w:val="20"/>
    </w:rPr>
  </w:style>
  <w:style w:type="paragraph" w:styleId="Heading1">
    <w:name w:val="heading 1"/>
    <w:basedOn w:val="Normal"/>
    <w:next w:val="Normal"/>
    <w:link w:val="Heading1Char"/>
    <w:autoRedefine/>
    <w:qFormat/>
    <w:rsid w:val="00825C83"/>
    <w:pPr>
      <w:keepNext/>
      <w:spacing w:after="480"/>
      <w:outlineLvl w:val="0"/>
    </w:pPr>
    <w:rPr>
      <w:rFonts w:ascii="Arial" w:hAnsi="Arial"/>
      <w:b/>
      <w:color w:val="7030A0"/>
      <w:kern w:val="28"/>
      <w:sz w:val="44"/>
    </w:rPr>
  </w:style>
  <w:style w:type="paragraph" w:styleId="Heading2">
    <w:name w:val="heading 2"/>
    <w:basedOn w:val="Normal"/>
    <w:next w:val="Normal"/>
    <w:link w:val="Heading2Char"/>
    <w:qFormat/>
    <w:rsid w:val="005F70C4"/>
    <w:pPr>
      <w:keepNext/>
      <w:spacing w:before="240" w:after="60"/>
      <w:outlineLvl w:val="1"/>
    </w:pPr>
    <w:rPr>
      <w:rFonts w:ascii="Arial" w:hAnsi="Arial"/>
      <w:b/>
      <w:snapToGrid w:val="0"/>
      <w:color w:val="7030A0"/>
      <w:sz w:val="30"/>
    </w:rPr>
  </w:style>
  <w:style w:type="paragraph" w:styleId="Heading3">
    <w:name w:val="heading 3"/>
    <w:basedOn w:val="Normal"/>
    <w:next w:val="Normal"/>
    <w:link w:val="Heading3Char"/>
    <w:autoRedefine/>
    <w:qFormat/>
    <w:rsid w:val="00825C83"/>
    <w:pPr>
      <w:keepNext/>
      <w:keepLines/>
      <w:spacing w:before="144" w:after="144"/>
      <w:outlineLvl w:val="2"/>
    </w:pPr>
    <w:rPr>
      <w:rFonts w:ascii="Arial Bold" w:hAnsi="Arial Bold"/>
      <w:bCs/>
      <w:color w:val="808080" w:themeColor="background1" w:themeShade="80"/>
      <w:sz w:val="24"/>
      <w:szCs w:val="26"/>
    </w:rPr>
  </w:style>
  <w:style w:type="paragraph" w:styleId="Heading4">
    <w:name w:val="heading 4"/>
    <w:basedOn w:val="Normal"/>
    <w:next w:val="Normal"/>
    <w:link w:val="Heading4Char"/>
    <w:autoRedefine/>
    <w:qFormat/>
    <w:rsid w:val="00FB679E"/>
    <w:pPr>
      <w:keepNext/>
      <w:keepLines/>
      <w:spacing w:before="240" w:after="60"/>
      <w:outlineLvl w:val="3"/>
    </w:pPr>
    <w:rPr>
      <w:rFonts w:asciiTheme="minorHAnsi" w:hAnsiTheme="minorHAnsi" w:cstheme="majorBidi"/>
      <w:b/>
      <w:color w:val="000000" w:themeColor="text1"/>
      <w:sz w:val="24"/>
    </w:rPr>
  </w:style>
  <w:style w:type="paragraph" w:styleId="Heading5">
    <w:name w:val="heading 5"/>
    <w:basedOn w:val="Normal"/>
    <w:next w:val="Normal"/>
    <w:link w:val="Heading5Char"/>
    <w:autoRedefine/>
    <w:qFormat/>
    <w:rsid w:val="000459F7"/>
    <w:pPr>
      <w:keepNext/>
      <w:spacing w:before="240" w:after="60"/>
      <w:outlineLvl w:val="4"/>
    </w:pPr>
    <w:rPr>
      <w:b/>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25C83"/>
    <w:rPr>
      <w:rFonts w:ascii="Arial" w:eastAsia="Times New Roman" w:hAnsi="Arial" w:cs="Times New Roman"/>
      <w:b/>
      <w:color w:val="7030A0"/>
      <w:kern w:val="28"/>
      <w:sz w:val="44"/>
      <w:szCs w:val="20"/>
    </w:rPr>
  </w:style>
  <w:style w:type="character" w:customStyle="1" w:styleId="Heading2Char">
    <w:name w:val="Heading 2 Char"/>
    <w:basedOn w:val="DefaultParagraphFont"/>
    <w:link w:val="Heading2"/>
    <w:rsid w:val="005F70C4"/>
    <w:rPr>
      <w:rFonts w:ascii="Arial" w:eastAsia="Times New Roman" w:hAnsi="Arial" w:cs="Times New Roman"/>
      <w:b/>
      <w:snapToGrid w:val="0"/>
      <w:color w:val="7030A0"/>
      <w:sz w:val="30"/>
      <w:szCs w:val="20"/>
    </w:rPr>
  </w:style>
  <w:style w:type="character" w:customStyle="1" w:styleId="Heading3Char">
    <w:name w:val="Heading 3 Char"/>
    <w:basedOn w:val="DefaultParagraphFont"/>
    <w:link w:val="Heading3"/>
    <w:rsid w:val="00825C83"/>
    <w:rPr>
      <w:rFonts w:ascii="Arial Bold" w:eastAsia="Times New Roman" w:hAnsi="Arial Bold" w:cs="Times New Roman"/>
      <w:bCs/>
      <w:color w:val="808080" w:themeColor="background1" w:themeShade="80"/>
      <w:sz w:val="24"/>
      <w:szCs w:val="26"/>
    </w:rPr>
  </w:style>
  <w:style w:type="character" w:customStyle="1" w:styleId="Heading4Char">
    <w:name w:val="Heading 4 Char"/>
    <w:basedOn w:val="DefaultParagraphFont"/>
    <w:link w:val="Heading4"/>
    <w:rsid w:val="00FB679E"/>
    <w:rPr>
      <w:rFonts w:eastAsia="Times New Roman" w:cstheme="majorBidi"/>
      <w:b/>
      <w:color w:val="000000" w:themeColor="text1"/>
      <w:sz w:val="24"/>
      <w:szCs w:val="20"/>
    </w:rPr>
  </w:style>
  <w:style w:type="character" w:customStyle="1" w:styleId="Heading5Char">
    <w:name w:val="Heading 5 Char"/>
    <w:basedOn w:val="DefaultParagraphFont"/>
    <w:link w:val="Heading5"/>
    <w:rsid w:val="000459F7"/>
    <w:rPr>
      <w:rFonts w:ascii="Calibri" w:eastAsia="Times New Roman" w:hAnsi="Calibri" w:cs="Times New Roman"/>
      <w:b/>
      <w:i/>
      <w:color w:val="000000" w:themeColor="text1"/>
      <w:szCs w:val="20"/>
    </w:rPr>
  </w:style>
  <w:style w:type="paragraph" w:styleId="Header">
    <w:name w:val="header"/>
    <w:basedOn w:val="Normal"/>
    <w:link w:val="HeaderChar"/>
    <w:uiPriority w:val="99"/>
    <w:rsid w:val="00EC5694"/>
    <w:pPr>
      <w:tabs>
        <w:tab w:val="center" w:pos="4153"/>
        <w:tab w:val="right" w:pos="8306"/>
      </w:tabs>
    </w:pPr>
    <w:rPr>
      <w:sz w:val="24"/>
    </w:rPr>
  </w:style>
  <w:style w:type="character" w:customStyle="1" w:styleId="HeaderChar">
    <w:name w:val="Header Char"/>
    <w:basedOn w:val="DefaultParagraphFont"/>
    <w:link w:val="Header"/>
    <w:uiPriority w:val="99"/>
    <w:rsid w:val="00EC5694"/>
    <w:rPr>
      <w:rFonts w:ascii="Calibri" w:eastAsia="Times New Roman" w:hAnsi="Calibri" w:cs="Times New Roman"/>
      <w:sz w:val="24"/>
      <w:szCs w:val="20"/>
    </w:rPr>
  </w:style>
  <w:style w:type="paragraph" w:styleId="Footer">
    <w:name w:val="footer"/>
    <w:basedOn w:val="Normal"/>
    <w:link w:val="FooterChar"/>
    <w:rsid w:val="004D749A"/>
    <w:pPr>
      <w:tabs>
        <w:tab w:val="right" w:pos="567"/>
        <w:tab w:val="right" w:pos="2835"/>
        <w:tab w:val="right" w:pos="3969"/>
      </w:tabs>
      <w:ind w:left="142" w:right="142"/>
    </w:pPr>
    <w:rPr>
      <w:color w:val="FFFFFF" w:themeColor="background1"/>
      <w:sz w:val="20"/>
    </w:rPr>
  </w:style>
  <w:style w:type="character" w:customStyle="1" w:styleId="FooterChar">
    <w:name w:val="Footer Char"/>
    <w:basedOn w:val="DefaultParagraphFont"/>
    <w:link w:val="Footer"/>
    <w:rsid w:val="004D749A"/>
    <w:rPr>
      <w:rFonts w:ascii="Calibri" w:eastAsia="Times New Roman" w:hAnsi="Calibri" w:cs="Times New Roman"/>
      <w:color w:val="FFFFFF" w:themeColor="background1"/>
      <w:sz w:val="20"/>
      <w:szCs w:val="20"/>
    </w:rPr>
  </w:style>
  <w:style w:type="paragraph" w:customStyle="1" w:styleId="BodyText1">
    <w:name w:val="Body Text1"/>
    <w:basedOn w:val="Normal"/>
    <w:link w:val="BodytextChar"/>
    <w:qFormat/>
    <w:rsid w:val="00911A17"/>
  </w:style>
  <w:style w:type="paragraph" w:customStyle="1" w:styleId="bullet10">
    <w:name w:val="bullet 1"/>
    <w:basedOn w:val="BodyText"/>
    <w:link w:val="bullet1Char"/>
    <w:qFormat/>
    <w:rsid w:val="00657B12"/>
    <w:pPr>
      <w:numPr>
        <w:numId w:val="4"/>
      </w:numPr>
      <w:spacing w:before="60" w:after="60"/>
      <w:ind w:left="357" w:hanging="357"/>
    </w:pPr>
  </w:style>
  <w:style w:type="character" w:customStyle="1" w:styleId="bullet1Char">
    <w:name w:val="bullet 1 Char"/>
    <w:basedOn w:val="DefaultParagraphFont"/>
    <w:link w:val="bullet10"/>
    <w:rsid w:val="00657B12"/>
    <w:rPr>
      <w:rFonts w:ascii="Calibri" w:eastAsia="Times New Roman" w:hAnsi="Calibri" w:cs="Times New Roman"/>
      <w:szCs w:val="20"/>
    </w:rPr>
  </w:style>
  <w:style w:type="paragraph" w:customStyle="1" w:styleId="note">
    <w:name w:val="note"/>
    <w:basedOn w:val="NoteHeading"/>
    <w:link w:val="noteChar"/>
    <w:qFormat/>
    <w:rsid w:val="00183FC6"/>
    <w:pPr>
      <w:keepNext/>
      <w:spacing w:before="120"/>
    </w:pPr>
    <w:rPr>
      <w:bCs/>
      <w:sz w:val="18"/>
      <w:szCs w:val="16"/>
    </w:rPr>
  </w:style>
  <w:style w:type="character" w:customStyle="1" w:styleId="noteChar">
    <w:name w:val="note Char"/>
    <w:link w:val="note"/>
    <w:rsid w:val="00183FC6"/>
    <w:rPr>
      <w:rFonts w:ascii="Calibri" w:eastAsia="Times New Roman" w:hAnsi="Calibri" w:cs="Times New Roman"/>
      <w:bCs/>
      <w:sz w:val="18"/>
      <w:szCs w:val="16"/>
    </w:rPr>
  </w:style>
  <w:style w:type="paragraph" w:customStyle="1" w:styleId="bullet20">
    <w:name w:val="bullet 2"/>
    <w:basedOn w:val="bullet10"/>
    <w:link w:val="bullet2Char"/>
    <w:qFormat/>
    <w:rsid w:val="009D2444"/>
    <w:pPr>
      <w:numPr>
        <w:numId w:val="5"/>
      </w:numPr>
    </w:pPr>
  </w:style>
  <w:style w:type="character" w:customStyle="1" w:styleId="bullet2Char">
    <w:name w:val="bullet 2 Char"/>
    <w:basedOn w:val="bullet1Char"/>
    <w:link w:val="bullet20"/>
    <w:rsid w:val="009D2444"/>
    <w:rPr>
      <w:rFonts w:ascii="Calibri" w:eastAsia="Times New Roman" w:hAnsi="Calibri" w:cs="Times New Roman"/>
      <w:szCs w:val="20"/>
    </w:rPr>
  </w:style>
  <w:style w:type="paragraph" w:customStyle="1" w:styleId="Tablefigures">
    <w:name w:val="Table figures"/>
    <w:basedOn w:val="Tabletext"/>
    <w:link w:val="TablefiguresChar"/>
    <w:autoRedefine/>
    <w:qFormat/>
    <w:rsid w:val="00EC5694"/>
    <w:pPr>
      <w:jc w:val="right"/>
    </w:pPr>
    <w:rPr>
      <w:bCs/>
    </w:rPr>
  </w:style>
  <w:style w:type="paragraph" w:customStyle="1" w:styleId="Tabletext">
    <w:name w:val="Table text"/>
    <w:basedOn w:val="Normal"/>
    <w:link w:val="TabletextChar"/>
    <w:autoRedefine/>
    <w:qFormat/>
    <w:rsid w:val="00B83F53"/>
    <w:pPr>
      <w:spacing w:before="60" w:after="60"/>
    </w:pPr>
    <w:rPr>
      <w:sz w:val="20"/>
      <w:lang w:eastAsia="en-AU"/>
    </w:rPr>
  </w:style>
  <w:style w:type="character" w:customStyle="1" w:styleId="TablefiguresChar">
    <w:name w:val="Table figures Char"/>
    <w:basedOn w:val="DefaultParagraphFont"/>
    <w:link w:val="Tablefigures"/>
    <w:rsid w:val="00EC5694"/>
    <w:rPr>
      <w:rFonts w:ascii="Calibri" w:eastAsia="Times New Roman" w:hAnsi="Calibri" w:cs="Times New Roman"/>
      <w:sz w:val="20"/>
      <w:szCs w:val="20"/>
      <w:lang w:eastAsia="en-AU"/>
    </w:rPr>
  </w:style>
  <w:style w:type="character" w:customStyle="1" w:styleId="TabletextChar">
    <w:name w:val="Table text Char"/>
    <w:basedOn w:val="DefaultParagraphFont"/>
    <w:link w:val="Tabletext"/>
    <w:rsid w:val="00B83F53"/>
    <w:rPr>
      <w:rFonts w:ascii="Calibri" w:eastAsia="Times New Roman" w:hAnsi="Calibri" w:cs="Times New Roman"/>
      <w:sz w:val="20"/>
      <w:szCs w:val="20"/>
      <w:lang w:eastAsia="en-AU"/>
    </w:rPr>
  </w:style>
  <w:style w:type="paragraph" w:customStyle="1" w:styleId="noteslist">
    <w:name w:val="notes list"/>
    <w:basedOn w:val="Normal"/>
    <w:link w:val="noteslistChar"/>
    <w:qFormat/>
    <w:rsid w:val="00EC5694"/>
    <w:pPr>
      <w:numPr>
        <w:numId w:val="2"/>
      </w:numPr>
      <w:spacing w:before="0" w:after="0"/>
    </w:pPr>
    <w:rPr>
      <w:sz w:val="18"/>
      <w:szCs w:val="24"/>
    </w:rPr>
  </w:style>
  <w:style w:type="character" w:customStyle="1" w:styleId="noteslistChar">
    <w:name w:val="notes list Char"/>
    <w:basedOn w:val="DefaultParagraphFont"/>
    <w:link w:val="noteslist"/>
    <w:rsid w:val="00EC5694"/>
    <w:rPr>
      <w:rFonts w:ascii="Calibri" w:eastAsia="Times New Roman" w:hAnsi="Calibri" w:cs="Times New Roman"/>
      <w:sz w:val="18"/>
      <w:szCs w:val="24"/>
    </w:rPr>
  </w:style>
  <w:style w:type="paragraph" w:customStyle="1" w:styleId="TableFiguresheading">
    <w:name w:val="Table Figures_heading"/>
    <w:basedOn w:val="Normal"/>
    <w:link w:val="TableFiguresheadingChar"/>
    <w:qFormat/>
    <w:rsid w:val="00EC5694"/>
    <w:pPr>
      <w:spacing w:before="0" w:after="0"/>
      <w:jc w:val="right"/>
    </w:pPr>
    <w:rPr>
      <w:b/>
      <w:sz w:val="20"/>
    </w:rPr>
  </w:style>
  <w:style w:type="character" w:customStyle="1" w:styleId="TableFiguresheadingChar">
    <w:name w:val="Table Figures_heading Char"/>
    <w:basedOn w:val="DefaultParagraphFont"/>
    <w:link w:val="TableFiguresheading"/>
    <w:rsid w:val="00EC5694"/>
    <w:rPr>
      <w:rFonts w:ascii="Calibri" w:eastAsia="Times New Roman" w:hAnsi="Calibri" w:cs="Times New Roman"/>
      <w:b/>
      <w:sz w:val="20"/>
      <w:szCs w:val="20"/>
    </w:rPr>
  </w:style>
  <w:style w:type="paragraph" w:customStyle="1" w:styleId="Tabletextbold">
    <w:name w:val="Table text bold"/>
    <w:basedOn w:val="Normal"/>
    <w:qFormat/>
    <w:rsid w:val="00B83F53"/>
    <w:pPr>
      <w:spacing w:before="60" w:after="60"/>
    </w:pPr>
    <w:rPr>
      <w:b/>
      <w:sz w:val="20"/>
      <w:lang w:eastAsia="en-AU"/>
    </w:rPr>
  </w:style>
  <w:style w:type="paragraph" w:customStyle="1" w:styleId="TableTextbolditalics">
    <w:name w:val="Table Text bold italics"/>
    <w:basedOn w:val="Tabletext"/>
    <w:qFormat/>
    <w:rsid w:val="00EC5694"/>
    <w:rPr>
      <w:b/>
      <w:i/>
    </w:rPr>
  </w:style>
  <w:style w:type="paragraph" w:customStyle="1" w:styleId="TableCaption">
    <w:name w:val="Table Caption"/>
    <w:basedOn w:val="Caption"/>
    <w:qFormat/>
    <w:rsid w:val="005F70C4"/>
    <w:pPr>
      <w:keepNext/>
      <w:spacing w:before="240" w:after="120"/>
    </w:pPr>
    <w:rPr>
      <w:b/>
      <w:bCs/>
      <w:i w:val="0"/>
      <w:iCs w:val="0"/>
      <w:color w:val="7030A0"/>
      <w:sz w:val="22"/>
    </w:rPr>
  </w:style>
  <w:style w:type="table" w:customStyle="1" w:styleId="ARTableText">
    <w:name w:val="AR_Table_Text"/>
    <w:basedOn w:val="TableNormal"/>
    <w:uiPriority w:val="99"/>
    <w:qFormat/>
    <w:rsid w:val="00EC5694"/>
    <w:pPr>
      <w:spacing w:after="0" w:line="240" w:lineRule="auto"/>
    </w:pPr>
    <w:rPr>
      <w:rFonts w:eastAsia="Times New Roman" w:cs="Times New Roman"/>
      <w:sz w:val="20"/>
      <w:szCs w:val="20"/>
      <w:lang w:eastAsia="en-AU"/>
    </w:rPr>
    <w:tblPr>
      <w:tblStyleRowBandSize w:val="1"/>
      <w:tblCellMar>
        <w:top w:w="57" w:type="dxa"/>
        <w:bottom w:w="57" w:type="dxa"/>
      </w:tblCellMar>
    </w:tblPr>
    <w:tcPr>
      <w:shd w:val="clear" w:color="auto" w:fill="E0E0E0"/>
      <w:vAlign w:val="bottom"/>
    </w:tcPr>
    <w:tblStylePr w:type="firstRow">
      <w:pPr>
        <w:jc w:val="center"/>
      </w:pPr>
      <w:rPr>
        <w:rFonts w:asciiTheme="minorHAnsi" w:hAnsiTheme="minorHAnsi"/>
        <w:b/>
        <w:sz w:val="20"/>
      </w:rPr>
      <w:tblPr/>
      <w:tcPr>
        <w:tcBorders>
          <w:top w:val="single" w:sz="4" w:space="0" w:color="000000"/>
          <w:left w:val="nil"/>
          <w:bottom w:val="single" w:sz="18" w:space="0" w:color="auto"/>
          <w:right w:val="nil"/>
        </w:tcBorders>
        <w:shd w:val="clear" w:color="auto" w:fill="auto"/>
      </w:tcPr>
    </w:tblStylePr>
    <w:tblStylePr w:type="lastRow">
      <w:rPr>
        <w:rFonts w:asciiTheme="minorHAnsi" w:hAnsiTheme="minorHAnsi"/>
        <w:sz w:val="20"/>
      </w:rPr>
      <w:tblPr/>
      <w:tcPr>
        <w:tcBorders>
          <w:bottom w:val="dotted" w:sz="6" w:space="0" w:color="auto"/>
        </w:tcBorders>
        <w:shd w:val="clear" w:color="auto" w:fill="ECECEC"/>
      </w:tcPr>
    </w:tblStylePr>
    <w:tblStylePr w:type="firstCol">
      <w:pPr>
        <w:jc w:val="left"/>
      </w:pPr>
      <w:rPr>
        <w:rFonts w:asciiTheme="minorHAnsi" w:hAnsiTheme="minorHAnsi"/>
        <w:sz w:val="20"/>
      </w:rPr>
      <w:tblPr/>
      <w:tcPr>
        <w:vAlign w:val="center"/>
      </w:tcPr>
    </w:tblStylePr>
    <w:tblStylePr w:type="band1Horz">
      <w:pPr>
        <w:jc w:val="left"/>
      </w:pPr>
      <w:rPr>
        <w:rFonts w:asciiTheme="minorHAnsi" w:hAnsiTheme="minorHAnsi"/>
        <w:sz w:val="18"/>
      </w:rPr>
      <w:tblPr/>
      <w:tcPr>
        <w:tcBorders>
          <w:bottom w:val="dotted" w:sz="6" w:space="0" w:color="auto"/>
        </w:tcBorders>
        <w:shd w:val="clear" w:color="auto" w:fill="auto"/>
      </w:tcPr>
    </w:tblStylePr>
    <w:tblStylePr w:type="band2Horz">
      <w:rPr>
        <w:rFonts w:asciiTheme="minorHAnsi" w:hAnsiTheme="minorHAnsi"/>
        <w:sz w:val="18"/>
      </w:rPr>
      <w:tblPr/>
      <w:tcPr>
        <w:tcBorders>
          <w:bottom w:val="dotted" w:sz="6" w:space="0" w:color="auto"/>
        </w:tcBorders>
        <w:shd w:val="clear" w:color="auto" w:fill="auto"/>
      </w:tcPr>
    </w:tblStylePr>
  </w:style>
  <w:style w:type="paragraph" w:customStyle="1" w:styleId="TableheadingNormal">
    <w:name w:val="Table_heading_Normal"/>
    <w:basedOn w:val="TableFiguresheading"/>
    <w:qFormat/>
    <w:rsid w:val="00BD7ADC"/>
    <w:pPr>
      <w:spacing w:before="60" w:after="60" w:line="240" w:lineRule="auto"/>
      <w:jc w:val="left"/>
    </w:pPr>
    <w:rPr>
      <w:b w:val="0"/>
      <w:bCs/>
      <w:sz w:val="22"/>
      <w:szCs w:val="22"/>
      <w:lang w:eastAsia="en-AU"/>
    </w:rPr>
  </w:style>
  <w:style w:type="table" w:customStyle="1" w:styleId="ARTableFigures">
    <w:name w:val="AR_Table_Figures"/>
    <w:basedOn w:val="ARTableText"/>
    <w:uiPriority w:val="99"/>
    <w:qFormat/>
    <w:rsid w:val="00EC5694"/>
    <w:pPr>
      <w:jc w:val="right"/>
    </w:pPr>
    <w:tblPr/>
    <w:tcPr>
      <w:shd w:val="clear" w:color="auto" w:fill="E0E0E0"/>
    </w:tcPr>
    <w:tblStylePr w:type="firstRow">
      <w:pPr>
        <w:jc w:val="right"/>
      </w:pPr>
      <w:rPr>
        <w:rFonts w:asciiTheme="minorHAnsi" w:hAnsiTheme="minorHAnsi"/>
        <w:b/>
        <w:sz w:val="20"/>
      </w:rPr>
      <w:tblPr/>
      <w:tcPr>
        <w:tcBorders>
          <w:top w:val="single" w:sz="4" w:space="0" w:color="000000"/>
          <w:left w:val="nil"/>
          <w:bottom w:val="single" w:sz="18" w:space="0" w:color="auto"/>
          <w:right w:val="nil"/>
        </w:tcBorders>
        <w:shd w:val="clear" w:color="auto" w:fill="auto"/>
      </w:tcPr>
    </w:tblStylePr>
    <w:tblStylePr w:type="lastRow">
      <w:rPr>
        <w:rFonts w:asciiTheme="minorHAnsi" w:hAnsiTheme="minorHAnsi"/>
        <w:sz w:val="20"/>
      </w:rPr>
      <w:tblPr/>
      <w:tcPr>
        <w:tcBorders>
          <w:bottom w:val="dotted" w:sz="6" w:space="0" w:color="auto"/>
        </w:tcBorders>
        <w:shd w:val="clear" w:color="auto" w:fill="D9D9D9" w:themeFill="background1" w:themeFillShade="D9"/>
      </w:tcPr>
    </w:tblStylePr>
    <w:tblStylePr w:type="firstCol">
      <w:pPr>
        <w:jc w:val="left"/>
      </w:pPr>
      <w:rPr>
        <w:rFonts w:asciiTheme="minorHAnsi" w:hAnsiTheme="minorHAnsi"/>
        <w:sz w:val="20"/>
      </w:rPr>
      <w:tblPr/>
      <w:tcPr>
        <w:vAlign w:val="center"/>
      </w:tcPr>
    </w:tblStylePr>
    <w:tblStylePr w:type="band1Horz">
      <w:pPr>
        <w:jc w:val="right"/>
      </w:pPr>
      <w:rPr>
        <w:rFonts w:asciiTheme="minorHAnsi" w:hAnsiTheme="minorHAnsi"/>
        <w:sz w:val="18"/>
      </w:rPr>
      <w:tblPr/>
      <w:tcPr>
        <w:tcBorders>
          <w:bottom w:val="dotted" w:sz="6" w:space="0" w:color="auto"/>
        </w:tcBorders>
        <w:shd w:val="clear" w:color="auto" w:fill="auto"/>
        <w:vAlign w:val="center"/>
      </w:tcPr>
    </w:tblStylePr>
    <w:tblStylePr w:type="band2Horz">
      <w:pPr>
        <w:jc w:val="right"/>
      </w:pPr>
      <w:rPr>
        <w:rFonts w:asciiTheme="minorHAnsi" w:hAnsiTheme="minorHAnsi"/>
        <w:sz w:val="18"/>
      </w:rPr>
      <w:tblPr/>
      <w:tcPr>
        <w:tcBorders>
          <w:bottom w:val="dotted" w:sz="6" w:space="0" w:color="auto"/>
        </w:tcBorders>
        <w:shd w:val="clear" w:color="auto" w:fill="auto"/>
        <w:vAlign w:val="center"/>
      </w:tcPr>
    </w:tblStylePr>
  </w:style>
  <w:style w:type="paragraph" w:customStyle="1" w:styleId="bullet30">
    <w:name w:val="bullet 3"/>
    <w:basedOn w:val="bullet20"/>
    <w:qFormat/>
    <w:rsid w:val="009D2444"/>
    <w:pPr>
      <w:numPr>
        <w:numId w:val="3"/>
      </w:numPr>
    </w:pPr>
  </w:style>
  <w:style w:type="paragraph" w:customStyle="1" w:styleId="IntroParagraph">
    <w:name w:val="Intro Paragraph"/>
    <w:basedOn w:val="BodyText1"/>
    <w:link w:val="IntroParagraphChar"/>
    <w:qFormat/>
    <w:rsid w:val="005F70C4"/>
    <w:pPr>
      <w:spacing w:before="300" w:after="300"/>
    </w:pPr>
    <w:rPr>
      <w:color w:val="7030A0"/>
      <w:sz w:val="26"/>
    </w:rPr>
  </w:style>
  <w:style w:type="character" w:customStyle="1" w:styleId="BodytextChar">
    <w:name w:val="Body text Char"/>
    <w:basedOn w:val="DefaultParagraphFont"/>
    <w:link w:val="BodyText1"/>
    <w:rsid w:val="00911A17"/>
    <w:rPr>
      <w:rFonts w:ascii="Calibri" w:eastAsia="Times New Roman" w:hAnsi="Calibri" w:cs="Times New Roman"/>
      <w:szCs w:val="20"/>
    </w:rPr>
  </w:style>
  <w:style w:type="character" w:customStyle="1" w:styleId="IntroParagraphChar">
    <w:name w:val="Intro Paragraph Char"/>
    <w:basedOn w:val="BodytextChar"/>
    <w:link w:val="IntroParagraph"/>
    <w:rsid w:val="005F70C4"/>
    <w:rPr>
      <w:rFonts w:ascii="Calibri" w:eastAsia="Times New Roman" w:hAnsi="Calibri" w:cs="Times New Roman"/>
      <w:color w:val="7030A0"/>
      <w:sz w:val="26"/>
      <w:szCs w:val="20"/>
    </w:rPr>
  </w:style>
  <w:style w:type="paragraph" w:styleId="BodyText">
    <w:name w:val="Body Text"/>
    <w:basedOn w:val="Normal"/>
    <w:link w:val="BodyTextChar0"/>
    <w:uiPriority w:val="99"/>
    <w:semiHidden/>
    <w:unhideWhenUsed/>
    <w:rsid w:val="00EC5694"/>
    <w:pPr>
      <w:spacing w:after="120"/>
    </w:pPr>
  </w:style>
  <w:style w:type="character" w:customStyle="1" w:styleId="BodyTextChar0">
    <w:name w:val="Body Text Char"/>
    <w:basedOn w:val="DefaultParagraphFont"/>
    <w:link w:val="BodyText"/>
    <w:uiPriority w:val="99"/>
    <w:semiHidden/>
    <w:rsid w:val="00EC5694"/>
    <w:rPr>
      <w:rFonts w:ascii="Calibri" w:eastAsia="Times New Roman" w:hAnsi="Calibri" w:cs="Times New Roman"/>
      <w:szCs w:val="20"/>
    </w:rPr>
  </w:style>
  <w:style w:type="paragraph" w:styleId="NoteHeading">
    <w:name w:val="Note Heading"/>
    <w:basedOn w:val="Normal"/>
    <w:next w:val="Normal"/>
    <w:link w:val="NoteHeadingChar"/>
    <w:uiPriority w:val="99"/>
    <w:semiHidden/>
    <w:unhideWhenUsed/>
    <w:rsid w:val="00EC5694"/>
    <w:pPr>
      <w:spacing w:before="0" w:after="0"/>
    </w:pPr>
  </w:style>
  <w:style w:type="character" w:customStyle="1" w:styleId="NoteHeadingChar">
    <w:name w:val="Note Heading Char"/>
    <w:basedOn w:val="DefaultParagraphFont"/>
    <w:link w:val="NoteHeading"/>
    <w:uiPriority w:val="99"/>
    <w:semiHidden/>
    <w:rsid w:val="00EC5694"/>
    <w:rPr>
      <w:rFonts w:ascii="Calibri" w:eastAsia="Times New Roman" w:hAnsi="Calibri" w:cs="Times New Roman"/>
      <w:szCs w:val="20"/>
    </w:rPr>
  </w:style>
  <w:style w:type="paragraph" w:styleId="Caption">
    <w:name w:val="caption"/>
    <w:basedOn w:val="Normal"/>
    <w:next w:val="Normal"/>
    <w:uiPriority w:val="35"/>
    <w:semiHidden/>
    <w:unhideWhenUsed/>
    <w:qFormat/>
    <w:rsid w:val="00EC5694"/>
    <w:pPr>
      <w:spacing w:before="0"/>
    </w:pPr>
    <w:rPr>
      <w:i/>
      <w:iCs/>
      <w:color w:val="44546A" w:themeColor="text2"/>
      <w:sz w:val="18"/>
      <w:szCs w:val="18"/>
    </w:rPr>
  </w:style>
  <w:style w:type="character" w:styleId="Hyperlink">
    <w:name w:val="Hyperlink"/>
    <w:basedOn w:val="DefaultParagraphFont"/>
    <w:uiPriority w:val="99"/>
    <w:unhideWhenUsed/>
    <w:rsid w:val="00EC5694"/>
    <w:rPr>
      <w:color w:val="0563C1" w:themeColor="hyperlink"/>
      <w:u w:val="single"/>
    </w:rPr>
  </w:style>
  <w:style w:type="paragraph" w:styleId="ListParagraph">
    <w:name w:val="List Paragraph"/>
    <w:basedOn w:val="Normal"/>
    <w:uiPriority w:val="34"/>
    <w:qFormat/>
    <w:rsid w:val="000C124F"/>
    <w:pPr>
      <w:ind w:left="720"/>
      <w:contextualSpacing/>
    </w:pPr>
  </w:style>
  <w:style w:type="paragraph" w:styleId="BalloonText">
    <w:name w:val="Balloon Text"/>
    <w:basedOn w:val="Normal"/>
    <w:link w:val="BalloonTextChar"/>
    <w:uiPriority w:val="99"/>
    <w:semiHidden/>
    <w:unhideWhenUsed/>
    <w:rsid w:val="00C833B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3B5"/>
    <w:rPr>
      <w:rFonts w:ascii="Tahoma" w:eastAsia="Times New Roman" w:hAnsi="Tahoma" w:cs="Tahoma"/>
      <w:sz w:val="16"/>
      <w:szCs w:val="16"/>
    </w:rPr>
  </w:style>
  <w:style w:type="table" w:styleId="TableGridLight">
    <w:name w:val="Grid Table Light"/>
    <w:basedOn w:val="TableNormal"/>
    <w:uiPriority w:val="40"/>
    <w:rsid w:val="009D244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9D244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PageNumber">
    <w:name w:val="page number"/>
    <w:basedOn w:val="DefaultParagraphFont"/>
    <w:uiPriority w:val="99"/>
    <w:semiHidden/>
    <w:unhideWhenUsed/>
    <w:rsid w:val="00770344"/>
  </w:style>
  <w:style w:type="paragraph" w:customStyle="1" w:styleId="Coverheading">
    <w:name w:val="Cover heading"/>
    <w:qFormat/>
    <w:rsid w:val="00557502"/>
    <w:pPr>
      <w:spacing w:after="1000"/>
      <w:jc w:val="center"/>
    </w:pPr>
    <w:rPr>
      <w:rFonts w:ascii="Arial" w:eastAsia="Times New Roman" w:hAnsi="Arial" w:cs="Times New Roman"/>
      <w:b/>
      <w:color w:val="FFFFFF" w:themeColor="background1"/>
      <w:kern w:val="28"/>
      <w:sz w:val="100"/>
      <w:szCs w:val="100"/>
    </w:rPr>
  </w:style>
  <w:style w:type="paragraph" w:customStyle="1" w:styleId="CoverSub-heading">
    <w:name w:val="Cover Sub-heading"/>
    <w:basedOn w:val="Coverheading"/>
    <w:qFormat/>
    <w:rsid w:val="00557502"/>
    <w:rPr>
      <w:sz w:val="60"/>
      <w:szCs w:val="60"/>
    </w:rPr>
  </w:style>
  <w:style w:type="table" w:styleId="TableGrid">
    <w:name w:val="Table Grid"/>
    <w:basedOn w:val="TableNormal"/>
    <w:uiPriority w:val="59"/>
    <w:rsid w:val="00DB7F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22"/>
    <w:qFormat/>
    <w:rsid w:val="007C31FD"/>
    <w:pPr>
      <w:keepLines/>
      <w:spacing w:before="120" w:after="120"/>
      <w:contextualSpacing/>
      <w:outlineLvl w:val="0"/>
    </w:pPr>
    <w:rPr>
      <w:rFonts w:ascii="Arial" w:eastAsiaTheme="majorEastAsia" w:hAnsi="Arial" w:cs="Arial"/>
      <w:b/>
      <w:color w:val="FFFFFF" w:themeColor="background1"/>
      <w:kern w:val="28"/>
      <w:sz w:val="70"/>
      <w:szCs w:val="70"/>
    </w:rPr>
  </w:style>
  <w:style w:type="character" w:customStyle="1" w:styleId="TitleChar">
    <w:name w:val="Title Char"/>
    <w:basedOn w:val="DefaultParagraphFont"/>
    <w:link w:val="Title"/>
    <w:uiPriority w:val="22"/>
    <w:rsid w:val="007C31FD"/>
    <w:rPr>
      <w:rFonts w:ascii="Arial" w:eastAsiaTheme="majorEastAsia" w:hAnsi="Arial" w:cs="Arial"/>
      <w:b/>
      <w:color w:val="FFFFFF" w:themeColor="background1"/>
      <w:kern w:val="28"/>
      <w:sz w:val="70"/>
      <w:szCs w:val="70"/>
    </w:rPr>
  </w:style>
  <w:style w:type="paragraph" w:styleId="Subtitle">
    <w:name w:val="Subtitle"/>
    <w:basedOn w:val="Normal"/>
    <w:next w:val="Normal"/>
    <w:link w:val="SubtitleChar"/>
    <w:uiPriority w:val="23"/>
    <w:qFormat/>
    <w:rsid w:val="00F939BC"/>
    <w:pPr>
      <w:keepLines/>
      <w:numPr>
        <w:ilvl w:val="1"/>
      </w:numPr>
      <w:spacing w:before="120" w:after="480" w:line="360" w:lineRule="exact"/>
      <w:contextualSpacing/>
      <w:jc w:val="right"/>
    </w:pPr>
    <w:rPr>
      <w:rFonts w:asciiTheme="minorHAnsi" w:eastAsiaTheme="minorEastAsia" w:hAnsiTheme="minorHAnsi" w:cstheme="minorBidi"/>
      <w:bCs/>
      <w:color w:val="FFFFFF" w:themeColor="background1"/>
      <w:sz w:val="50"/>
      <w:szCs w:val="50"/>
    </w:rPr>
  </w:style>
  <w:style w:type="character" w:customStyle="1" w:styleId="SubtitleChar">
    <w:name w:val="Subtitle Char"/>
    <w:basedOn w:val="DefaultParagraphFont"/>
    <w:link w:val="Subtitle"/>
    <w:uiPriority w:val="23"/>
    <w:rsid w:val="00F939BC"/>
    <w:rPr>
      <w:rFonts w:eastAsiaTheme="minorEastAsia"/>
      <w:bCs/>
      <w:color w:val="FFFFFF" w:themeColor="background1"/>
      <w:sz w:val="50"/>
      <w:szCs w:val="50"/>
    </w:rPr>
  </w:style>
  <w:style w:type="paragraph" w:customStyle="1" w:styleId="Boxed1Text">
    <w:name w:val="Boxed 1 Text"/>
    <w:basedOn w:val="Normal"/>
    <w:uiPriority w:val="29"/>
    <w:qFormat/>
    <w:rsid w:val="008F4C1C"/>
    <w:pPr>
      <w:pBdr>
        <w:top w:val="single" w:sz="4" w:space="14" w:color="DEEAF6" w:themeColor="accent1" w:themeTint="33"/>
        <w:left w:val="single" w:sz="4" w:space="14" w:color="DEEAF6" w:themeColor="accent1" w:themeTint="33"/>
        <w:bottom w:val="single" w:sz="4" w:space="14" w:color="DEEAF6" w:themeColor="accent1" w:themeTint="33"/>
        <w:right w:val="single" w:sz="4" w:space="14" w:color="DEEAF6" w:themeColor="accent1" w:themeTint="33"/>
      </w:pBdr>
      <w:shd w:val="clear" w:color="auto" w:fill="DEEAF6" w:themeFill="accent1" w:themeFillTint="33"/>
      <w:spacing w:before="120" w:after="60"/>
      <w:ind w:left="284" w:right="284"/>
    </w:pPr>
    <w:rPr>
      <w:rFonts w:asciiTheme="minorHAnsi" w:eastAsiaTheme="minorHAnsi" w:hAnsiTheme="minorHAnsi" w:cstheme="minorBidi"/>
      <w:color w:val="000000" w:themeColor="text1"/>
      <w:szCs w:val="22"/>
    </w:rPr>
  </w:style>
  <w:style w:type="numbering" w:customStyle="1" w:styleId="KCBullets">
    <w:name w:val="KC Bullets"/>
    <w:uiPriority w:val="99"/>
    <w:rsid w:val="00430784"/>
    <w:pPr>
      <w:numPr>
        <w:numId w:val="6"/>
      </w:numPr>
    </w:pPr>
  </w:style>
  <w:style w:type="paragraph" w:customStyle="1" w:styleId="Bullet1">
    <w:name w:val="Bullet 1"/>
    <w:basedOn w:val="Normal"/>
    <w:link w:val="Bullet1Char0"/>
    <w:qFormat/>
    <w:rsid w:val="00430784"/>
    <w:pPr>
      <w:numPr>
        <w:numId w:val="7"/>
      </w:numPr>
      <w:spacing w:before="120" w:after="120"/>
    </w:pPr>
    <w:rPr>
      <w:rFonts w:asciiTheme="minorHAnsi" w:eastAsiaTheme="minorHAnsi" w:hAnsiTheme="minorHAnsi" w:cstheme="minorBidi"/>
      <w:color w:val="000000" w:themeColor="text1"/>
      <w:sz w:val="20"/>
    </w:rPr>
  </w:style>
  <w:style w:type="paragraph" w:customStyle="1" w:styleId="Bullet2">
    <w:name w:val="Bullet 2"/>
    <w:basedOn w:val="Normal"/>
    <w:uiPriority w:val="2"/>
    <w:qFormat/>
    <w:rsid w:val="00430784"/>
    <w:pPr>
      <w:numPr>
        <w:ilvl w:val="1"/>
        <w:numId w:val="7"/>
      </w:numPr>
      <w:spacing w:before="120" w:after="120"/>
    </w:pPr>
    <w:rPr>
      <w:rFonts w:asciiTheme="minorHAnsi" w:eastAsiaTheme="minorHAnsi" w:hAnsiTheme="minorHAnsi" w:cstheme="minorBidi"/>
      <w:color w:val="000000" w:themeColor="text1"/>
      <w:sz w:val="20"/>
    </w:rPr>
  </w:style>
  <w:style w:type="paragraph" w:customStyle="1" w:styleId="Bullet3">
    <w:name w:val="Bullet 3"/>
    <w:basedOn w:val="Normal"/>
    <w:qFormat/>
    <w:rsid w:val="00430784"/>
    <w:pPr>
      <w:numPr>
        <w:ilvl w:val="2"/>
        <w:numId w:val="7"/>
      </w:numPr>
      <w:spacing w:before="120" w:after="120"/>
    </w:pPr>
    <w:rPr>
      <w:rFonts w:asciiTheme="minorHAnsi" w:eastAsiaTheme="minorHAnsi" w:hAnsiTheme="minorHAnsi" w:cstheme="minorBidi"/>
      <w:color w:val="000000" w:themeColor="text1"/>
      <w:sz w:val="20"/>
    </w:rPr>
  </w:style>
  <w:style w:type="paragraph" w:customStyle="1" w:styleId="bulletalpha">
    <w:name w:val="bullet alpha"/>
    <w:basedOn w:val="bullet10"/>
    <w:qFormat/>
    <w:rsid w:val="00E63215"/>
    <w:pPr>
      <w:numPr>
        <w:numId w:val="8"/>
      </w:numPr>
    </w:pPr>
    <w:rPr>
      <w:szCs w:val="22"/>
      <w:lang w:val="en"/>
    </w:rPr>
  </w:style>
  <w:style w:type="paragraph" w:customStyle="1" w:styleId="Bulletroman">
    <w:name w:val="Bullet roman"/>
    <w:basedOn w:val="bulletalpha"/>
    <w:qFormat/>
    <w:rsid w:val="00430784"/>
    <w:pPr>
      <w:numPr>
        <w:numId w:val="9"/>
      </w:numPr>
    </w:pPr>
  </w:style>
  <w:style w:type="paragraph" w:customStyle="1" w:styleId="Boxed1Bullet">
    <w:name w:val="Boxed 1 Bullet"/>
    <w:basedOn w:val="Boxed1Text"/>
    <w:uiPriority w:val="30"/>
    <w:qFormat/>
    <w:rsid w:val="00430784"/>
    <w:pPr>
      <w:numPr>
        <w:numId w:val="10"/>
      </w:numPr>
    </w:pPr>
  </w:style>
  <w:style w:type="paragraph" w:customStyle="1" w:styleId="Boxed2Bullet">
    <w:name w:val="Boxed 2 Bullet"/>
    <w:basedOn w:val="Normal"/>
    <w:uiPriority w:val="32"/>
    <w:qFormat/>
    <w:rsid w:val="00430784"/>
    <w:pPr>
      <w:numPr>
        <w:ilvl w:val="1"/>
        <w:numId w:val="10"/>
      </w:numPr>
      <w:pBdr>
        <w:top w:val="single" w:sz="4" w:space="14" w:color="5B9BD5" w:themeColor="accent1"/>
        <w:left w:val="single" w:sz="4" w:space="14" w:color="5B9BD5" w:themeColor="accent1"/>
        <w:bottom w:val="single" w:sz="4" w:space="14" w:color="5B9BD5" w:themeColor="accent1"/>
        <w:right w:val="single" w:sz="4" w:space="14" w:color="5B9BD5" w:themeColor="accent1"/>
      </w:pBdr>
      <w:spacing w:before="120" w:after="60" w:line="240" w:lineRule="atLeast"/>
      <w:ind w:right="284"/>
    </w:pPr>
    <w:rPr>
      <w:rFonts w:asciiTheme="minorHAnsi" w:eastAsiaTheme="minorHAnsi" w:hAnsiTheme="minorHAnsi" w:cstheme="minorBidi"/>
      <w:color w:val="000000" w:themeColor="text1"/>
      <w:sz w:val="20"/>
    </w:rPr>
  </w:style>
  <w:style w:type="numbering" w:customStyle="1" w:styleId="BoxedBullets">
    <w:name w:val="Boxed Bullets"/>
    <w:uiPriority w:val="99"/>
    <w:rsid w:val="00430784"/>
    <w:pPr>
      <w:numPr>
        <w:numId w:val="10"/>
      </w:numPr>
    </w:pPr>
  </w:style>
  <w:style w:type="character" w:styleId="IntenseEmphasis">
    <w:name w:val="Intense Emphasis"/>
    <w:basedOn w:val="DefaultParagraphFont"/>
    <w:uiPriority w:val="33"/>
    <w:qFormat/>
    <w:rsid w:val="00430784"/>
    <w:rPr>
      <w:b/>
      <w:i/>
      <w:iCs/>
      <w:color w:val="000000" w:themeColor="text1"/>
    </w:rPr>
  </w:style>
  <w:style w:type="paragraph" w:customStyle="1" w:styleId="NormalIndent5mm">
    <w:name w:val="Normal Indent 5mm"/>
    <w:basedOn w:val="Normal"/>
    <w:qFormat/>
    <w:rsid w:val="00B514E3"/>
    <w:pPr>
      <w:spacing w:before="120" w:after="120" w:line="240" w:lineRule="auto"/>
      <w:ind w:left="284"/>
    </w:pPr>
    <w:rPr>
      <w:rFonts w:asciiTheme="minorHAnsi" w:eastAsiaTheme="minorHAnsi" w:hAnsiTheme="minorHAnsi" w:cstheme="minorBidi"/>
      <w:color w:val="000000" w:themeColor="text1"/>
      <w:sz w:val="20"/>
    </w:rPr>
  </w:style>
  <w:style w:type="character" w:styleId="Strong">
    <w:name w:val="Strong"/>
    <w:basedOn w:val="DefaultParagraphFont"/>
    <w:uiPriority w:val="22"/>
    <w:qFormat/>
    <w:rsid w:val="001F5A1E"/>
    <w:rPr>
      <w:b/>
      <w:bCs/>
    </w:rPr>
  </w:style>
  <w:style w:type="paragraph" w:customStyle="1" w:styleId="Boxed1Heading">
    <w:name w:val="Boxed 1 Heading"/>
    <w:basedOn w:val="Boxed1Text"/>
    <w:uiPriority w:val="29"/>
    <w:qFormat/>
    <w:rsid w:val="00495C6A"/>
    <w:pPr>
      <w:keepNext/>
      <w:spacing w:line="240" w:lineRule="atLeast"/>
    </w:pPr>
    <w:rPr>
      <w:b/>
      <w:szCs w:val="20"/>
    </w:rPr>
  </w:style>
  <w:style w:type="numbering" w:customStyle="1" w:styleId="FigureNumbers">
    <w:name w:val="Figure Numbers"/>
    <w:uiPriority w:val="99"/>
    <w:rsid w:val="00495C6A"/>
    <w:pPr>
      <w:numPr>
        <w:numId w:val="11"/>
      </w:numPr>
    </w:pPr>
  </w:style>
  <w:style w:type="paragraph" w:customStyle="1" w:styleId="FigureTitle">
    <w:name w:val="Figure Title"/>
    <w:basedOn w:val="Normal"/>
    <w:uiPriority w:val="12"/>
    <w:qFormat/>
    <w:rsid w:val="00495C6A"/>
    <w:pPr>
      <w:keepNext/>
      <w:numPr>
        <w:numId w:val="12"/>
      </w:numPr>
      <w:spacing w:before="240" w:after="120" w:line="240" w:lineRule="auto"/>
    </w:pPr>
    <w:rPr>
      <w:rFonts w:asciiTheme="majorHAnsi" w:eastAsiaTheme="minorHAnsi" w:hAnsiTheme="majorHAnsi" w:cstheme="minorBidi"/>
      <w:color w:val="000000" w:themeColor="text1"/>
      <w:sz w:val="20"/>
    </w:rPr>
  </w:style>
  <w:style w:type="character" w:customStyle="1" w:styleId="heading10">
    <w:name w:val="heading1"/>
    <w:basedOn w:val="DefaultParagraphFont"/>
    <w:rsid w:val="007811EC"/>
    <w:rPr>
      <w:rFonts w:ascii="Calibri" w:hAnsi="Calibri" w:cs="Calibri" w:hint="default"/>
      <w:b/>
      <w:bCs/>
      <w:i w:val="0"/>
      <w:iCs w:val="0"/>
      <w:color w:val="000000"/>
    </w:rPr>
  </w:style>
  <w:style w:type="paragraph" w:customStyle="1" w:styleId="AppendixNumbered">
    <w:name w:val="Appendix Numbered"/>
    <w:basedOn w:val="Heading2"/>
    <w:uiPriority w:val="11"/>
    <w:qFormat/>
    <w:rsid w:val="00C45989"/>
    <w:pPr>
      <w:keepLines/>
      <w:pageBreakBefore/>
      <w:numPr>
        <w:numId w:val="16"/>
      </w:numPr>
      <w:spacing w:before="360" w:after="120" w:line="240" w:lineRule="auto"/>
    </w:pPr>
    <w:rPr>
      <w:rFonts w:asciiTheme="majorHAnsi" w:eastAsiaTheme="majorEastAsia" w:hAnsiTheme="majorHAnsi" w:cstheme="majorBidi"/>
      <w:snapToGrid/>
      <w:color w:val="5B9BD5" w:themeColor="accent1"/>
      <w:szCs w:val="26"/>
    </w:rPr>
  </w:style>
  <w:style w:type="numbering" w:customStyle="1" w:styleId="AppendixNumbers">
    <w:name w:val="Appendix Numbers"/>
    <w:uiPriority w:val="99"/>
    <w:rsid w:val="00C45989"/>
    <w:pPr>
      <w:numPr>
        <w:numId w:val="13"/>
      </w:numPr>
    </w:pPr>
  </w:style>
  <w:style w:type="table" w:customStyle="1" w:styleId="DefaultTable1">
    <w:name w:val="Default Table 1"/>
    <w:basedOn w:val="GridTable5Dark-Accent1"/>
    <w:uiPriority w:val="99"/>
    <w:rsid w:val="00C45989"/>
    <w:pPr>
      <w:spacing w:before="60" w:after="60"/>
    </w:pPr>
    <w:rPr>
      <w:color w:val="000000" w:themeColor="text1"/>
      <w:sz w:val="18"/>
      <w:szCs w:val="20"/>
      <w:lang w:eastAsia="en-A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Pr>
    <w:trPr>
      <w:cantSplit/>
    </w:trPr>
    <w:tcPr>
      <w:shd w:val="clear" w:color="auto" w:fill="auto"/>
    </w:tcPr>
    <w:tblStylePr w:type="firstRow">
      <w:pPr>
        <w:wordWrap/>
        <w:spacing w:beforeLines="0" w:before="60" w:beforeAutospacing="0" w:afterLines="0" w:after="60" w:afterAutospacing="0" w:line="240" w:lineRule="auto"/>
      </w:pPr>
      <w:rPr>
        <w:rFonts w:asciiTheme="majorHAnsi" w:hAnsiTheme="majorHAnsi"/>
        <w:b/>
        <w:bCs/>
        <w:caps w:val="0"/>
        <w:smallCaps w:val="0"/>
        <w:color w:val="FFFFFF" w:themeColor="background1"/>
        <w:sz w:val="18"/>
      </w:rPr>
      <w:tblPr/>
      <w:trPr>
        <w:cantSplit w:val="0"/>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1"/>
      </w:tcPr>
    </w:tblStylePr>
    <w:tblStylePr w:type="lastRow">
      <w:rPr>
        <w:b/>
        <w:bCs/>
        <w:color w:val="000000" w:themeColor="text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BFBFBF" w:themeFill="background1" w:themeFillShade="BF"/>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pPr>
        <w:jc w:val="right"/>
      </w:pPr>
      <w:rPr>
        <w:b/>
        <w:bCs/>
        <w:color w:val="000000" w:themeColor="text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BFBF" w:themeFill="background1" w:themeFillShade="BF"/>
      </w:tcPr>
    </w:tblStylePr>
    <w:tblStylePr w:type="band1Vert">
      <w:tblPr/>
      <w:tcPr>
        <w:shd w:val="clear" w:color="auto" w:fill="DEEAF6" w:themeFill="accent1" w:themeFillTint="33"/>
      </w:tcPr>
    </w:tblStylePr>
    <w:tblStylePr w:type="band2Vert">
      <w:tblPr/>
      <w:tcPr>
        <w:shd w:val="clear" w:color="auto" w:fill="BDD6EE" w:themeFill="accent1" w:themeFillTint="66"/>
      </w:tcPr>
    </w:tblStylePr>
    <w:tblStylePr w:type="band1Horz">
      <w:tblPr/>
      <w:tcPr>
        <w:shd w:val="clear" w:color="auto" w:fill="DEEAF6" w:themeFill="accent1" w:themeFillTint="33"/>
      </w:tcPr>
    </w:tblStylePr>
    <w:tblStylePr w:type="band2Horz">
      <w:tblPr/>
      <w:tcPr>
        <w:shd w:val="clear" w:color="auto" w:fill="BDD6EE" w:themeFill="accent1" w:themeFillTint="66"/>
      </w:tcPr>
    </w:tblStylePr>
  </w:style>
  <w:style w:type="numbering" w:customStyle="1" w:styleId="TableNumbers">
    <w:name w:val="Table Numbers"/>
    <w:uiPriority w:val="99"/>
    <w:rsid w:val="00C45989"/>
    <w:pPr>
      <w:numPr>
        <w:numId w:val="14"/>
      </w:numPr>
    </w:pPr>
  </w:style>
  <w:style w:type="paragraph" w:customStyle="1" w:styleId="TableTitle">
    <w:name w:val="Table Title"/>
    <w:basedOn w:val="FigureTitle"/>
    <w:uiPriority w:val="12"/>
    <w:qFormat/>
    <w:rsid w:val="00C45989"/>
    <w:pPr>
      <w:numPr>
        <w:numId w:val="15"/>
      </w:numPr>
    </w:pPr>
  </w:style>
  <w:style w:type="table" w:styleId="GridTable5Dark-Accent1">
    <w:name w:val="Grid Table 5 Dark Accent 1"/>
    <w:basedOn w:val="TableNormal"/>
    <w:uiPriority w:val="50"/>
    <w:rsid w:val="00C4598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styleId="FollowedHyperlink">
    <w:name w:val="FollowedHyperlink"/>
    <w:basedOn w:val="DefaultParagraphFont"/>
    <w:uiPriority w:val="99"/>
    <w:semiHidden/>
    <w:unhideWhenUsed/>
    <w:rsid w:val="005331E2"/>
    <w:rPr>
      <w:color w:val="954F72" w:themeColor="followedHyperlink"/>
      <w:u w:val="single"/>
    </w:rPr>
  </w:style>
  <w:style w:type="character" w:styleId="UnresolvedMention">
    <w:name w:val="Unresolved Mention"/>
    <w:basedOn w:val="DefaultParagraphFont"/>
    <w:uiPriority w:val="99"/>
    <w:semiHidden/>
    <w:unhideWhenUsed/>
    <w:rsid w:val="005331E2"/>
    <w:rPr>
      <w:color w:val="605E5C"/>
      <w:shd w:val="clear" w:color="auto" w:fill="E1DFDD"/>
    </w:rPr>
  </w:style>
  <w:style w:type="paragraph" w:customStyle="1" w:styleId="bulletnumbers">
    <w:name w:val="bullet numbers"/>
    <w:basedOn w:val="Normal"/>
    <w:qFormat/>
    <w:rsid w:val="00C23AE3"/>
    <w:pPr>
      <w:numPr>
        <w:numId w:val="17"/>
      </w:numPr>
      <w:spacing w:before="30" w:after="30"/>
      <w:ind w:left="357" w:hanging="357"/>
    </w:pPr>
    <w:rPr>
      <w:rFonts w:asciiTheme="minorHAnsi" w:eastAsiaTheme="minorHAnsi" w:hAnsiTheme="minorHAnsi"/>
      <w:szCs w:val="22"/>
    </w:rPr>
  </w:style>
  <w:style w:type="paragraph" w:customStyle="1" w:styleId="Directoratename">
    <w:name w:val="Directorate name"/>
    <w:basedOn w:val="Normal"/>
    <w:qFormat/>
    <w:rsid w:val="008F4C1C"/>
    <w:rPr>
      <w:b/>
      <w:bCs/>
      <w:color w:val="7030A0"/>
      <w:sz w:val="28"/>
      <w:szCs w:val="28"/>
    </w:rPr>
  </w:style>
  <w:style w:type="paragraph" w:styleId="FootnoteText">
    <w:name w:val="footnote text"/>
    <w:basedOn w:val="Normal"/>
    <w:link w:val="FootnoteTextChar"/>
    <w:uiPriority w:val="99"/>
    <w:semiHidden/>
    <w:unhideWhenUsed/>
    <w:rsid w:val="001723F7"/>
    <w:pPr>
      <w:spacing w:before="0" w:after="0" w:line="240" w:lineRule="auto"/>
    </w:pPr>
    <w:rPr>
      <w:sz w:val="20"/>
    </w:rPr>
  </w:style>
  <w:style w:type="character" w:customStyle="1" w:styleId="FootnoteTextChar">
    <w:name w:val="Footnote Text Char"/>
    <w:basedOn w:val="DefaultParagraphFont"/>
    <w:link w:val="FootnoteText"/>
    <w:uiPriority w:val="99"/>
    <w:semiHidden/>
    <w:rsid w:val="001723F7"/>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1723F7"/>
    <w:rPr>
      <w:vertAlign w:val="superscript"/>
    </w:rPr>
  </w:style>
  <w:style w:type="character" w:customStyle="1" w:styleId="Bullet1Char0">
    <w:name w:val="Bullet 1 Char"/>
    <w:basedOn w:val="DefaultParagraphFont"/>
    <w:link w:val="Bullet1"/>
    <w:rsid w:val="00D31877"/>
    <w:rPr>
      <w:color w:val="000000" w:themeColor="text1"/>
      <w:sz w:val="20"/>
      <w:szCs w:val="20"/>
    </w:rPr>
  </w:style>
  <w:style w:type="character" w:styleId="CommentReference">
    <w:name w:val="annotation reference"/>
    <w:basedOn w:val="DefaultParagraphFont"/>
    <w:uiPriority w:val="99"/>
    <w:semiHidden/>
    <w:unhideWhenUsed/>
    <w:rsid w:val="0041036E"/>
    <w:rPr>
      <w:sz w:val="16"/>
      <w:szCs w:val="16"/>
    </w:rPr>
  </w:style>
  <w:style w:type="paragraph" w:styleId="CommentText">
    <w:name w:val="annotation text"/>
    <w:basedOn w:val="Normal"/>
    <w:link w:val="CommentTextChar"/>
    <w:uiPriority w:val="99"/>
    <w:unhideWhenUsed/>
    <w:rsid w:val="0041036E"/>
    <w:pPr>
      <w:spacing w:before="0" w:line="240" w:lineRule="auto"/>
    </w:pPr>
    <w:rPr>
      <w:rFonts w:asciiTheme="minorHAnsi" w:eastAsiaTheme="minorHAnsi" w:hAnsiTheme="minorHAnsi"/>
      <w:sz w:val="20"/>
      <w:lang w:eastAsia="en-AU"/>
    </w:rPr>
  </w:style>
  <w:style w:type="character" w:customStyle="1" w:styleId="CommentTextChar">
    <w:name w:val="Comment Text Char"/>
    <w:basedOn w:val="DefaultParagraphFont"/>
    <w:link w:val="CommentText"/>
    <w:uiPriority w:val="99"/>
    <w:rsid w:val="0041036E"/>
    <w:rPr>
      <w:rFonts w:cs="Times New Roman"/>
      <w:sz w:val="20"/>
      <w:szCs w:val="20"/>
      <w:lang w:eastAsia="en-AU"/>
    </w:rPr>
  </w:style>
  <w:style w:type="table" w:customStyle="1" w:styleId="TableGrid1">
    <w:name w:val="Table Grid1"/>
    <w:basedOn w:val="TableNormal"/>
    <w:next w:val="TableGrid"/>
    <w:uiPriority w:val="59"/>
    <w:rsid w:val="00C815E9"/>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DefaultParagraphFont"/>
    <w:rsid w:val="000B47F1"/>
  </w:style>
  <w:style w:type="paragraph" w:styleId="NormalWeb">
    <w:name w:val="Normal (Web)"/>
    <w:basedOn w:val="Normal"/>
    <w:uiPriority w:val="99"/>
    <w:semiHidden/>
    <w:unhideWhenUsed/>
    <w:rsid w:val="00C21EE7"/>
    <w:pPr>
      <w:spacing w:before="100" w:beforeAutospacing="1" w:after="100" w:afterAutospacing="1" w:line="240" w:lineRule="auto"/>
    </w:pPr>
    <w:rPr>
      <w:rFonts w:ascii="Times New Roman" w:hAnsi="Times New Roman"/>
      <w:sz w:val="24"/>
      <w:szCs w:val="24"/>
      <w:lang w:eastAsia="en-AU"/>
    </w:rPr>
  </w:style>
  <w:style w:type="paragraph" w:styleId="TOCHeading">
    <w:name w:val="TOC Heading"/>
    <w:basedOn w:val="Heading1"/>
    <w:next w:val="Normal"/>
    <w:uiPriority w:val="39"/>
    <w:unhideWhenUsed/>
    <w:qFormat/>
    <w:rsid w:val="00CD436C"/>
    <w:pPr>
      <w:keepLines/>
      <w:spacing w:before="240" w:after="0" w:line="259" w:lineRule="auto"/>
      <w:outlineLvl w:val="9"/>
    </w:pPr>
    <w:rPr>
      <w:rFonts w:asciiTheme="majorHAnsi" w:eastAsiaTheme="majorEastAsia" w:hAnsiTheme="majorHAnsi" w:cstheme="majorBidi"/>
      <w:b w:val="0"/>
      <w:color w:val="2E74B5" w:themeColor="accent1" w:themeShade="BF"/>
      <w:kern w:val="0"/>
      <w:sz w:val="32"/>
      <w:szCs w:val="32"/>
      <w:lang w:val="en-US"/>
    </w:rPr>
  </w:style>
  <w:style w:type="paragraph" w:styleId="TOC1">
    <w:name w:val="toc 1"/>
    <w:basedOn w:val="Normal"/>
    <w:next w:val="Normal"/>
    <w:autoRedefine/>
    <w:uiPriority w:val="39"/>
    <w:unhideWhenUsed/>
    <w:rsid w:val="00CD436C"/>
    <w:pPr>
      <w:spacing w:after="100"/>
    </w:pPr>
  </w:style>
  <w:style w:type="paragraph" w:styleId="TOC2">
    <w:name w:val="toc 2"/>
    <w:basedOn w:val="Normal"/>
    <w:next w:val="Normal"/>
    <w:autoRedefine/>
    <w:uiPriority w:val="39"/>
    <w:unhideWhenUsed/>
    <w:rsid w:val="00CD436C"/>
    <w:pPr>
      <w:spacing w:after="100"/>
      <w:ind w:left="220"/>
    </w:pPr>
  </w:style>
  <w:style w:type="paragraph" w:styleId="TOC3">
    <w:name w:val="toc 3"/>
    <w:basedOn w:val="Normal"/>
    <w:next w:val="Normal"/>
    <w:autoRedefine/>
    <w:uiPriority w:val="39"/>
    <w:unhideWhenUsed/>
    <w:rsid w:val="00CD436C"/>
    <w:pPr>
      <w:spacing w:after="100"/>
      <w:ind w:left="440"/>
    </w:pPr>
  </w:style>
  <w:style w:type="paragraph" w:styleId="CommentSubject">
    <w:name w:val="annotation subject"/>
    <w:basedOn w:val="CommentText"/>
    <w:next w:val="CommentText"/>
    <w:link w:val="CommentSubjectChar"/>
    <w:uiPriority w:val="99"/>
    <w:semiHidden/>
    <w:unhideWhenUsed/>
    <w:rsid w:val="00D50F68"/>
    <w:pPr>
      <w:spacing w:before="200"/>
    </w:pPr>
    <w:rPr>
      <w:rFonts w:ascii="Calibri" w:eastAsia="Times New Roman" w:hAnsi="Calibri"/>
      <w:b/>
      <w:bCs/>
      <w:lang w:eastAsia="en-US"/>
    </w:rPr>
  </w:style>
  <w:style w:type="character" w:customStyle="1" w:styleId="CommentSubjectChar">
    <w:name w:val="Comment Subject Char"/>
    <w:basedOn w:val="CommentTextChar"/>
    <w:link w:val="CommentSubject"/>
    <w:uiPriority w:val="99"/>
    <w:semiHidden/>
    <w:rsid w:val="00D50F68"/>
    <w:rPr>
      <w:rFonts w:ascii="Calibri" w:eastAsia="Times New Roman" w:hAnsi="Calibri" w:cs="Times New Roman"/>
      <w:b/>
      <w:bCs/>
      <w:sz w:val="20"/>
      <w:szCs w:val="20"/>
      <w:lang w:eastAsia="en-AU"/>
    </w:rPr>
  </w:style>
  <w:style w:type="paragraph" w:styleId="Revision">
    <w:name w:val="Revision"/>
    <w:hidden/>
    <w:uiPriority w:val="99"/>
    <w:semiHidden/>
    <w:rsid w:val="009A4076"/>
    <w:pPr>
      <w:spacing w:after="0" w:line="240" w:lineRule="auto"/>
    </w:pPr>
    <w:rPr>
      <w:rFonts w:ascii="Calibri" w:eastAsia="Times New Roman" w:hAnsi="Calibri"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018712">
      <w:bodyDiv w:val="1"/>
      <w:marLeft w:val="0"/>
      <w:marRight w:val="0"/>
      <w:marTop w:val="0"/>
      <w:marBottom w:val="0"/>
      <w:divBdr>
        <w:top w:val="none" w:sz="0" w:space="0" w:color="auto"/>
        <w:left w:val="none" w:sz="0" w:space="0" w:color="auto"/>
        <w:bottom w:val="none" w:sz="0" w:space="0" w:color="auto"/>
        <w:right w:val="none" w:sz="0" w:space="0" w:color="auto"/>
      </w:divBdr>
    </w:div>
    <w:div w:id="1443770389">
      <w:bodyDiv w:val="1"/>
      <w:marLeft w:val="0"/>
      <w:marRight w:val="0"/>
      <w:marTop w:val="0"/>
      <w:marBottom w:val="0"/>
      <w:divBdr>
        <w:top w:val="none" w:sz="0" w:space="0" w:color="auto"/>
        <w:left w:val="none" w:sz="0" w:space="0" w:color="auto"/>
        <w:bottom w:val="none" w:sz="0" w:space="0" w:color="auto"/>
        <w:right w:val="none" w:sz="0" w:space="0" w:color="auto"/>
      </w:divBdr>
    </w:div>
    <w:div w:id="1945530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file:///\\nas327s1\PICC\CAMPAIGN%20and%20CREATIVE\Design_Hub\Branding\Post%20election%20options\Brand%20book%20update\Look%20&amp;%20feel%20development\Brand%20products%20various\AAA_Templates\Word%20templates\A4%20Reports\Content\Images\WHoG%20cover%20top\Cover%20WHoG%20long_.png" TargetMode="External"/><Relationship Id="rId18" Type="http://schemas.openxmlformats.org/officeDocument/2006/relationships/header" Target="header3.xml"/><Relationship Id="rId26" Type="http://schemas.openxmlformats.org/officeDocument/2006/relationships/hyperlink" Target="https://www.cmtedd.act.gov.au/employment-framework/for-employees/agreements" TargetMode="External"/><Relationship Id="rId3" Type="http://schemas.openxmlformats.org/officeDocument/2006/relationships/customXml" Target="../customXml/item3.xml"/><Relationship Id="rId21" Type="http://schemas.openxmlformats.org/officeDocument/2006/relationships/hyperlink" Target="https://www.legislation.act.gov.au/a/1994-37/"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5" Type="http://schemas.openxmlformats.org/officeDocument/2006/relationships/hyperlink" Target="https://www.legislation.gov.au/C2009A00028/2023-07-01/text"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cmtedd.act.gov.au/employment-framework/for-employees/agreements" TargetMode="External"/><Relationship Id="rId29" Type="http://schemas.openxmlformats.org/officeDocument/2006/relationships/hyperlink" Target="mailto:SSHRARIns@act.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www.legislation.act.gov.au/a/1996-22" TargetMode="External"/><Relationship Id="rId32" Type="http://schemas.openxmlformats.org/officeDocument/2006/relationships/hyperlink" Target="https://actss.service-now.com/sys_attachment.do?sys_id=127c87cf971a31d0614df26ef053af7d&amp;sysparm_this_url=sc_cat_item_content.do%3Fsys_id%3Dbf1b0fc397d631d0614df26ef053af95%26sysparm_record_list%3Dsc_catalogs%253DNULL%255EORsc_catalogsDOES%2BNOT%2BCONTAIN0b22fd2ad7021100b9a5c7400e610319%255EORDERBYDESCsys_updated_on%26sysparm_record_row%3D1%26sysparm_record_rows%3D264%26sysparm_record_target%3Dsc_cat_item_content" TargetMode="Externa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s://www.legislation.act.gov.au/a/1994-37/" TargetMode="External"/><Relationship Id="rId28" Type="http://schemas.openxmlformats.org/officeDocument/2006/relationships/hyperlink" Target="mailto:ACTPS_ARIns@act.gov.au" TargetMode="Externa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hyperlink" Target="mailto:SSHRARIns@act.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mailto:ACTPS_ARIns@act.gov.au" TargetMode="External"/><Relationship Id="rId27" Type="http://schemas.openxmlformats.org/officeDocument/2006/relationships/hyperlink" Target="https://actss.service-now.com/sharedservices/?id=employment" TargetMode="External"/><Relationship Id="rId30" Type="http://schemas.openxmlformats.org/officeDocument/2006/relationships/image" Target="media/image4.jpeg"/><Relationship Id="rId8" Type="http://schemas.openxmlformats.org/officeDocument/2006/relationships/webSettings" Target="webSettings.xml"/></Relationships>
</file>

<file path=word/_rels/footer2.xml.rels><?xml version="1.0" encoding="UTF-8" standalone="yes"?>
<Relationships xmlns="http://schemas.openxmlformats.org/package/2006/relationships"><Relationship Id="rId2" Type="http://schemas.openxmlformats.org/officeDocument/2006/relationships/image" Target="file:///\\nas327s1\PICC\CAMPAIGN%20and%20CREATIVE\Design_Hub\Branding\Post%20election%20options\Brand%20book%20update\Look%20&amp;%20feel%20development\Brand%20products%20various\AAA_Templates\Word%20templates\A4%20Reports\Content\Images\Header%20WHoG\Header%20WHog_B%20thin.png" TargetMode="External"/><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0D9B5854DD0943985B1931B7971495" ma:contentTypeVersion="19" ma:contentTypeDescription="Create a new document." ma:contentTypeScope="" ma:versionID="aec6f21c815671188cde2abac0075900">
  <xsd:schema xmlns:xsd="http://www.w3.org/2001/XMLSchema" xmlns:xs="http://www.w3.org/2001/XMLSchema" xmlns:p="http://schemas.microsoft.com/office/2006/metadata/properties" xmlns:ns2="f6c841be-bb08-4901-87b0-0033aa80d2c6" xmlns:ns3="4d47241e-7224-40da-83d9-1113ff4a4334" targetNamespace="http://schemas.microsoft.com/office/2006/metadata/properties" ma:root="true" ma:fieldsID="321f9ca8876a6050411e27632b4ddb20" ns2:_="" ns3:_="">
    <xsd:import namespace="f6c841be-bb08-4901-87b0-0033aa80d2c6"/>
    <xsd:import namespace="4d47241e-7224-40da-83d9-1113ff4a4334"/>
    <xsd:element name="properties">
      <xsd:complexType>
        <xsd:sequence>
          <xsd:element name="documentManagement">
            <xsd:complexType>
              <xsd:all>
                <xsd:element ref="ns2:MediaServiceMetadata" minOccurs="0"/>
                <xsd:element ref="ns2:MediaServiceFastMetadata" minOccurs="0"/>
                <xsd:element ref="ns2:_Flow_SignoffStatus" minOccurs="0"/>
                <xsd:element ref="ns2:DocumentType"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c841be-bb08-4901-87b0-0033aa80d2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0" nillable="true" ma:displayName="Sign-off status" ma:internalName="Sign_x002d_off_x0020_status">
      <xsd:simpleType>
        <xsd:restriction base="dms:Text"/>
      </xsd:simpleType>
    </xsd:element>
    <xsd:element name="DocumentType" ma:index="11" nillable="true" ma:displayName="Document Type" ma:format="Dropdown" ma:internalName="DocumentType">
      <xsd:simpleType>
        <xsd:restriction base="dms:Choice">
          <xsd:enumeration value="Guideline"/>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a32ba9fb-117d-4a5c-9dda-ba27611682c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d47241e-7224-40da-83d9-1113ff4a433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5dcb94e-5755-4384-ae7a-b1d759b3967d}" ma:internalName="TaxCatchAll" ma:showField="CatchAllData" ma:web="4d47241e-7224-40da-83d9-1113ff4a433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f6c841be-bb08-4901-87b0-0033aa80d2c6" xsi:nil="true"/>
    <DocumentType xmlns="f6c841be-bb08-4901-87b0-0033aa80d2c6" xsi:nil="true"/>
    <lcf76f155ced4ddcb4097134ff3c332f xmlns="f6c841be-bb08-4901-87b0-0033aa80d2c6">
      <Terms xmlns="http://schemas.microsoft.com/office/infopath/2007/PartnerControls"/>
    </lcf76f155ced4ddcb4097134ff3c332f>
    <TaxCatchAll xmlns="4d47241e-7224-40da-83d9-1113ff4a433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8D71D4-E4DA-409D-98DE-F2C5F857E3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c841be-bb08-4901-87b0-0033aa80d2c6"/>
    <ds:schemaRef ds:uri="4d47241e-7224-40da-83d9-1113ff4a43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84DB80-A521-429B-8B43-37D8A844619C}">
  <ds:schemaRefs>
    <ds:schemaRef ds:uri="http://schemas.microsoft.com/office/2006/metadata/properties"/>
    <ds:schemaRef ds:uri="http://schemas.microsoft.com/office/infopath/2007/PartnerControls"/>
    <ds:schemaRef ds:uri="f6c841be-bb08-4901-87b0-0033aa80d2c6"/>
    <ds:schemaRef ds:uri="4d47241e-7224-40da-83d9-1113ff4a4334"/>
  </ds:schemaRefs>
</ds:datastoreItem>
</file>

<file path=customXml/itemProps3.xml><?xml version="1.0" encoding="utf-8"?>
<ds:datastoreItem xmlns:ds="http://schemas.openxmlformats.org/officeDocument/2006/customXml" ds:itemID="{8FB681A3-58C3-4541-82AC-C3AB1893F7FC}">
  <ds:schemaRefs>
    <ds:schemaRef ds:uri="http://schemas.microsoft.com/sharepoint/v3/contenttype/forms"/>
  </ds:schemaRefs>
</ds:datastoreItem>
</file>

<file path=customXml/itemProps4.xml><?xml version="1.0" encoding="utf-8"?>
<ds:datastoreItem xmlns:ds="http://schemas.openxmlformats.org/officeDocument/2006/customXml" ds:itemID="{2A889FB0-8892-4E43-B0A9-12DC07353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20</Pages>
  <Words>5710</Words>
  <Characters>33977</Characters>
  <Application>Microsoft Office Word</Application>
  <DocSecurity>0</DocSecurity>
  <Lines>1306</Lines>
  <Paragraphs>901</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38786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Maskell, Alan</dc:creator>
  <cp:lastModifiedBy>Angus, Sarah</cp:lastModifiedBy>
  <cp:revision>4</cp:revision>
  <cp:lastPrinted>2019-06-13T01:11:00Z</cp:lastPrinted>
  <dcterms:created xsi:type="dcterms:W3CDTF">2024-04-10T23:02:00Z</dcterms:created>
  <dcterms:modified xsi:type="dcterms:W3CDTF">2024-04-10T23:26:00Z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0x010100190D9B5854DD0943985B1931B7971495</vt:lpwstr>
  </property>
  <property fmtid="{D5CDD505-2E9C-101B-9397-08002B2CF9AE}" pid="3" name="MSIP_Label_69af8531-eb46-4968-8cb3-105d2f5ea87e_Enabled">
    <vt:lpwstr>true</vt:lpwstr>
  </property>
  <property fmtid="{D5CDD505-2E9C-101B-9397-08002B2CF9AE}" pid="4" name="MSIP_Label_69af8531-eb46-4968-8cb3-105d2f5ea87e_SetDate">
    <vt:lpwstr>2021-06-17T05:19:54Z</vt:lpwstr>
  </property>
  <property fmtid="{D5CDD505-2E9C-101B-9397-08002B2CF9AE}" pid="5" name="MSIP_Label_69af8531-eb46-4968-8cb3-105d2f5ea87e_Method">
    <vt:lpwstr>Privileged</vt:lpwstr>
  </property>
  <property fmtid="{D5CDD505-2E9C-101B-9397-08002B2CF9AE}" pid="6" name="MSIP_Label_69af8531-eb46-4968-8cb3-105d2f5ea87e_Name">
    <vt:lpwstr>Official - No Marking</vt:lpwstr>
  </property>
  <property fmtid="{D5CDD505-2E9C-101B-9397-08002B2CF9AE}" pid="7" name="MSIP_Label_69af8531-eb46-4968-8cb3-105d2f5ea87e_SiteId">
    <vt:lpwstr>b46c1908-0334-4236-b978-585ee88e4199</vt:lpwstr>
  </property>
  <property fmtid="{D5CDD505-2E9C-101B-9397-08002B2CF9AE}" pid="8" name="MSIP_Label_69af8531-eb46-4968-8cb3-105d2f5ea87e_ActionId">
    <vt:lpwstr>fc30cf60-cc8e-4fde-87ed-fd93859bb71d</vt:lpwstr>
  </property>
  <property fmtid="{D5CDD505-2E9C-101B-9397-08002B2CF9AE}" pid="9" name="MSIP_Label_69af8531-eb46-4968-8cb3-105d2f5ea87e_ContentBits">
    <vt:lpwstr>0</vt:lpwstr>
  </property>
  <property fmtid="{D5CDD505-2E9C-101B-9397-08002B2CF9AE}" pid="10" name="MediaServiceImageTags">
    <vt:lpwstr/>
  </property>
</Properties>
</file>