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0B" w:rsidRPr="0088286D" w:rsidRDefault="00B5180B" w:rsidP="00B5180B">
      <w:pPr>
        <w:spacing w:after="120"/>
        <w:jc w:val="both"/>
        <w:rPr>
          <w:rFonts w:asciiTheme="minorHAnsi" w:hAnsiTheme="minorHAnsi"/>
          <w:b/>
          <w:bCs/>
          <w:sz w:val="20"/>
          <w:szCs w:val="20"/>
        </w:rPr>
      </w:pPr>
      <w:r w:rsidRPr="0088286D">
        <w:rPr>
          <w:rFonts w:asciiTheme="minorHAnsi" w:hAnsiTheme="minorHAnsi"/>
          <w:b/>
          <w:bCs/>
          <w:sz w:val="20"/>
          <w:szCs w:val="20"/>
        </w:rPr>
        <w:t>18/605:  Education (Child Safety in Schools) Legislation Amendment Bill 2018</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6"/>
      </w:tblGrid>
      <w:tr w:rsidR="00B5180B" w:rsidTr="00A54AF8">
        <w:tc>
          <w:tcPr>
            <w:tcW w:w="9016" w:type="dxa"/>
          </w:tcPr>
          <w:p w:rsidR="00B5180B" w:rsidRPr="00E31E8C" w:rsidRDefault="00B5180B" w:rsidP="00A54AF8">
            <w:pPr>
              <w:spacing w:before="60" w:after="0"/>
              <w:jc w:val="both"/>
              <w:rPr>
                <w:rFonts w:asciiTheme="minorHAnsi" w:hAnsiTheme="minorHAnsi" w:cs="Calibri"/>
                <w:b/>
                <w:bCs/>
                <w:sz w:val="20"/>
                <w:szCs w:val="20"/>
              </w:rPr>
            </w:pPr>
            <w:r>
              <w:rPr>
                <w:rFonts w:asciiTheme="minorHAnsi" w:hAnsiTheme="minorHAnsi" w:cs="Calibri"/>
                <w:b/>
                <w:bCs/>
                <w:sz w:val="20"/>
                <w:szCs w:val="20"/>
              </w:rPr>
              <w:t>Summary of Impacts</w:t>
            </w:r>
          </w:p>
        </w:tc>
      </w:tr>
    </w:tbl>
    <w:tbl>
      <w:tblPr>
        <w:tblW w:w="0" w:type="auto"/>
        <w:jc w:val="center"/>
        <w:tblBorders>
          <w:top w:val="single" w:sz="4" w:space="0" w:color="auto"/>
          <w:left w:val="single" w:sz="4" w:space="0" w:color="000000"/>
          <w:bottom w:val="single" w:sz="4" w:space="0" w:color="000000"/>
          <w:right w:val="single" w:sz="4" w:space="0" w:color="000000"/>
        </w:tblBorders>
        <w:tblLook w:val="01E0" w:firstRow="1" w:lastRow="1" w:firstColumn="1" w:lastColumn="1" w:noHBand="0" w:noVBand="0"/>
      </w:tblPr>
      <w:tblGrid>
        <w:gridCol w:w="9016"/>
      </w:tblGrid>
      <w:tr w:rsidR="00B5180B" w:rsidRPr="0088286D" w:rsidTr="00A54AF8">
        <w:trPr>
          <w:jc w:val="center"/>
        </w:trPr>
        <w:tc>
          <w:tcPr>
            <w:tcW w:w="9105" w:type="dxa"/>
          </w:tcPr>
          <w:p w:rsidR="00B5180B" w:rsidRPr="0088286D" w:rsidRDefault="00B5180B" w:rsidP="00A54AF8">
            <w:pPr>
              <w:spacing w:before="60" w:after="0"/>
              <w:jc w:val="both"/>
              <w:rPr>
                <w:rFonts w:asciiTheme="minorHAnsi" w:hAnsiTheme="minorHAnsi" w:cs="Calibri"/>
                <w:b/>
                <w:bCs/>
                <w:sz w:val="20"/>
                <w:szCs w:val="20"/>
              </w:rPr>
            </w:pPr>
            <w:r w:rsidRPr="0088286D">
              <w:rPr>
                <w:rFonts w:asciiTheme="minorHAnsi" w:hAnsiTheme="minorHAnsi" w:cs="Calibri"/>
                <w:b/>
                <w:bCs/>
                <w:sz w:val="20"/>
                <w:szCs w:val="20"/>
              </w:rPr>
              <w:t>Amendments to the Education Act (2004) to:</w:t>
            </w:r>
          </w:p>
          <w:p w:rsidR="00B5180B" w:rsidRPr="0088286D" w:rsidRDefault="00B5180B" w:rsidP="00B5180B">
            <w:pPr>
              <w:numPr>
                <w:ilvl w:val="0"/>
                <w:numId w:val="1"/>
              </w:numPr>
              <w:spacing w:after="0" w:line="240" w:lineRule="auto"/>
              <w:ind w:left="357" w:hanging="357"/>
              <w:rPr>
                <w:rFonts w:asciiTheme="minorHAnsi" w:hAnsiTheme="minorHAnsi" w:cs="Calibri"/>
                <w:sz w:val="20"/>
                <w:szCs w:val="20"/>
              </w:rPr>
            </w:pPr>
            <w:r w:rsidRPr="0088286D">
              <w:rPr>
                <w:rFonts w:asciiTheme="minorHAnsi" w:hAnsiTheme="minorHAnsi" w:cs="Calibri"/>
                <w:sz w:val="20"/>
                <w:szCs w:val="20"/>
              </w:rPr>
              <w:t>require non</w:t>
            </w:r>
            <w:r w:rsidRPr="0088286D">
              <w:rPr>
                <w:rFonts w:asciiTheme="minorHAnsi" w:hAnsiTheme="minorHAnsi" w:cs="Calibri"/>
                <w:sz w:val="20"/>
                <w:szCs w:val="20"/>
              </w:rPr>
              <w:noBreakHyphen/>
              <w:t>government schools to implement agreed recommendations of the Royal Commission into Institutional Responses to Child Sexual Abuse (the Royal Commission) regarding the Child Safe Standards, record keeping, complaint handling and responding to incidents</w:t>
            </w:r>
            <w:r>
              <w:rPr>
                <w:rFonts w:asciiTheme="minorHAnsi" w:hAnsiTheme="minorHAnsi" w:cs="Calibri"/>
                <w:sz w:val="20"/>
                <w:szCs w:val="20"/>
              </w:rPr>
              <w:t>; and</w:t>
            </w:r>
          </w:p>
          <w:p w:rsidR="00B5180B" w:rsidRPr="0088286D" w:rsidRDefault="00B5180B" w:rsidP="00B5180B">
            <w:pPr>
              <w:numPr>
                <w:ilvl w:val="0"/>
                <w:numId w:val="1"/>
              </w:numPr>
              <w:spacing w:after="0" w:line="240" w:lineRule="auto"/>
              <w:ind w:left="357" w:hanging="357"/>
              <w:rPr>
                <w:rFonts w:asciiTheme="minorHAnsi" w:hAnsiTheme="minorHAnsi" w:cs="Calibri"/>
                <w:sz w:val="20"/>
                <w:szCs w:val="20"/>
              </w:rPr>
            </w:pPr>
            <w:proofErr w:type="gramStart"/>
            <w:r w:rsidRPr="0088286D">
              <w:rPr>
                <w:rFonts w:asciiTheme="minorHAnsi" w:hAnsiTheme="minorHAnsi" w:cs="Calibri"/>
                <w:sz w:val="20"/>
                <w:szCs w:val="20"/>
              </w:rPr>
              <w:t>enable</w:t>
            </w:r>
            <w:proofErr w:type="gramEnd"/>
            <w:r w:rsidRPr="0088286D">
              <w:rPr>
                <w:rFonts w:asciiTheme="minorHAnsi" w:hAnsiTheme="minorHAnsi" w:cs="Calibri"/>
                <w:sz w:val="20"/>
                <w:szCs w:val="20"/>
              </w:rPr>
              <w:t xml:space="preserve"> certain enrolment information about a child to be shared with other state and territory education authorities as recommended by the </w:t>
            </w:r>
            <w:proofErr w:type="spellStart"/>
            <w:r w:rsidRPr="0088286D">
              <w:rPr>
                <w:rFonts w:asciiTheme="minorHAnsi" w:hAnsiTheme="minorHAnsi" w:cs="Calibri"/>
                <w:sz w:val="20"/>
                <w:szCs w:val="20"/>
              </w:rPr>
              <w:t>Glanfield</w:t>
            </w:r>
            <w:proofErr w:type="spellEnd"/>
            <w:r w:rsidRPr="0088286D">
              <w:rPr>
                <w:rFonts w:asciiTheme="minorHAnsi" w:hAnsiTheme="minorHAnsi" w:cs="Calibri"/>
                <w:sz w:val="20"/>
                <w:szCs w:val="20"/>
              </w:rPr>
              <w:t xml:space="preserve"> Inquiry of 2016.</w:t>
            </w:r>
          </w:p>
          <w:p w:rsidR="00B5180B" w:rsidRPr="0088286D" w:rsidRDefault="00B5180B" w:rsidP="00A54AF8">
            <w:pPr>
              <w:spacing w:before="60" w:after="0"/>
              <w:jc w:val="both"/>
              <w:rPr>
                <w:rFonts w:asciiTheme="minorHAnsi" w:hAnsiTheme="minorHAnsi" w:cs="Calibri"/>
                <w:b/>
                <w:bCs/>
                <w:sz w:val="20"/>
                <w:szCs w:val="20"/>
              </w:rPr>
            </w:pPr>
            <w:r w:rsidRPr="0088286D">
              <w:rPr>
                <w:rFonts w:asciiTheme="minorHAnsi" w:hAnsiTheme="minorHAnsi" w:cs="Calibri"/>
                <w:b/>
                <w:bCs/>
                <w:sz w:val="20"/>
                <w:szCs w:val="20"/>
              </w:rPr>
              <w:t>Amendments to the Teacher Quality Institute Act to:</w:t>
            </w:r>
          </w:p>
          <w:p w:rsidR="00B5180B" w:rsidRPr="0088286D" w:rsidRDefault="00B5180B" w:rsidP="00B5180B">
            <w:pPr>
              <w:pStyle w:val="ListParagraph"/>
              <w:numPr>
                <w:ilvl w:val="0"/>
                <w:numId w:val="1"/>
              </w:numPr>
              <w:spacing w:after="120" w:line="240" w:lineRule="auto"/>
              <w:ind w:left="357" w:hanging="357"/>
              <w:rPr>
                <w:rFonts w:asciiTheme="minorHAnsi" w:hAnsiTheme="minorHAnsi"/>
                <w:sz w:val="20"/>
                <w:szCs w:val="20"/>
              </w:rPr>
            </w:pPr>
            <w:r w:rsidRPr="0088286D">
              <w:rPr>
                <w:rFonts w:asciiTheme="minorHAnsi" w:hAnsiTheme="minorHAnsi"/>
                <w:sz w:val="20"/>
                <w:szCs w:val="20"/>
              </w:rPr>
              <w:t>require a teacher employer to notify the</w:t>
            </w:r>
            <w:r>
              <w:rPr>
                <w:rFonts w:asciiTheme="minorHAnsi" w:hAnsiTheme="minorHAnsi"/>
                <w:sz w:val="20"/>
                <w:szCs w:val="20"/>
              </w:rPr>
              <w:t xml:space="preserve"> Teacher Quality I</w:t>
            </w:r>
            <w:r w:rsidRPr="0088286D">
              <w:rPr>
                <w:rFonts w:asciiTheme="minorHAnsi" w:hAnsiTheme="minorHAnsi"/>
                <w:sz w:val="20"/>
                <w:szCs w:val="20"/>
              </w:rPr>
              <w:t>nstitute</w:t>
            </w:r>
            <w:r>
              <w:rPr>
                <w:rFonts w:asciiTheme="minorHAnsi" w:hAnsiTheme="minorHAnsi"/>
                <w:sz w:val="20"/>
                <w:szCs w:val="20"/>
              </w:rPr>
              <w:t xml:space="preserve"> (TQI)</w:t>
            </w:r>
            <w:r w:rsidRPr="0088286D">
              <w:rPr>
                <w:rFonts w:asciiTheme="minorHAnsi" w:hAnsiTheme="minorHAnsi"/>
                <w:sz w:val="20"/>
                <w:szCs w:val="20"/>
              </w:rPr>
              <w:t xml:space="preserve"> when the employer notifies an approved teacher of the decision to proceed with a formal investigation;</w:t>
            </w:r>
          </w:p>
          <w:p w:rsidR="00B5180B" w:rsidRPr="0088286D" w:rsidRDefault="00B5180B" w:rsidP="00B5180B">
            <w:pPr>
              <w:pStyle w:val="ListParagraph"/>
              <w:numPr>
                <w:ilvl w:val="0"/>
                <w:numId w:val="1"/>
              </w:numPr>
              <w:spacing w:after="120" w:line="240" w:lineRule="auto"/>
              <w:ind w:left="357" w:hanging="357"/>
              <w:rPr>
                <w:rFonts w:asciiTheme="minorHAnsi" w:hAnsiTheme="minorHAnsi"/>
                <w:sz w:val="20"/>
                <w:szCs w:val="20"/>
              </w:rPr>
            </w:pPr>
            <w:r w:rsidRPr="0088286D">
              <w:rPr>
                <w:rFonts w:asciiTheme="minorHAnsi" w:hAnsiTheme="minorHAnsi"/>
                <w:sz w:val="20"/>
                <w:szCs w:val="20"/>
              </w:rPr>
              <w:t xml:space="preserve">require a teacher employer to notify the </w:t>
            </w:r>
            <w:r>
              <w:rPr>
                <w:rFonts w:asciiTheme="minorHAnsi" w:hAnsiTheme="minorHAnsi"/>
                <w:sz w:val="20"/>
                <w:szCs w:val="20"/>
              </w:rPr>
              <w:t>TQI</w:t>
            </w:r>
            <w:r w:rsidRPr="0088286D">
              <w:rPr>
                <w:rFonts w:asciiTheme="minorHAnsi" w:hAnsiTheme="minorHAnsi"/>
                <w:sz w:val="20"/>
                <w:szCs w:val="20"/>
              </w:rPr>
              <w:t xml:space="preserve"> when an employee resigns during a preliminary factual enquiry or formal investigation;</w:t>
            </w:r>
          </w:p>
          <w:p w:rsidR="00B5180B" w:rsidRPr="0088286D" w:rsidRDefault="00B5180B" w:rsidP="00B5180B">
            <w:pPr>
              <w:pStyle w:val="ListParagraph"/>
              <w:numPr>
                <w:ilvl w:val="0"/>
                <w:numId w:val="1"/>
              </w:numPr>
              <w:spacing w:after="120" w:line="240" w:lineRule="auto"/>
              <w:ind w:left="357" w:hanging="357"/>
              <w:rPr>
                <w:rFonts w:asciiTheme="minorHAnsi" w:hAnsiTheme="minorHAnsi"/>
                <w:sz w:val="20"/>
                <w:szCs w:val="20"/>
              </w:rPr>
            </w:pPr>
            <w:r w:rsidRPr="0088286D">
              <w:rPr>
                <w:rFonts w:asciiTheme="minorHAnsi" w:hAnsiTheme="minorHAnsi"/>
                <w:sz w:val="20"/>
                <w:szCs w:val="20"/>
              </w:rPr>
              <w:t xml:space="preserve">require a teacher employer to notify the </w:t>
            </w:r>
            <w:r>
              <w:rPr>
                <w:rFonts w:asciiTheme="minorHAnsi" w:hAnsiTheme="minorHAnsi"/>
                <w:sz w:val="20"/>
                <w:szCs w:val="20"/>
              </w:rPr>
              <w:t>TQI</w:t>
            </w:r>
            <w:r w:rsidRPr="0088286D">
              <w:rPr>
                <w:rFonts w:asciiTheme="minorHAnsi" w:hAnsiTheme="minorHAnsi"/>
                <w:sz w:val="20"/>
                <w:szCs w:val="20"/>
              </w:rPr>
              <w:t xml:space="preserve"> when the employer removes, cancels or ends the access of an approved teacher to casual employment;</w:t>
            </w:r>
          </w:p>
          <w:p w:rsidR="00B5180B" w:rsidRPr="0088286D" w:rsidRDefault="00B5180B" w:rsidP="00B5180B">
            <w:pPr>
              <w:pStyle w:val="ListParagraph"/>
              <w:numPr>
                <w:ilvl w:val="0"/>
                <w:numId w:val="1"/>
              </w:numPr>
              <w:spacing w:after="0" w:line="240" w:lineRule="auto"/>
              <w:ind w:left="357" w:hanging="357"/>
              <w:rPr>
                <w:rFonts w:asciiTheme="minorHAnsi" w:hAnsiTheme="minorHAnsi"/>
                <w:sz w:val="20"/>
                <w:szCs w:val="20"/>
              </w:rPr>
            </w:pPr>
            <w:r w:rsidRPr="0088286D">
              <w:rPr>
                <w:rFonts w:asciiTheme="minorHAnsi" w:hAnsiTheme="minorHAnsi"/>
                <w:sz w:val="20"/>
                <w:szCs w:val="20"/>
              </w:rPr>
              <w:t>grant TQI the power to obtain information or advice from teacher employers that is relevant to whether a registered person continues to meet the requirements of their registration;</w:t>
            </w:r>
          </w:p>
          <w:p w:rsidR="00B5180B" w:rsidRPr="0088286D" w:rsidRDefault="00B5180B" w:rsidP="00B5180B">
            <w:pPr>
              <w:numPr>
                <w:ilvl w:val="0"/>
                <w:numId w:val="1"/>
              </w:numPr>
              <w:spacing w:after="0" w:line="240" w:lineRule="auto"/>
              <w:ind w:left="357" w:hanging="357"/>
              <w:rPr>
                <w:rFonts w:asciiTheme="minorHAnsi" w:hAnsiTheme="minorHAnsi"/>
                <w:sz w:val="20"/>
                <w:szCs w:val="20"/>
              </w:rPr>
            </w:pPr>
            <w:r w:rsidRPr="0088286D">
              <w:rPr>
                <w:rFonts w:asciiTheme="minorHAnsi" w:hAnsiTheme="minorHAnsi"/>
                <w:sz w:val="20"/>
                <w:szCs w:val="20"/>
              </w:rPr>
              <w:t>make it an offence for a teacher employer to fail to provide the information or advice within the established timeframe;</w:t>
            </w:r>
            <w:r>
              <w:rPr>
                <w:rFonts w:asciiTheme="minorHAnsi" w:hAnsiTheme="minorHAnsi"/>
                <w:sz w:val="20"/>
                <w:szCs w:val="20"/>
              </w:rPr>
              <w:t xml:space="preserve"> and</w:t>
            </w:r>
          </w:p>
          <w:p w:rsidR="00B5180B" w:rsidRPr="0088286D" w:rsidRDefault="00B5180B" w:rsidP="00B5180B">
            <w:pPr>
              <w:pStyle w:val="ListParagraph"/>
              <w:numPr>
                <w:ilvl w:val="0"/>
                <w:numId w:val="1"/>
              </w:numPr>
              <w:spacing w:after="0" w:line="240" w:lineRule="auto"/>
              <w:ind w:left="357" w:hanging="357"/>
              <w:rPr>
                <w:rFonts w:asciiTheme="minorHAnsi" w:hAnsiTheme="minorHAnsi"/>
                <w:sz w:val="20"/>
                <w:szCs w:val="20"/>
              </w:rPr>
            </w:pPr>
            <w:proofErr w:type="gramStart"/>
            <w:r w:rsidRPr="0088286D">
              <w:rPr>
                <w:rFonts w:asciiTheme="minorHAnsi" w:hAnsiTheme="minorHAnsi" w:cs="Calibri"/>
                <w:sz w:val="20"/>
                <w:szCs w:val="20"/>
              </w:rPr>
              <w:t>add</w:t>
            </w:r>
            <w:proofErr w:type="gramEnd"/>
            <w:r w:rsidRPr="0088286D">
              <w:rPr>
                <w:rFonts w:asciiTheme="minorHAnsi" w:hAnsiTheme="minorHAnsi" w:cs="Calibri"/>
                <w:sz w:val="20"/>
                <w:szCs w:val="20"/>
              </w:rPr>
              <w:t xml:space="preserve"> a requirement that in order to remain registered teachers must maintain a current Working with Vulnerable People registration.</w:t>
            </w:r>
          </w:p>
        </w:tc>
      </w:tr>
    </w:tbl>
    <w:p w:rsidR="00B5180B" w:rsidRPr="0088286D" w:rsidRDefault="00B5180B" w:rsidP="00B5180B">
      <w:pPr>
        <w:spacing w:after="120"/>
        <w:rPr>
          <w:rFonts w:asciiTheme="minorHAnsi" w:hAnsiTheme="minorHAnsi"/>
          <w:i/>
          <w:sz w:val="20"/>
          <w:szCs w:val="20"/>
        </w:rPr>
      </w:pPr>
      <w:r w:rsidRPr="0088286D">
        <w:rPr>
          <w:rFonts w:asciiTheme="minorHAnsi" w:hAnsiTheme="minorHAnsi"/>
          <w:i/>
          <w:sz w:val="20"/>
          <w:szCs w:val="20"/>
        </w:rPr>
        <w:t xml:space="preserve">Key to impacts: Red – negative, </w:t>
      </w:r>
      <w:proofErr w:type="gramStart"/>
      <w:r w:rsidRPr="0088286D">
        <w:rPr>
          <w:rFonts w:asciiTheme="minorHAnsi" w:hAnsiTheme="minorHAnsi"/>
          <w:i/>
          <w:sz w:val="20"/>
          <w:szCs w:val="20"/>
        </w:rPr>
        <w:t>Blue</w:t>
      </w:r>
      <w:proofErr w:type="gramEnd"/>
      <w:r w:rsidRPr="0088286D">
        <w:rPr>
          <w:rFonts w:asciiTheme="minorHAnsi" w:hAnsiTheme="minorHAnsi"/>
          <w:i/>
          <w:sz w:val="20"/>
          <w:szCs w:val="20"/>
        </w:rPr>
        <w:t xml:space="preserve"> </w:t>
      </w:r>
      <w:r>
        <w:rPr>
          <w:rFonts w:asciiTheme="minorHAnsi" w:hAnsiTheme="minorHAnsi"/>
          <w:i/>
          <w:sz w:val="20"/>
          <w:szCs w:val="20"/>
        </w:rPr>
        <w:t xml:space="preserve">- </w:t>
      </w:r>
      <w:r w:rsidRPr="0088286D">
        <w:rPr>
          <w:rFonts w:asciiTheme="minorHAnsi" w:hAnsiTheme="minorHAnsi"/>
          <w:i/>
          <w:sz w:val="20"/>
          <w:szCs w:val="20"/>
        </w:rPr>
        <w:t xml:space="preserve">neutral and Green </w:t>
      </w:r>
      <w:r>
        <w:rPr>
          <w:rFonts w:asciiTheme="minorHAnsi" w:hAnsiTheme="minorHAnsi"/>
          <w:i/>
          <w:sz w:val="20"/>
          <w:szCs w:val="20"/>
        </w:rPr>
        <w:t>- p</w:t>
      </w:r>
      <w:r w:rsidRPr="0088286D">
        <w:rPr>
          <w:rFonts w:asciiTheme="minorHAnsi" w:hAnsiTheme="minorHAnsi"/>
          <w:i/>
          <w:sz w:val="20"/>
          <w:szCs w:val="20"/>
        </w:rPr>
        <w:t>ositive.</w:t>
      </w:r>
    </w:p>
    <w:p w:rsidR="00B5180B" w:rsidRPr="0088286D" w:rsidRDefault="00B5180B" w:rsidP="00B5180B">
      <w:pPr>
        <w:spacing w:after="0"/>
        <w:jc w:val="both"/>
        <w:rPr>
          <w:rFonts w:asciiTheme="minorHAnsi" w:hAnsiTheme="minorHAnsi"/>
          <w:b/>
          <w:bCs/>
          <w:sz w:val="20"/>
          <w:szCs w:val="20"/>
        </w:rPr>
      </w:pPr>
      <w:r w:rsidRPr="0088286D">
        <w:rPr>
          <w:rFonts w:asciiTheme="minorHAnsi" w:hAnsiTheme="minorHAnsi"/>
          <w:b/>
          <w:bCs/>
          <w:sz w:val="20"/>
          <w:szCs w:val="2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3"/>
        <w:gridCol w:w="7493"/>
      </w:tblGrid>
      <w:tr w:rsidR="00B5180B" w:rsidRPr="0088286D" w:rsidTr="00A54AF8">
        <w:trPr>
          <w:jc w:val="center"/>
        </w:trPr>
        <w:tc>
          <w:tcPr>
            <w:tcW w:w="1526" w:type="dxa"/>
            <w:shd w:val="clear" w:color="auto" w:fill="92D050"/>
          </w:tcPr>
          <w:p w:rsidR="00B5180B" w:rsidRPr="0088286D" w:rsidRDefault="00B5180B" w:rsidP="00A54AF8">
            <w:pPr>
              <w:spacing w:after="120"/>
              <w:rPr>
                <w:rFonts w:asciiTheme="minorHAnsi" w:hAnsiTheme="minorHAnsi"/>
                <w:sz w:val="20"/>
                <w:szCs w:val="20"/>
              </w:rPr>
            </w:pPr>
            <w:r w:rsidRPr="0088286D">
              <w:rPr>
                <w:rFonts w:asciiTheme="minorHAnsi" w:hAnsiTheme="minorHAnsi"/>
                <w:b/>
                <w:bCs/>
                <w:sz w:val="20"/>
                <w:szCs w:val="20"/>
              </w:rPr>
              <w:t>Community and individual health</w:t>
            </w:r>
          </w:p>
        </w:tc>
        <w:tc>
          <w:tcPr>
            <w:tcW w:w="7716" w:type="dxa"/>
          </w:tcPr>
          <w:p w:rsidR="00B5180B" w:rsidRPr="0088286D" w:rsidRDefault="00B5180B" w:rsidP="00A54AF8">
            <w:pPr>
              <w:spacing w:after="0" w:line="240" w:lineRule="auto"/>
              <w:rPr>
                <w:rFonts w:asciiTheme="minorHAnsi" w:hAnsiTheme="minorHAnsi" w:cs="Calibri"/>
                <w:sz w:val="20"/>
                <w:szCs w:val="20"/>
              </w:rPr>
            </w:pPr>
            <w:r w:rsidRPr="0088286D">
              <w:rPr>
                <w:rFonts w:asciiTheme="minorHAnsi" w:hAnsiTheme="minorHAnsi" w:cs="Calibri"/>
                <w:sz w:val="20"/>
                <w:szCs w:val="20"/>
              </w:rPr>
              <w:t xml:space="preserve">These amendments focus on the safety and wellbeing of children and young people in schools by improving the regulation of non-government schools, and information sharing with other jurisdictions. It also assists the </w:t>
            </w:r>
            <w:r>
              <w:rPr>
                <w:rFonts w:asciiTheme="minorHAnsi" w:hAnsiTheme="minorHAnsi" w:cs="Calibri"/>
                <w:sz w:val="20"/>
                <w:szCs w:val="20"/>
              </w:rPr>
              <w:t>TQI</w:t>
            </w:r>
            <w:r w:rsidRPr="0088286D">
              <w:rPr>
                <w:rFonts w:asciiTheme="minorHAnsi" w:hAnsiTheme="minorHAnsi" w:cs="Calibri"/>
                <w:sz w:val="20"/>
                <w:szCs w:val="20"/>
              </w:rPr>
              <w:t xml:space="preserve"> to respond to </w:t>
            </w:r>
            <w:r w:rsidRPr="0088286D">
              <w:rPr>
                <w:rStyle w:val="st1"/>
                <w:rFonts w:asciiTheme="minorHAnsi" w:hAnsiTheme="minorHAnsi" w:cs="Calibri"/>
                <w:sz w:val="20"/>
                <w:szCs w:val="20"/>
              </w:rPr>
              <w:t>any action or behaviour of a teacher which negatively impacts the safety of children.</w:t>
            </w:r>
          </w:p>
        </w:tc>
      </w:tr>
      <w:tr w:rsidR="00B5180B" w:rsidRPr="0088286D" w:rsidTr="00A54AF8">
        <w:trPr>
          <w:jc w:val="center"/>
        </w:trPr>
        <w:tc>
          <w:tcPr>
            <w:tcW w:w="1526" w:type="dxa"/>
            <w:shd w:val="clear" w:color="auto" w:fill="0070C0"/>
          </w:tcPr>
          <w:p w:rsidR="00B5180B" w:rsidRPr="0088286D" w:rsidRDefault="00B5180B" w:rsidP="00A54AF8">
            <w:pPr>
              <w:spacing w:after="120" w:line="240" w:lineRule="auto"/>
              <w:rPr>
                <w:rFonts w:asciiTheme="minorHAnsi" w:hAnsiTheme="minorHAnsi"/>
                <w:sz w:val="20"/>
                <w:szCs w:val="20"/>
              </w:rPr>
            </w:pPr>
            <w:r w:rsidRPr="0088286D">
              <w:rPr>
                <w:rFonts w:asciiTheme="minorHAnsi" w:hAnsiTheme="minorHAnsi"/>
                <w:b/>
                <w:bCs/>
                <w:sz w:val="20"/>
                <w:szCs w:val="20"/>
              </w:rPr>
              <w:t>Access to services</w:t>
            </w:r>
          </w:p>
        </w:tc>
        <w:tc>
          <w:tcPr>
            <w:tcW w:w="7716" w:type="dxa"/>
          </w:tcPr>
          <w:p w:rsidR="00B5180B" w:rsidRPr="0088286D" w:rsidRDefault="00B5180B" w:rsidP="00A54AF8">
            <w:pPr>
              <w:spacing w:after="0" w:line="240" w:lineRule="auto"/>
              <w:rPr>
                <w:rFonts w:asciiTheme="minorHAnsi" w:hAnsiTheme="minorHAnsi" w:cs="Calibri"/>
                <w:sz w:val="20"/>
                <w:szCs w:val="20"/>
              </w:rPr>
            </w:pPr>
            <w:r w:rsidRPr="0088286D">
              <w:rPr>
                <w:rFonts w:asciiTheme="minorHAnsi" w:hAnsiTheme="minorHAnsi" w:cs="Calibri"/>
                <w:sz w:val="20"/>
                <w:szCs w:val="20"/>
              </w:rPr>
              <w:t xml:space="preserve">Improvements that flow from these amendments may result in increased access to services through earlier identification of need. </w:t>
            </w:r>
          </w:p>
        </w:tc>
      </w:tr>
      <w:tr w:rsidR="00B5180B" w:rsidRPr="0088286D" w:rsidTr="00A54AF8">
        <w:trPr>
          <w:jc w:val="center"/>
        </w:trPr>
        <w:tc>
          <w:tcPr>
            <w:tcW w:w="1526" w:type="dxa"/>
            <w:shd w:val="clear" w:color="auto" w:fill="92D050"/>
          </w:tcPr>
          <w:p w:rsidR="00B5180B" w:rsidRPr="0088286D" w:rsidRDefault="00B5180B" w:rsidP="00A54AF8">
            <w:pPr>
              <w:spacing w:after="120"/>
              <w:rPr>
                <w:rFonts w:asciiTheme="minorHAnsi" w:hAnsiTheme="minorHAnsi"/>
                <w:sz w:val="20"/>
                <w:szCs w:val="20"/>
              </w:rPr>
            </w:pPr>
            <w:r w:rsidRPr="0088286D">
              <w:rPr>
                <w:rFonts w:asciiTheme="minorHAnsi" w:hAnsiTheme="minorHAnsi"/>
                <w:b/>
                <w:bCs/>
                <w:sz w:val="20"/>
                <w:szCs w:val="20"/>
              </w:rPr>
              <w:t>Access to social networks and community activities</w:t>
            </w:r>
          </w:p>
        </w:tc>
        <w:tc>
          <w:tcPr>
            <w:tcW w:w="7716" w:type="dxa"/>
          </w:tcPr>
          <w:p w:rsidR="00B5180B" w:rsidRPr="0088286D" w:rsidRDefault="00B5180B" w:rsidP="00A54AF8">
            <w:pPr>
              <w:spacing w:after="0" w:line="240" w:lineRule="auto"/>
              <w:rPr>
                <w:rFonts w:asciiTheme="minorHAnsi" w:hAnsiTheme="minorHAnsi" w:cs="Calibri"/>
                <w:sz w:val="20"/>
                <w:szCs w:val="20"/>
              </w:rPr>
            </w:pPr>
            <w:r w:rsidRPr="0088286D">
              <w:rPr>
                <w:rFonts w:asciiTheme="minorHAnsi" w:hAnsiTheme="minorHAnsi" w:cs="Calibri"/>
                <w:sz w:val="20"/>
                <w:szCs w:val="20"/>
              </w:rPr>
              <w:t>Information sharing provisions provide a protective factor for a child or young person at risk, by ensuring their continued engagement with the education system.  Improved regulation of non-government schools will ensure children are better protected and supported within all schools.</w:t>
            </w:r>
          </w:p>
        </w:tc>
      </w:tr>
      <w:tr w:rsidR="00B5180B" w:rsidRPr="0088286D" w:rsidTr="00A54AF8">
        <w:trPr>
          <w:jc w:val="center"/>
        </w:trPr>
        <w:tc>
          <w:tcPr>
            <w:tcW w:w="1526" w:type="dxa"/>
            <w:shd w:val="clear" w:color="auto" w:fill="92D050"/>
          </w:tcPr>
          <w:p w:rsidR="00B5180B" w:rsidRPr="0088286D" w:rsidRDefault="00B5180B" w:rsidP="00A54AF8">
            <w:pPr>
              <w:rPr>
                <w:rFonts w:asciiTheme="minorHAnsi" w:hAnsiTheme="minorHAnsi"/>
                <w:sz w:val="20"/>
                <w:szCs w:val="20"/>
              </w:rPr>
            </w:pPr>
            <w:r w:rsidRPr="0088286D">
              <w:rPr>
                <w:rFonts w:asciiTheme="minorHAnsi" w:hAnsiTheme="minorHAnsi"/>
                <w:b/>
                <w:bCs/>
                <w:sz w:val="20"/>
                <w:szCs w:val="20"/>
              </w:rPr>
              <w:t>Justice and rights</w:t>
            </w:r>
          </w:p>
        </w:tc>
        <w:tc>
          <w:tcPr>
            <w:tcW w:w="7716" w:type="dxa"/>
          </w:tcPr>
          <w:p w:rsidR="00B5180B" w:rsidRPr="0088286D" w:rsidRDefault="00B5180B" w:rsidP="00A54AF8">
            <w:pPr>
              <w:spacing w:after="0" w:line="240" w:lineRule="auto"/>
              <w:rPr>
                <w:rFonts w:asciiTheme="minorHAnsi" w:hAnsiTheme="minorHAnsi" w:cs="Calibri"/>
                <w:sz w:val="20"/>
                <w:szCs w:val="20"/>
              </w:rPr>
            </w:pPr>
            <w:r w:rsidRPr="0088286D">
              <w:rPr>
                <w:rFonts w:asciiTheme="minorHAnsi" w:hAnsiTheme="minorHAnsi" w:cs="Calibri"/>
                <w:sz w:val="20"/>
                <w:szCs w:val="20"/>
              </w:rPr>
              <w:t xml:space="preserve">The amendments support the rights of children to be safe, and to an education. They balance the right to privacy in the </w:t>
            </w:r>
            <w:r w:rsidRPr="0088286D">
              <w:rPr>
                <w:rFonts w:asciiTheme="minorHAnsi" w:hAnsiTheme="minorHAnsi" w:cs="Calibri"/>
                <w:i/>
                <w:sz w:val="20"/>
                <w:szCs w:val="20"/>
              </w:rPr>
              <w:t xml:space="preserve">Human Rights At </w:t>
            </w:r>
            <w:r w:rsidRPr="0088286D">
              <w:rPr>
                <w:rFonts w:asciiTheme="minorHAnsi" w:hAnsiTheme="minorHAnsi" w:cs="Calibri"/>
                <w:sz w:val="20"/>
                <w:szCs w:val="20"/>
              </w:rPr>
              <w:t xml:space="preserve">2004 with the need to protect the rights of children. </w:t>
            </w:r>
          </w:p>
          <w:p w:rsidR="00B5180B" w:rsidRPr="0088286D" w:rsidRDefault="00B5180B" w:rsidP="00A54AF8">
            <w:pPr>
              <w:pStyle w:val="Default"/>
              <w:rPr>
                <w:rFonts w:asciiTheme="minorHAnsi" w:hAnsiTheme="minorHAnsi" w:cs="Calibri"/>
                <w:color w:val="auto"/>
                <w:sz w:val="20"/>
                <w:szCs w:val="20"/>
              </w:rPr>
            </w:pPr>
            <w:r w:rsidRPr="0088286D">
              <w:rPr>
                <w:rFonts w:asciiTheme="minorHAnsi" w:hAnsiTheme="minorHAnsi" w:cs="Calibri"/>
                <w:color w:val="auto"/>
                <w:sz w:val="20"/>
                <w:szCs w:val="20"/>
              </w:rPr>
              <w:t>The amendments also assist in identifying possible threats to the safety and wellbeing of children and young people in education, which will trigger appropriate action.</w:t>
            </w:r>
          </w:p>
        </w:tc>
      </w:tr>
      <w:tr w:rsidR="00B5180B" w:rsidRPr="0088286D" w:rsidTr="00A54AF8">
        <w:trPr>
          <w:jc w:val="center"/>
        </w:trPr>
        <w:tc>
          <w:tcPr>
            <w:tcW w:w="1526" w:type="dxa"/>
            <w:shd w:val="clear" w:color="auto" w:fill="92D050"/>
          </w:tcPr>
          <w:p w:rsidR="00B5180B" w:rsidRPr="0088286D" w:rsidRDefault="00B5180B" w:rsidP="00A54AF8">
            <w:pPr>
              <w:rPr>
                <w:rFonts w:asciiTheme="minorHAnsi" w:hAnsiTheme="minorHAnsi"/>
                <w:sz w:val="20"/>
                <w:szCs w:val="20"/>
              </w:rPr>
            </w:pPr>
            <w:r w:rsidRPr="0088286D">
              <w:rPr>
                <w:rFonts w:asciiTheme="minorHAnsi" w:hAnsiTheme="minorHAnsi"/>
                <w:b/>
                <w:bCs/>
                <w:sz w:val="20"/>
                <w:szCs w:val="20"/>
              </w:rPr>
              <w:t>Disadvantaged and vulnerable</w:t>
            </w:r>
          </w:p>
        </w:tc>
        <w:tc>
          <w:tcPr>
            <w:tcW w:w="7716" w:type="dxa"/>
          </w:tcPr>
          <w:p w:rsidR="00B5180B" w:rsidRPr="0088286D" w:rsidRDefault="00B5180B" w:rsidP="00A54AF8">
            <w:pPr>
              <w:spacing w:after="0" w:line="240" w:lineRule="auto"/>
              <w:rPr>
                <w:rFonts w:asciiTheme="minorHAnsi" w:hAnsiTheme="minorHAnsi" w:cs="Calibri"/>
                <w:sz w:val="20"/>
                <w:szCs w:val="20"/>
              </w:rPr>
            </w:pPr>
            <w:r w:rsidRPr="0088286D">
              <w:rPr>
                <w:rFonts w:asciiTheme="minorHAnsi" w:hAnsiTheme="minorHAnsi" w:cs="Calibri"/>
                <w:sz w:val="20"/>
                <w:szCs w:val="20"/>
              </w:rPr>
              <w:t xml:space="preserve">Information sharing is critical to identify threats to life, health and safety of children and young people at risk. Improved regulation will also facilitate better support for vulnerable children and young people in non-government schools. </w:t>
            </w:r>
          </w:p>
          <w:p w:rsidR="00B5180B" w:rsidRPr="0088286D" w:rsidRDefault="00B5180B" w:rsidP="00A54AF8">
            <w:pPr>
              <w:spacing w:after="0" w:line="240" w:lineRule="auto"/>
              <w:rPr>
                <w:rFonts w:asciiTheme="minorHAnsi" w:hAnsiTheme="minorHAnsi" w:cs="Calibri"/>
                <w:sz w:val="20"/>
                <w:szCs w:val="20"/>
              </w:rPr>
            </w:pPr>
            <w:r w:rsidRPr="0088286D">
              <w:rPr>
                <w:rFonts w:asciiTheme="minorHAnsi" w:hAnsiTheme="minorHAnsi" w:cs="Calibri"/>
                <w:sz w:val="20"/>
                <w:szCs w:val="20"/>
              </w:rPr>
              <w:t>Requiring information will assist TQI to make a decision regarding the action or behaviour of a teacher which negatively impacts the safety of vulnerable children.</w:t>
            </w:r>
          </w:p>
        </w:tc>
      </w:tr>
    </w:tbl>
    <w:p w:rsidR="00B5180B" w:rsidRPr="0088286D" w:rsidRDefault="00B5180B" w:rsidP="00B5180B">
      <w:pPr>
        <w:spacing w:before="120" w:after="0"/>
        <w:jc w:val="both"/>
        <w:rPr>
          <w:rFonts w:asciiTheme="minorHAnsi" w:hAnsiTheme="minorHAnsi"/>
          <w:b/>
          <w:bCs/>
          <w:sz w:val="20"/>
          <w:szCs w:val="20"/>
        </w:rPr>
      </w:pPr>
      <w:r w:rsidRPr="0088286D">
        <w:rPr>
          <w:rFonts w:asciiTheme="minorHAnsi" w:hAnsiTheme="minorHAnsi"/>
          <w:b/>
          <w:bCs/>
          <w:sz w:val="20"/>
          <w:szCs w:val="2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7"/>
        <w:gridCol w:w="7499"/>
      </w:tblGrid>
      <w:tr w:rsidR="00B5180B" w:rsidRPr="0088286D" w:rsidTr="00A54AF8">
        <w:trPr>
          <w:jc w:val="center"/>
        </w:trPr>
        <w:tc>
          <w:tcPr>
            <w:tcW w:w="1517" w:type="dxa"/>
            <w:shd w:val="clear" w:color="auto" w:fill="92D050"/>
          </w:tcPr>
          <w:p w:rsidR="00B5180B" w:rsidRPr="0088286D" w:rsidRDefault="00B5180B" w:rsidP="00A54AF8">
            <w:pPr>
              <w:shd w:val="clear" w:color="auto" w:fill="92D050"/>
              <w:rPr>
                <w:rFonts w:asciiTheme="minorHAnsi" w:hAnsiTheme="minorHAnsi"/>
                <w:sz w:val="20"/>
                <w:szCs w:val="20"/>
              </w:rPr>
            </w:pPr>
            <w:r w:rsidRPr="0088286D">
              <w:rPr>
                <w:rFonts w:asciiTheme="minorHAnsi" w:hAnsiTheme="minorHAnsi"/>
                <w:b/>
                <w:bCs/>
                <w:sz w:val="20"/>
                <w:szCs w:val="20"/>
              </w:rPr>
              <w:t>Skills and education</w:t>
            </w:r>
          </w:p>
        </w:tc>
        <w:tc>
          <w:tcPr>
            <w:tcW w:w="7499" w:type="dxa"/>
          </w:tcPr>
          <w:p w:rsidR="00B5180B" w:rsidRPr="0088286D" w:rsidRDefault="00B5180B" w:rsidP="00A54AF8">
            <w:pPr>
              <w:pStyle w:val="Default"/>
              <w:rPr>
                <w:rFonts w:asciiTheme="minorHAnsi" w:hAnsiTheme="minorHAnsi" w:cs="Arial"/>
                <w:color w:val="auto"/>
                <w:sz w:val="20"/>
                <w:szCs w:val="20"/>
                <w:lang w:val="en-US" w:eastAsia="en-US"/>
              </w:rPr>
            </w:pPr>
            <w:r w:rsidRPr="0088286D">
              <w:rPr>
                <w:rStyle w:val="Calibri12"/>
                <w:rFonts w:asciiTheme="minorHAnsi" w:hAnsiTheme="minorHAnsi"/>
                <w:color w:val="auto"/>
                <w:sz w:val="20"/>
                <w:szCs w:val="20"/>
              </w:rPr>
              <w:t xml:space="preserve">These amendments will enable children and young people to safely remain engaged in education. </w:t>
            </w:r>
            <w:r w:rsidRPr="0088286D">
              <w:rPr>
                <w:rStyle w:val="st1"/>
                <w:rFonts w:asciiTheme="minorHAnsi" w:hAnsiTheme="minorHAnsi" w:cs="Calibri"/>
                <w:color w:val="auto"/>
                <w:sz w:val="20"/>
                <w:szCs w:val="20"/>
              </w:rPr>
              <w:t xml:space="preserve">With </w:t>
            </w:r>
            <w:r w:rsidRPr="0088286D">
              <w:rPr>
                <w:rStyle w:val="Emphasis"/>
                <w:rFonts w:asciiTheme="minorHAnsi" w:hAnsiTheme="minorHAnsi" w:cs="Calibri"/>
                <w:color w:val="auto"/>
                <w:sz w:val="20"/>
                <w:szCs w:val="20"/>
              </w:rPr>
              <w:t>education being</w:t>
            </w:r>
            <w:r w:rsidRPr="0088286D">
              <w:rPr>
                <w:rStyle w:val="st1"/>
                <w:rFonts w:asciiTheme="minorHAnsi" w:hAnsiTheme="minorHAnsi" w:cs="Calibri"/>
                <w:color w:val="auto"/>
                <w:sz w:val="20"/>
                <w:szCs w:val="20"/>
              </w:rPr>
              <w:t xml:space="preserve"> one of the clearest indicators of life outcomes such as employment, income and social status, and a strong predictor of attitudes and wellbeing, there are expected economic benefits to the ACT.</w:t>
            </w:r>
          </w:p>
        </w:tc>
      </w:tr>
    </w:tbl>
    <w:p w:rsidR="00EC4C52" w:rsidRPr="00B5180B" w:rsidRDefault="00B5180B" w:rsidP="00B5180B">
      <w:r w:rsidRPr="0088286D">
        <w:rPr>
          <w:rFonts w:asciiTheme="minorHAnsi" w:hAnsiTheme="minorHAnsi"/>
          <w:b/>
          <w:bCs/>
          <w:sz w:val="20"/>
          <w:szCs w:val="20"/>
        </w:rPr>
        <w:t>Environmental</w:t>
      </w:r>
      <w:r w:rsidRPr="0088286D">
        <w:rPr>
          <w:rFonts w:asciiTheme="minorHAnsi" w:hAnsiTheme="minorHAnsi"/>
          <w:b/>
          <w:bCs/>
          <w:sz w:val="20"/>
          <w:szCs w:val="20"/>
        </w:rPr>
        <w:br/>
      </w:r>
      <w:r w:rsidRPr="0088286D">
        <w:rPr>
          <w:rFonts w:asciiTheme="minorHAnsi" w:hAnsiTheme="minorHAnsi"/>
          <w:bCs/>
          <w:sz w:val="20"/>
          <w:szCs w:val="20"/>
        </w:rPr>
        <w:t>Nil impact</w:t>
      </w:r>
      <w:bookmarkStart w:id="0" w:name="_GoBack"/>
      <w:bookmarkEnd w:id="0"/>
    </w:p>
    <w:sectPr w:rsidR="00EC4C52" w:rsidRPr="00B51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13086"/>
    <w:multiLevelType w:val="multilevel"/>
    <w:tmpl w:val="5CC6A58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E4"/>
    <w:rsid w:val="00467DE4"/>
    <w:rsid w:val="00B5180B"/>
    <w:rsid w:val="00BB26E8"/>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ECFC-69BD-491D-A499-D1F0013A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8"/>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BB26E8"/>
    <w:pPr>
      <w:ind w:left="720"/>
      <w:contextualSpacing/>
    </w:pPr>
  </w:style>
  <w:style w:type="character" w:customStyle="1" w:styleId="Calibri12">
    <w:name w:val="Calibri 12"/>
    <w:basedOn w:val="DefaultParagraphFont"/>
    <w:uiPriority w:val="1"/>
    <w:qFormat/>
    <w:rsid w:val="00BB26E8"/>
    <w:rPr>
      <w:rFonts w:ascii="Calibri" w:hAnsi="Calibri"/>
      <w:sz w:val="24"/>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BB26E8"/>
    <w:rPr>
      <w:rFonts w:ascii="Arial" w:eastAsia="Times New Roman" w:hAnsi="Arial" w:cs="Arial"/>
      <w:sz w:val="21"/>
      <w:szCs w:val="21"/>
      <w:lang w:eastAsia="en-AU"/>
    </w:rPr>
  </w:style>
  <w:style w:type="paragraph" w:customStyle="1" w:styleId="Default">
    <w:name w:val="Default"/>
    <w:rsid w:val="00BB26E8"/>
    <w:pPr>
      <w:autoSpaceDE w:val="0"/>
      <w:autoSpaceDN w:val="0"/>
      <w:adjustRightInd w:val="0"/>
      <w:spacing w:after="0" w:line="240" w:lineRule="auto"/>
    </w:pPr>
    <w:rPr>
      <w:rFonts w:ascii="Arial" w:eastAsia="Constantia" w:hAnsi="Arial" w:cs="Times New Roman"/>
      <w:color w:val="000000"/>
      <w:sz w:val="24"/>
      <w:szCs w:val="24"/>
      <w:lang w:eastAsia="en-AU"/>
    </w:rPr>
  </w:style>
  <w:style w:type="character" w:styleId="Emphasis">
    <w:name w:val="Emphasis"/>
    <w:uiPriority w:val="20"/>
    <w:qFormat/>
    <w:rsid w:val="00BB26E8"/>
    <w:rPr>
      <w:b/>
      <w:bCs/>
      <w:i w:val="0"/>
      <w:iCs w:val="0"/>
    </w:rPr>
  </w:style>
  <w:style w:type="character" w:customStyle="1" w:styleId="st1">
    <w:name w:val="st1"/>
    <w:rsid w:val="00BB26E8"/>
  </w:style>
  <w:style w:type="table" w:styleId="TableGrid">
    <w:name w:val="Table Grid"/>
    <w:basedOn w:val="TableNormal"/>
    <w:uiPriority w:val="39"/>
    <w:rsid w:val="00BB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9DADF-4BA0-4F10-9B2D-201DE9E4D2E2}"/>
</file>

<file path=customXml/itemProps2.xml><?xml version="1.0" encoding="utf-8"?>
<ds:datastoreItem xmlns:ds="http://schemas.openxmlformats.org/officeDocument/2006/customXml" ds:itemID="{02CE553C-2A30-4BC9-9E32-B4825068D966}"/>
</file>

<file path=customXml/itemProps3.xml><?xml version="1.0" encoding="utf-8"?>
<ds:datastoreItem xmlns:ds="http://schemas.openxmlformats.org/officeDocument/2006/customXml" ds:itemID="{60059284-958D-4F92-85C9-ED647C474B76}"/>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Company>ACT Government</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2018-12-13T22:57:00Z</dcterms:created>
  <dcterms:modified xsi:type="dcterms:W3CDTF">2018-12-19T01:25:00Z</dcterms:modified>
</cp:coreProperties>
</file>