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7992A" w14:textId="77777777" w:rsidR="00A05E46" w:rsidRPr="00D03C1B" w:rsidRDefault="00A05E46" w:rsidP="00A05E46">
      <w:pPr>
        <w:spacing w:before="240" w:after="0"/>
        <w:jc w:val="both"/>
        <w:rPr>
          <w:b/>
          <w:bCs/>
          <w:sz w:val="21"/>
          <w:szCs w:val="21"/>
        </w:rPr>
      </w:pPr>
      <w:bookmarkStart w:id="0" w:name="_GoBack"/>
      <w:bookmarkEnd w:id="0"/>
      <w:r>
        <w:rPr>
          <w:b/>
          <w:bCs/>
          <w:sz w:val="21"/>
          <w:szCs w:val="21"/>
        </w:rPr>
        <w:t xml:space="preserve">18/342 - </w:t>
      </w:r>
      <w:r w:rsidRPr="00D03C1B">
        <w:rPr>
          <w:b/>
          <w:bCs/>
          <w:sz w:val="21"/>
          <w:szCs w:val="21"/>
        </w:rPr>
        <w:t xml:space="preserve">ACT Government Submission to the Standing Committee on Environment and Transport </w:t>
      </w:r>
      <w:r w:rsidR="00401B02">
        <w:rPr>
          <w:b/>
          <w:bCs/>
          <w:sz w:val="21"/>
          <w:szCs w:val="21"/>
        </w:rPr>
        <w:t xml:space="preserve">and </w:t>
      </w:r>
      <w:r w:rsidRPr="00D03C1B">
        <w:rPr>
          <w:b/>
          <w:bCs/>
          <w:sz w:val="21"/>
          <w:szCs w:val="21"/>
        </w:rPr>
        <w:t>City Services: Nature in our City</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A05E46" w:rsidRPr="00D03C1B" w14:paraId="04C7992C" w14:textId="77777777" w:rsidTr="00BC512C">
        <w:trPr>
          <w:jc w:val="center"/>
        </w:trPr>
        <w:tc>
          <w:tcPr>
            <w:tcW w:w="9016" w:type="dxa"/>
          </w:tcPr>
          <w:p w14:paraId="04C7992B" w14:textId="77777777" w:rsidR="00A05E46" w:rsidRPr="00D03C1B" w:rsidRDefault="00A05E46" w:rsidP="00BC512C">
            <w:pPr>
              <w:spacing w:after="0"/>
              <w:jc w:val="both"/>
              <w:rPr>
                <w:b/>
                <w:bCs/>
                <w:sz w:val="21"/>
                <w:szCs w:val="21"/>
              </w:rPr>
            </w:pPr>
            <w:r w:rsidRPr="00D03C1B">
              <w:rPr>
                <w:b/>
                <w:bCs/>
                <w:sz w:val="21"/>
                <w:szCs w:val="21"/>
              </w:rPr>
              <w:t>Summary of Impacts</w:t>
            </w:r>
          </w:p>
        </w:tc>
      </w:tr>
      <w:tr w:rsidR="00A05E46" w:rsidRPr="00D03C1B" w14:paraId="04C79930" w14:textId="77777777" w:rsidTr="00BC512C">
        <w:trPr>
          <w:jc w:val="center"/>
        </w:trPr>
        <w:tc>
          <w:tcPr>
            <w:tcW w:w="9016" w:type="dxa"/>
          </w:tcPr>
          <w:p w14:paraId="04C7992D" w14:textId="77777777" w:rsidR="00A05E46" w:rsidRPr="00D03C1B" w:rsidRDefault="00A05E46" w:rsidP="00BC512C">
            <w:pPr>
              <w:numPr>
                <w:ilvl w:val="0"/>
                <w:numId w:val="1"/>
              </w:numPr>
              <w:spacing w:before="120" w:after="0" w:line="240" w:lineRule="auto"/>
              <w:ind w:left="313" w:hanging="284"/>
              <w:rPr>
                <w:rFonts w:cs="Calibri"/>
                <w:sz w:val="21"/>
                <w:szCs w:val="21"/>
              </w:rPr>
            </w:pPr>
            <w:r w:rsidRPr="00D03C1B">
              <w:rPr>
                <w:rFonts w:cs="Calibri"/>
                <w:sz w:val="21"/>
                <w:szCs w:val="21"/>
              </w:rPr>
              <w:t>The proposal seeks to highlight b</w:t>
            </w:r>
            <w:r w:rsidR="00900868">
              <w:rPr>
                <w:rFonts w:cs="Calibri"/>
                <w:sz w:val="21"/>
                <w:szCs w:val="21"/>
              </w:rPr>
              <w:t>enefits of nature to Canberrans</w:t>
            </w:r>
          </w:p>
          <w:p w14:paraId="04C7992E" w14:textId="77777777" w:rsidR="00A05E46" w:rsidRPr="00D03C1B" w:rsidRDefault="00A05E46" w:rsidP="00BC512C">
            <w:pPr>
              <w:numPr>
                <w:ilvl w:val="0"/>
                <w:numId w:val="1"/>
              </w:numPr>
              <w:spacing w:before="120" w:after="0" w:line="240" w:lineRule="auto"/>
              <w:ind w:left="313" w:hanging="284"/>
              <w:rPr>
                <w:sz w:val="21"/>
                <w:szCs w:val="21"/>
              </w:rPr>
            </w:pPr>
            <w:r w:rsidRPr="00D03C1B">
              <w:rPr>
                <w:sz w:val="21"/>
                <w:szCs w:val="21"/>
              </w:rPr>
              <w:t>The proposal will raise awareness of the positive social, economic and environmental benefits to the ACT from our natural capital.</w:t>
            </w:r>
          </w:p>
          <w:p w14:paraId="04C7992F" w14:textId="77777777" w:rsidR="00A05E46" w:rsidRPr="00D03C1B" w:rsidRDefault="00A05E46" w:rsidP="00BC512C">
            <w:pPr>
              <w:numPr>
                <w:ilvl w:val="0"/>
                <w:numId w:val="1"/>
              </w:numPr>
              <w:spacing w:after="120" w:line="240" w:lineRule="auto"/>
              <w:ind w:left="313" w:hanging="284"/>
              <w:rPr>
                <w:sz w:val="21"/>
                <w:szCs w:val="21"/>
              </w:rPr>
            </w:pPr>
            <w:r w:rsidRPr="00D03C1B">
              <w:rPr>
                <w:sz w:val="21"/>
                <w:szCs w:val="21"/>
              </w:rPr>
              <w:t>There are no known implementation risks associated with this proposal.</w:t>
            </w:r>
          </w:p>
        </w:tc>
      </w:tr>
    </w:tbl>
    <w:p w14:paraId="04C79931" w14:textId="77777777" w:rsidR="00A05E46" w:rsidRPr="00D03C1B" w:rsidRDefault="00A05E46" w:rsidP="00A05E46">
      <w:pPr>
        <w:spacing w:after="120"/>
        <w:rPr>
          <w:i/>
          <w:sz w:val="21"/>
          <w:szCs w:val="21"/>
        </w:rPr>
      </w:pPr>
      <w:r w:rsidRPr="00D03C1B">
        <w:rPr>
          <w:i/>
          <w:sz w:val="21"/>
          <w:szCs w:val="21"/>
        </w:rPr>
        <w:t>Key to impacts: Red – negative, Blue - neutral and Green - positive.</w:t>
      </w:r>
    </w:p>
    <w:p w14:paraId="04C79932" w14:textId="77777777" w:rsidR="00A05E46" w:rsidRPr="00D03C1B" w:rsidRDefault="00A05E46" w:rsidP="00A05E46">
      <w:pPr>
        <w:spacing w:before="120" w:after="0"/>
        <w:jc w:val="both"/>
        <w:rPr>
          <w:b/>
          <w:bCs/>
          <w:sz w:val="21"/>
          <w:szCs w:val="21"/>
        </w:rPr>
      </w:pPr>
      <w:r w:rsidRPr="00D03C1B">
        <w:rPr>
          <w:b/>
          <w:bCs/>
          <w:sz w:val="21"/>
          <w:szCs w:val="21"/>
        </w:rPr>
        <w:t>Social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22"/>
        <w:gridCol w:w="7494"/>
      </w:tblGrid>
      <w:tr w:rsidR="00A05E46" w:rsidRPr="00D03C1B" w14:paraId="04C79936" w14:textId="77777777" w:rsidTr="00BC512C">
        <w:trPr>
          <w:jc w:val="center"/>
        </w:trPr>
        <w:tc>
          <w:tcPr>
            <w:tcW w:w="1522" w:type="dxa"/>
            <w:shd w:val="clear" w:color="auto" w:fill="92D050"/>
          </w:tcPr>
          <w:p w14:paraId="04C79933" w14:textId="77777777" w:rsidR="00A05E46" w:rsidRPr="00D03C1B" w:rsidRDefault="00A05E46" w:rsidP="00900868">
            <w:pPr>
              <w:spacing w:before="120" w:after="120" w:line="240" w:lineRule="auto"/>
              <w:rPr>
                <w:rFonts w:cs="Calibri"/>
                <w:b/>
                <w:sz w:val="21"/>
                <w:szCs w:val="21"/>
              </w:rPr>
            </w:pPr>
            <w:r w:rsidRPr="00D03C1B">
              <w:rPr>
                <w:rFonts w:cs="Calibri"/>
                <w:b/>
                <w:sz w:val="21"/>
                <w:szCs w:val="21"/>
                <w:lang w:val="en-NZ"/>
              </w:rPr>
              <w:t xml:space="preserve">Access to social networks &amp; community activities </w:t>
            </w:r>
          </w:p>
        </w:tc>
        <w:tc>
          <w:tcPr>
            <w:tcW w:w="7494" w:type="dxa"/>
          </w:tcPr>
          <w:p w14:paraId="04C79934" w14:textId="77777777" w:rsidR="00A05E46" w:rsidRPr="00D03C1B" w:rsidRDefault="00A05E46" w:rsidP="00900868">
            <w:pPr>
              <w:numPr>
                <w:ilvl w:val="0"/>
                <w:numId w:val="1"/>
              </w:numPr>
              <w:spacing w:before="120" w:after="120" w:line="240" w:lineRule="auto"/>
              <w:ind w:left="208" w:hanging="208"/>
              <w:rPr>
                <w:bCs/>
                <w:sz w:val="21"/>
                <w:szCs w:val="21"/>
              </w:rPr>
            </w:pPr>
            <w:r w:rsidRPr="00D03C1B">
              <w:rPr>
                <w:bCs/>
                <w:sz w:val="21"/>
                <w:szCs w:val="21"/>
              </w:rPr>
              <w:t xml:space="preserve">Renowned as the Bush Capital, Canberra provides its population with easy access to nature – green spaces, parks, reserves, lakes and waterways - available to most within 1 km of their homes. </w:t>
            </w:r>
          </w:p>
          <w:p w14:paraId="04C79935" w14:textId="77777777" w:rsidR="00A05E46" w:rsidRPr="00D03C1B" w:rsidRDefault="00A05E46" w:rsidP="00900868">
            <w:pPr>
              <w:numPr>
                <w:ilvl w:val="0"/>
                <w:numId w:val="1"/>
              </w:numPr>
              <w:spacing w:before="120" w:after="120" w:line="240" w:lineRule="auto"/>
              <w:ind w:left="210" w:hanging="210"/>
              <w:rPr>
                <w:sz w:val="21"/>
                <w:szCs w:val="21"/>
              </w:rPr>
            </w:pPr>
            <w:r w:rsidRPr="00D03C1B">
              <w:rPr>
                <w:bCs/>
                <w:sz w:val="21"/>
                <w:szCs w:val="21"/>
              </w:rPr>
              <w:t>Across the ACT, thousands of people participate in volunteering opportunities including ParkCare, Community catchments groups and “friends of groups”. They meet regularly to socialise and contribute to caring for our natural and cultural heritage.</w:t>
            </w:r>
            <w:r w:rsidRPr="00D03C1B">
              <w:rPr>
                <w:sz w:val="21"/>
                <w:szCs w:val="21"/>
              </w:rPr>
              <w:t xml:space="preserve">  </w:t>
            </w:r>
          </w:p>
        </w:tc>
      </w:tr>
      <w:tr w:rsidR="00A05E46" w:rsidRPr="00D03C1B" w14:paraId="04C79939" w14:textId="77777777" w:rsidTr="00900868">
        <w:trPr>
          <w:jc w:val="center"/>
        </w:trPr>
        <w:tc>
          <w:tcPr>
            <w:tcW w:w="1522" w:type="dxa"/>
            <w:shd w:val="clear" w:color="auto" w:fill="0070C0"/>
          </w:tcPr>
          <w:p w14:paraId="04C79937" w14:textId="77777777" w:rsidR="00A05E46" w:rsidRPr="00D03C1B" w:rsidRDefault="00A05E46" w:rsidP="00900868">
            <w:pPr>
              <w:spacing w:before="120" w:after="120" w:line="240" w:lineRule="auto"/>
              <w:jc w:val="both"/>
              <w:rPr>
                <w:sz w:val="21"/>
                <w:szCs w:val="21"/>
              </w:rPr>
            </w:pPr>
            <w:r w:rsidRPr="00D03C1B">
              <w:rPr>
                <w:b/>
                <w:bCs/>
                <w:sz w:val="21"/>
                <w:szCs w:val="21"/>
              </w:rPr>
              <w:t>Human rights</w:t>
            </w:r>
          </w:p>
        </w:tc>
        <w:tc>
          <w:tcPr>
            <w:tcW w:w="7494" w:type="dxa"/>
          </w:tcPr>
          <w:p w14:paraId="04C79938" w14:textId="77777777" w:rsidR="00A05E46" w:rsidRPr="00D03C1B" w:rsidRDefault="00A05E46" w:rsidP="00900868">
            <w:pPr>
              <w:numPr>
                <w:ilvl w:val="0"/>
                <w:numId w:val="1"/>
              </w:numPr>
              <w:spacing w:before="120" w:after="120" w:line="240" w:lineRule="auto"/>
              <w:ind w:left="210" w:hanging="210"/>
              <w:rPr>
                <w:rFonts w:cs="Calibri"/>
                <w:sz w:val="21"/>
                <w:szCs w:val="21"/>
              </w:rPr>
            </w:pPr>
            <w:r w:rsidRPr="00D03C1B">
              <w:rPr>
                <w:bCs/>
                <w:sz w:val="21"/>
                <w:szCs w:val="21"/>
              </w:rPr>
              <w:t>Submission will have no direct implications on human rights.</w:t>
            </w:r>
          </w:p>
        </w:tc>
      </w:tr>
      <w:tr w:rsidR="00A05E46" w:rsidRPr="00D03C1B" w14:paraId="04C7993C" w14:textId="77777777" w:rsidTr="00BC512C">
        <w:trPr>
          <w:jc w:val="center"/>
        </w:trPr>
        <w:tc>
          <w:tcPr>
            <w:tcW w:w="1522" w:type="dxa"/>
            <w:shd w:val="clear" w:color="auto" w:fill="92D050"/>
          </w:tcPr>
          <w:p w14:paraId="04C7993A" w14:textId="77777777" w:rsidR="00A05E46" w:rsidRPr="00D03C1B" w:rsidRDefault="00A05E46" w:rsidP="00900868">
            <w:pPr>
              <w:spacing w:before="120" w:after="120" w:line="240" w:lineRule="auto"/>
              <w:jc w:val="both"/>
              <w:rPr>
                <w:sz w:val="21"/>
                <w:szCs w:val="21"/>
              </w:rPr>
            </w:pPr>
            <w:r w:rsidRPr="00D03C1B">
              <w:rPr>
                <w:b/>
                <w:bCs/>
                <w:sz w:val="21"/>
                <w:szCs w:val="21"/>
              </w:rPr>
              <w:t>Indigenous and Multicultural</w:t>
            </w:r>
          </w:p>
        </w:tc>
        <w:tc>
          <w:tcPr>
            <w:tcW w:w="7494" w:type="dxa"/>
          </w:tcPr>
          <w:p w14:paraId="04C7993B" w14:textId="77777777" w:rsidR="00A05E46" w:rsidRPr="00D03C1B" w:rsidRDefault="00A05E46" w:rsidP="00900868">
            <w:pPr>
              <w:numPr>
                <w:ilvl w:val="0"/>
                <w:numId w:val="1"/>
              </w:numPr>
              <w:spacing w:before="120" w:after="120" w:line="240" w:lineRule="auto"/>
              <w:ind w:left="210" w:hanging="210"/>
              <w:rPr>
                <w:sz w:val="21"/>
                <w:szCs w:val="21"/>
              </w:rPr>
            </w:pPr>
            <w:r w:rsidRPr="00D03C1B">
              <w:rPr>
                <w:bCs/>
                <w:sz w:val="21"/>
                <w:szCs w:val="21"/>
              </w:rPr>
              <w:t>ACT’s natural environment provides the venue for social interaction, including by bringing culturally and linguistically diverse communities together, and is a place of cultural importance.</w:t>
            </w:r>
            <w:r w:rsidRPr="00D03C1B">
              <w:rPr>
                <w:sz w:val="21"/>
                <w:szCs w:val="21"/>
              </w:rPr>
              <w:t xml:space="preserve">   </w:t>
            </w:r>
          </w:p>
        </w:tc>
      </w:tr>
    </w:tbl>
    <w:p w14:paraId="04C7993D" w14:textId="77777777" w:rsidR="00A05E46" w:rsidRPr="00D03C1B" w:rsidRDefault="00A05E46" w:rsidP="00A05E46">
      <w:pPr>
        <w:spacing w:before="120" w:after="0"/>
        <w:jc w:val="both"/>
        <w:rPr>
          <w:b/>
          <w:bCs/>
          <w:sz w:val="21"/>
          <w:szCs w:val="21"/>
        </w:rPr>
      </w:pPr>
      <w:r w:rsidRPr="00D03C1B">
        <w:rPr>
          <w:b/>
          <w:bCs/>
          <w:sz w:val="21"/>
          <w:szCs w:val="21"/>
        </w:rPr>
        <w:t>Economic</w:t>
      </w:r>
    </w:p>
    <w:tbl>
      <w:tblPr>
        <w:tblW w:w="905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55"/>
        <w:gridCol w:w="7496"/>
      </w:tblGrid>
      <w:tr w:rsidR="00A05E46" w:rsidRPr="00D03C1B" w14:paraId="04C79940" w14:textId="77777777" w:rsidTr="00900868">
        <w:trPr>
          <w:jc w:val="center"/>
        </w:trPr>
        <w:tc>
          <w:tcPr>
            <w:tcW w:w="1555" w:type="dxa"/>
            <w:shd w:val="clear" w:color="auto" w:fill="0070C0"/>
          </w:tcPr>
          <w:p w14:paraId="04C7993E" w14:textId="77777777" w:rsidR="00A05E46" w:rsidRPr="00D03C1B" w:rsidRDefault="00A05E46" w:rsidP="00900868">
            <w:pPr>
              <w:spacing w:before="120" w:after="120" w:line="240" w:lineRule="auto"/>
              <w:jc w:val="both"/>
              <w:rPr>
                <w:b/>
                <w:bCs/>
                <w:sz w:val="21"/>
                <w:szCs w:val="21"/>
              </w:rPr>
            </w:pPr>
            <w:r w:rsidRPr="00D03C1B">
              <w:rPr>
                <w:b/>
                <w:bCs/>
                <w:sz w:val="21"/>
                <w:szCs w:val="21"/>
              </w:rPr>
              <w:t>ACT Government Budget</w:t>
            </w:r>
          </w:p>
        </w:tc>
        <w:tc>
          <w:tcPr>
            <w:tcW w:w="7496" w:type="dxa"/>
          </w:tcPr>
          <w:p w14:paraId="04C7993F" w14:textId="77777777" w:rsidR="00A05E46" w:rsidRPr="00D03C1B" w:rsidRDefault="00A05E46" w:rsidP="00900868">
            <w:pPr>
              <w:numPr>
                <w:ilvl w:val="0"/>
                <w:numId w:val="2"/>
              </w:numPr>
              <w:spacing w:before="120" w:after="120" w:line="240" w:lineRule="auto"/>
              <w:ind w:left="210" w:hanging="210"/>
              <w:rPr>
                <w:bCs/>
                <w:sz w:val="21"/>
                <w:szCs w:val="21"/>
              </w:rPr>
            </w:pPr>
            <w:r w:rsidRPr="00D03C1B">
              <w:rPr>
                <w:bCs/>
                <w:sz w:val="21"/>
                <w:szCs w:val="21"/>
              </w:rPr>
              <w:t xml:space="preserve">Submission will have no direct budget implications. </w:t>
            </w:r>
          </w:p>
        </w:tc>
      </w:tr>
      <w:tr w:rsidR="00A05E46" w:rsidRPr="00D03C1B" w14:paraId="04C79943" w14:textId="77777777" w:rsidTr="00900868">
        <w:trPr>
          <w:jc w:val="center"/>
        </w:trPr>
        <w:tc>
          <w:tcPr>
            <w:tcW w:w="1555" w:type="dxa"/>
            <w:tcBorders>
              <w:bottom w:val="single" w:sz="4" w:space="0" w:color="000000" w:themeColor="text1"/>
            </w:tcBorders>
            <w:shd w:val="clear" w:color="auto" w:fill="0070C0"/>
          </w:tcPr>
          <w:p w14:paraId="04C79941" w14:textId="77777777" w:rsidR="00A05E46" w:rsidRPr="00D03C1B" w:rsidRDefault="00A05E46" w:rsidP="00900868">
            <w:pPr>
              <w:spacing w:before="120" w:after="120" w:line="240" w:lineRule="auto"/>
              <w:jc w:val="both"/>
              <w:rPr>
                <w:sz w:val="21"/>
                <w:szCs w:val="21"/>
              </w:rPr>
            </w:pPr>
            <w:r w:rsidRPr="00D03C1B">
              <w:rPr>
                <w:b/>
                <w:bCs/>
                <w:sz w:val="21"/>
                <w:szCs w:val="21"/>
              </w:rPr>
              <w:t>Productivity and innovation</w:t>
            </w:r>
          </w:p>
        </w:tc>
        <w:tc>
          <w:tcPr>
            <w:tcW w:w="7496" w:type="dxa"/>
            <w:tcBorders>
              <w:bottom w:val="single" w:sz="4" w:space="0" w:color="000000" w:themeColor="text1"/>
            </w:tcBorders>
          </w:tcPr>
          <w:p w14:paraId="04C79942" w14:textId="77777777" w:rsidR="00A05E46" w:rsidRPr="009236AB" w:rsidRDefault="00A05E46" w:rsidP="00900868">
            <w:pPr>
              <w:numPr>
                <w:ilvl w:val="0"/>
                <w:numId w:val="1"/>
              </w:numPr>
              <w:spacing w:before="120" w:after="120" w:line="240" w:lineRule="auto"/>
              <w:ind w:left="210" w:hanging="210"/>
              <w:rPr>
                <w:bCs/>
                <w:sz w:val="21"/>
                <w:szCs w:val="21"/>
              </w:rPr>
            </w:pPr>
            <w:r w:rsidRPr="00D03C1B">
              <w:rPr>
                <w:bCs/>
                <w:sz w:val="21"/>
                <w:szCs w:val="21"/>
              </w:rPr>
              <w:t xml:space="preserve">The ACT is well positioned to take advantage of the natural environment for education and tourism opportunities.  </w:t>
            </w:r>
          </w:p>
        </w:tc>
      </w:tr>
      <w:tr w:rsidR="00A05E46" w:rsidRPr="00D03C1B" w14:paraId="04C79948" w14:textId="77777777" w:rsidTr="00BC512C">
        <w:trPr>
          <w:jc w:val="center"/>
        </w:trPr>
        <w:tc>
          <w:tcPr>
            <w:tcW w:w="1555" w:type="dxa"/>
            <w:tcBorders>
              <w:bottom w:val="single" w:sz="4" w:space="0" w:color="000000" w:themeColor="text1"/>
            </w:tcBorders>
            <w:shd w:val="clear" w:color="auto" w:fill="92D050"/>
          </w:tcPr>
          <w:p w14:paraId="04C79944" w14:textId="77777777" w:rsidR="00A05E46" w:rsidRPr="00D03C1B" w:rsidRDefault="00A05E46" w:rsidP="00900868">
            <w:pPr>
              <w:spacing w:before="120" w:after="120" w:line="240" w:lineRule="auto"/>
              <w:jc w:val="both"/>
              <w:rPr>
                <w:b/>
                <w:bCs/>
                <w:sz w:val="21"/>
                <w:szCs w:val="21"/>
              </w:rPr>
            </w:pPr>
            <w:r w:rsidRPr="00D03C1B">
              <w:rPr>
                <w:b/>
                <w:bCs/>
                <w:sz w:val="21"/>
                <w:szCs w:val="21"/>
              </w:rPr>
              <w:t>Investment and Economic Impacts</w:t>
            </w:r>
          </w:p>
        </w:tc>
        <w:tc>
          <w:tcPr>
            <w:tcW w:w="7496" w:type="dxa"/>
            <w:tcBorders>
              <w:bottom w:val="single" w:sz="4" w:space="0" w:color="000000" w:themeColor="text1"/>
            </w:tcBorders>
          </w:tcPr>
          <w:p w14:paraId="04C79945" w14:textId="77777777" w:rsidR="00A05E46" w:rsidRPr="00D03C1B" w:rsidRDefault="00A05E46" w:rsidP="00900868">
            <w:pPr>
              <w:numPr>
                <w:ilvl w:val="0"/>
                <w:numId w:val="1"/>
              </w:numPr>
              <w:spacing w:before="120" w:after="120" w:line="240" w:lineRule="auto"/>
              <w:ind w:left="210" w:hanging="210"/>
              <w:rPr>
                <w:sz w:val="21"/>
                <w:szCs w:val="21"/>
              </w:rPr>
            </w:pPr>
            <w:r w:rsidRPr="00D03C1B">
              <w:rPr>
                <w:bCs/>
                <w:sz w:val="21"/>
                <w:szCs w:val="21"/>
              </w:rPr>
              <w:t xml:space="preserve">The natural environment contributes directly to the economy through tourism and employment. </w:t>
            </w:r>
          </w:p>
          <w:p w14:paraId="04C79946" w14:textId="77777777" w:rsidR="00A05E46" w:rsidRPr="00D03C1B" w:rsidRDefault="00A05E46" w:rsidP="00900868">
            <w:pPr>
              <w:numPr>
                <w:ilvl w:val="0"/>
                <w:numId w:val="1"/>
              </w:numPr>
              <w:spacing w:before="120" w:after="120" w:line="240" w:lineRule="auto"/>
              <w:ind w:left="210" w:hanging="210"/>
              <w:rPr>
                <w:sz w:val="21"/>
                <w:szCs w:val="21"/>
              </w:rPr>
            </w:pPr>
            <w:r w:rsidRPr="00D03C1B">
              <w:rPr>
                <w:bCs/>
                <w:sz w:val="21"/>
                <w:szCs w:val="21"/>
              </w:rPr>
              <w:t xml:space="preserve">Nature and proximity to nature can provide value to neighbourhoods and property. </w:t>
            </w:r>
          </w:p>
          <w:p w14:paraId="04C79947" w14:textId="77777777" w:rsidR="00A05E46" w:rsidRPr="00D03C1B" w:rsidRDefault="00A05E46" w:rsidP="00900868">
            <w:pPr>
              <w:numPr>
                <w:ilvl w:val="0"/>
                <w:numId w:val="1"/>
              </w:numPr>
              <w:spacing w:before="120" w:after="120" w:line="240" w:lineRule="auto"/>
              <w:ind w:left="210" w:hanging="210"/>
              <w:rPr>
                <w:bCs/>
                <w:sz w:val="21"/>
                <w:szCs w:val="21"/>
              </w:rPr>
            </w:pPr>
            <w:r w:rsidRPr="00D03C1B">
              <w:rPr>
                <w:bCs/>
                <w:sz w:val="21"/>
                <w:szCs w:val="21"/>
              </w:rPr>
              <w:t>Parks and reserves offer free space for events and recreational activities. This has multiplier effects with spin offs that support our local economy from the bike shop to the outdoor clothing retailers.</w:t>
            </w:r>
          </w:p>
        </w:tc>
      </w:tr>
    </w:tbl>
    <w:p w14:paraId="04C79949" w14:textId="77777777" w:rsidR="00A05E46" w:rsidRPr="00D03C1B" w:rsidRDefault="00A05E46" w:rsidP="00A05E46">
      <w:pPr>
        <w:spacing w:before="120" w:after="0"/>
        <w:jc w:val="both"/>
        <w:rPr>
          <w:b/>
          <w:bCs/>
          <w:sz w:val="21"/>
          <w:szCs w:val="21"/>
        </w:rPr>
      </w:pPr>
      <w:r w:rsidRPr="00D03C1B">
        <w:rPr>
          <w:b/>
          <w:bCs/>
          <w:sz w:val="21"/>
          <w:szCs w:val="21"/>
        </w:rPr>
        <w:t>Environmental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61"/>
        <w:gridCol w:w="7455"/>
      </w:tblGrid>
      <w:tr w:rsidR="00A05E46" w:rsidRPr="00D03C1B" w14:paraId="04C7994C" w14:textId="77777777" w:rsidTr="00BC512C">
        <w:trPr>
          <w:jc w:val="center"/>
        </w:trPr>
        <w:tc>
          <w:tcPr>
            <w:tcW w:w="1561" w:type="dxa"/>
            <w:shd w:val="clear" w:color="auto" w:fill="92D050"/>
          </w:tcPr>
          <w:p w14:paraId="04C7994A" w14:textId="77777777" w:rsidR="00A05E46" w:rsidRPr="00D03C1B" w:rsidRDefault="00A05E46" w:rsidP="00900868">
            <w:pPr>
              <w:spacing w:before="120" w:after="120" w:line="240" w:lineRule="auto"/>
              <w:jc w:val="both"/>
              <w:rPr>
                <w:sz w:val="21"/>
                <w:szCs w:val="21"/>
              </w:rPr>
            </w:pPr>
            <w:r w:rsidRPr="00D03C1B">
              <w:rPr>
                <w:b/>
                <w:bCs/>
                <w:sz w:val="21"/>
                <w:szCs w:val="21"/>
              </w:rPr>
              <w:t>Biodiversity</w:t>
            </w:r>
          </w:p>
        </w:tc>
        <w:tc>
          <w:tcPr>
            <w:tcW w:w="7455" w:type="dxa"/>
          </w:tcPr>
          <w:p w14:paraId="04C7994B" w14:textId="77777777" w:rsidR="00A05E46" w:rsidRPr="00D03C1B" w:rsidRDefault="00A05E46" w:rsidP="00900868">
            <w:pPr>
              <w:numPr>
                <w:ilvl w:val="0"/>
                <w:numId w:val="1"/>
              </w:numPr>
              <w:spacing w:before="120" w:after="120" w:line="240" w:lineRule="auto"/>
              <w:ind w:left="318" w:hanging="284"/>
              <w:rPr>
                <w:sz w:val="21"/>
                <w:szCs w:val="21"/>
              </w:rPr>
            </w:pPr>
            <w:r w:rsidRPr="00D03C1B">
              <w:rPr>
                <w:bCs/>
                <w:sz w:val="21"/>
                <w:szCs w:val="21"/>
              </w:rPr>
              <w:t xml:space="preserve">Our natural environment conserves and protects biodiversity.  </w:t>
            </w:r>
          </w:p>
        </w:tc>
      </w:tr>
      <w:tr w:rsidR="00A05E46" w:rsidRPr="00D03C1B" w14:paraId="04C7994F" w14:textId="77777777" w:rsidTr="00BC512C">
        <w:trPr>
          <w:jc w:val="center"/>
        </w:trPr>
        <w:tc>
          <w:tcPr>
            <w:tcW w:w="1561" w:type="dxa"/>
            <w:shd w:val="clear" w:color="auto" w:fill="92D050"/>
          </w:tcPr>
          <w:p w14:paraId="04C7994D" w14:textId="77777777" w:rsidR="00A05E46" w:rsidRPr="00D03C1B" w:rsidRDefault="00A05E46" w:rsidP="00900868">
            <w:pPr>
              <w:spacing w:before="120" w:after="120" w:line="240" w:lineRule="auto"/>
              <w:jc w:val="both"/>
              <w:rPr>
                <w:sz w:val="21"/>
                <w:szCs w:val="21"/>
              </w:rPr>
            </w:pPr>
            <w:r w:rsidRPr="00D03C1B">
              <w:rPr>
                <w:b/>
                <w:bCs/>
                <w:sz w:val="21"/>
                <w:szCs w:val="21"/>
              </w:rPr>
              <w:t>Heritage</w:t>
            </w:r>
          </w:p>
        </w:tc>
        <w:tc>
          <w:tcPr>
            <w:tcW w:w="7455" w:type="dxa"/>
          </w:tcPr>
          <w:p w14:paraId="04C7994E" w14:textId="77777777" w:rsidR="00A05E46" w:rsidRPr="00D03C1B" w:rsidRDefault="00A05E46" w:rsidP="00900868">
            <w:pPr>
              <w:numPr>
                <w:ilvl w:val="0"/>
                <w:numId w:val="1"/>
              </w:numPr>
              <w:spacing w:before="120" w:after="120" w:line="240" w:lineRule="auto"/>
              <w:ind w:left="318" w:hanging="284"/>
              <w:rPr>
                <w:sz w:val="21"/>
                <w:szCs w:val="21"/>
              </w:rPr>
            </w:pPr>
            <w:r w:rsidRPr="00D03C1B">
              <w:rPr>
                <w:sz w:val="21"/>
                <w:szCs w:val="21"/>
              </w:rPr>
              <w:t>Our natural environments protect sites of great social, cultural and spiritual value to communities, including aboriginal heritage.</w:t>
            </w:r>
          </w:p>
        </w:tc>
      </w:tr>
      <w:tr w:rsidR="00A05E46" w:rsidRPr="00D03C1B" w14:paraId="04C79952" w14:textId="77777777" w:rsidTr="00BC512C">
        <w:trPr>
          <w:jc w:val="center"/>
        </w:trPr>
        <w:tc>
          <w:tcPr>
            <w:tcW w:w="1561" w:type="dxa"/>
            <w:shd w:val="clear" w:color="auto" w:fill="92D050"/>
          </w:tcPr>
          <w:p w14:paraId="04C79950" w14:textId="77777777" w:rsidR="00A05E46" w:rsidRPr="00D03C1B" w:rsidRDefault="00A05E46" w:rsidP="00900868">
            <w:pPr>
              <w:spacing w:before="120" w:after="120" w:line="240" w:lineRule="auto"/>
              <w:jc w:val="both"/>
              <w:rPr>
                <w:sz w:val="21"/>
                <w:szCs w:val="21"/>
              </w:rPr>
            </w:pPr>
            <w:r w:rsidRPr="00D03C1B">
              <w:rPr>
                <w:b/>
                <w:bCs/>
                <w:sz w:val="21"/>
                <w:szCs w:val="21"/>
              </w:rPr>
              <w:t>Environmental quality</w:t>
            </w:r>
          </w:p>
        </w:tc>
        <w:tc>
          <w:tcPr>
            <w:tcW w:w="7455" w:type="dxa"/>
          </w:tcPr>
          <w:p w14:paraId="04C79951" w14:textId="77777777" w:rsidR="00A05E46" w:rsidRPr="00D03C1B" w:rsidRDefault="00A05E46" w:rsidP="00900868">
            <w:pPr>
              <w:numPr>
                <w:ilvl w:val="0"/>
                <w:numId w:val="1"/>
              </w:numPr>
              <w:spacing w:before="120" w:after="120" w:line="240" w:lineRule="auto"/>
              <w:ind w:left="318" w:hanging="284"/>
              <w:rPr>
                <w:sz w:val="21"/>
                <w:szCs w:val="21"/>
              </w:rPr>
            </w:pPr>
            <w:r w:rsidRPr="00D03C1B">
              <w:rPr>
                <w:sz w:val="21"/>
                <w:szCs w:val="21"/>
              </w:rPr>
              <w:t>Our green infrastructure supports Canberra’s liveability. Blue and Green infrastructure and the application of Water Sensitive Urban Design (WSUD), provision of landscaped urban spaces and nature reserves provide a buffer in the urban environment.</w:t>
            </w:r>
          </w:p>
        </w:tc>
      </w:tr>
    </w:tbl>
    <w:p w14:paraId="04C79953" w14:textId="77777777" w:rsidR="00A05E46" w:rsidRPr="00D03C1B" w:rsidRDefault="00A05E46" w:rsidP="00A05E46">
      <w:pPr>
        <w:spacing w:after="0"/>
        <w:rPr>
          <w:sz w:val="21"/>
          <w:szCs w:val="21"/>
        </w:rPr>
      </w:pPr>
    </w:p>
    <w:p w14:paraId="04C79954" w14:textId="77777777" w:rsidR="009E72D8" w:rsidRDefault="009E72D8"/>
    <w:sectPr w:rsidR="009E72D8" w:rsidSect="00900868">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D6461B"/>
    <w:multiLevelType w:val="hybridMultilevel"/>
    <w:tmpl w:val="B2643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46"/>
    <w:rsid w:val="00401B02"/>
    <w:rsid w:val="004D794F"/>
    <w:rsid w:val="00900868"/>
    <w:rsid w:val="009E72D8"/>
    <w:rsid w:val="00A05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992A"/>
  <w15:chartTrackingRefBased/>
  <w15:docId w15:val="{1084C75A-1873-43B1-A9AC-D7E37CAD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D873A-781C-4C1C-8F57-8C7A00568B02}">
  <ds:schemaRef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A7A4EDC3-3586-492B-9C61-8809AA6516B7}">
  <ds:schemaRefs>
    <ds:schemaRef ds:uri="http://schemas.microsoft.com/sharepoint/v3/contenttype/forms"/>
  </ds:schemaRefs>
</ds:datastoreItem>
</file>

<file path=customXml/itemProps3.xml><?xml version="1.0" encoding="utf-8"?>
<ds:datastoreItem xmlns:ds="http://schemas.openxmlformats.org/officeDocument/2006/customXml" ds:itemID="{A5F1C469-EDB6-445C-9EC7-C4361624D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Tenzin, Yangkyi</cp:lastModifiedBy>
  <cp:revision>2</cp:revision>
  <dcterms:created xsi:type="dcterms:W3CDTF">2018-08-29T05:58:00Z</dcterms:created>
  <dcterms:modified xsi:type="dcterms:W3CDTF">2018-08-29T05:58:00Z</dcterms:modified>
</cp:coreProperties>
</file>