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2D" w:rsidRPr="006339C9" w:rsidRDefault="0013032D" w:rsidP="0013032D">
      <w:pPr>
        <w:spacing w:after="120"/>
        <w:jc w:val="both"/>
        <w:rPr>
          <w:rFonts w:asciiTheme="minorHAnsi" w:hAnsiTheme="minorHAnsi"/>
          <w:b/>
          <w:bCs/>
          <w:sz w:val="22"/>
          <w:szCs w:val="22"/>
        </w:rPr>
      </w:pPr>
      <w:r w:rsidRPr="006339C9">
        <w:rPr>
          <w:rFonts w:asciiTheme="minorHAnsi" w:hAnsiTheme="minorHAnsi"/>
          <w:b/>
          <w:bCs/>
          <w:sz w:val="22"/>
          <w:szCs w:val="22"/>
        </w:rPr>
        <w:t>Directorate:</w:t>
      </w:r>
      <w:r w:rsidRPr="006339C9">
        <w:rPr>
          <w:rFonts w:asciiTheme="minorHAnsi" w:hAnsiTheme="minorHAnsi"/>
          <w:b/>
          <w:bCs/>
          <w:sz w:val="22"/>
          <w:szCs w:val="22"/>
        </w:rPr>
        <w:tab/>
        <w:t>Canberra Institute of Technology (CIT)</w:t>
      </w:r>
    </w:p>
    <w:p w:rsidR="0013032D" w:rsidRPr="006339C9" w:rsidRDefault="0013032D" w:rsidP="0013032D">
      <w:pPr>
        <w:spacing w:after="120"/>
        <w:jc w:val="both"/>
        <w:rPr>
          <w:rFonts w:asciiTheme="minorHAnsi" w:hAnsiTheme="minorHAnsi"/>
          <w:b/>
          <w:bCs/>
          <w:sz w:val="22"/>
          <w:szCs w:val="22"/>
        </w:rPr>
      </w:pPr>
      <w:bookmarkStart w:id="0" w:name="_GoBack"/>
      <w:r>
        <w:rPr>
          <w:rFonts w:asciiTheme="minorHAnsi" w:hAnsiTheme="minorHAnsi"/>
          <w:b/>
          <w:bCs/>
          <w:sz w:val="22"/>
          <w:szCs w:val="22"/>
        </w:rPr>
        <w:t>18/</w:t>
      </w:r>
      <w:r w:rsidRPr="006339C9">
        <w:rPr>
          <w:rFonts w:asciiTheme="minorHAnsi" w:hAnsiTheme="minorHAnsi"/>
          <w:b/>
          <w:bCs/>
          <w:sz w:val="22"/>
          <w:szCs w:val="22"/>
        </w:rPr>
        <w:t>17 CIT Campus Modernisation Strategy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3032D" w:rsidRPr="006339C9" w:rsidTr="00EC635C">
        <w:trPr>
          <w:jc w:val="center"/>
        </w:trPr>
        <w:tc>
          <w:tcPr>
            <w:tcW w:w="9016" w:type="dxa"/>
          </w:tcPr>
          <w:bookmarkEnd w:id="0"/>
          <w:p w:rsidR="0013032D" w:rsidRPr="006339C9" w:rsidRDefault="0013032D" w:rsidP="00EC635C">
            <w:pPr>
              <w:spacing w:before="60" w:after="0"/>
              <w:jc w:val="both"/>
              <w:rPr>
                <w:rFonts w:asciiTheme="minorHAnsi" w:hAnsiTheme="minorHAnsi"/>
                <w:b/>
                <w:bCs/>
                <w:sz w:val="22"/>
                <w:szCs w:val="22"/>
              </w:rPr>
            </w:pPr>
            <w:r w:rsidRPr="006339C9">
              <w:rPr>
                <w:rFonts w:asciiTheme="minorHAnsi" w:hAnsiTheme="minorHAnsi"/>
                <w:b/>
                <w:bCs/>
                <w:sz w:val="22"/>
                <w:szCs w:val="22"/>
              </w:rPr>
              <w:t>Summary of Impacts</w:t>
            </w:r>
          </w:p>
        </w:tc>
      </w:tr>
      <w:tr w:rsidR="0013032D" w:rsidRPr="006339C9" w:rsidTr="00EC635C">
        <w:trPr>
          <w:jc w:val="center"/>
        </w:trPr>
        <w:tc>
          <w:tcPr>
            <w:tcW w:w="9016" w:type="dxa"/>
          </w:tcPr>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This Triple Bottom Line (TBL) assessment supports the CIT Campus Modernisation Strategy as it has the capacity to provide significant positive benefits across key social, economic and environmental factors.  The key impacts are to allow CIT to establish modern, efficient and flexible teaching spaces that will allow CIT to easily adapt to changing teaching techniques, technologies and new courses; and the urban renewal opportunities on surplus land such enabling the proposed UNSW campus be established alongside the CIT Reid campus.</w:t>
            </w:r>
          </w:p>
        </w:tc>
      </w:tr>
    </w:tbl>
    <w:p w:rsidR="0013032D" w:rsidRPr="003A180B" w:rsidRDefault="0013032D" w:rsidP="0013032D">
      <w:pPr>
        <w:spacing w:after="120"/>
        <w:rPr>
          <w:rFonts w:asciiTheme="minorHAnsi" w:hAnsiTheme="minorHAnsi"/>
          <w:i/>
          <w:sz w:val="22"/>
          <w:szCs w:val="22"/>
        </w:rPr>
      </w:pPr>
      <w:r w:rsidRPr="00D21BEA">
        <w:rPr>
          <w:rFonts w:asciiTheme="minorHAnsi" w:hAnsiTheme="minorHAnsi"/>
          <w:i/>
          <w:sz w:val="22"/>
          <w:szCs w:val="22"/>
        </w:rPr>
        <w:t>Key to</w:t>
      </w:r>
      <w:r>
        <w:rPr>
          <w:rFonts w:asciiTheme="minorHAnsi" w:hAnsiTheme="minorHAnsi"/>
          <w:i/>
          <w:sz w:val="22"/>
          <w:szCs w:val="22"/>
        </w:rPr>
        <w:t xml:space="preserve"> impacts: Red - negative, Amber - </w:t>
      </w:r>
      <w:r w:rsidRPr="00D21BEA">
        <w:rPr>
          <w:rFonts w:asciiTheme="minorHAnsi" w:hAnsiTheme="minorHAnsi"/>
          <w:i/>
          <w:sz w:val="22"/>
          <w:szCs w:val="22"/>
        </w:rPr>
        <w:t>neutral and Green</w:t>
      </w:r>
      <w:r>
        <w:rPr>
          <w:rFonts w:asciiTheme="minorHAnsi" w:hAnsiTheme="minorHAnsi"/>
          <w:i/>
          <w:sz w:val="22"/>
          <w:szCs w:val="22"/>
        </w:rPr>
        <w:t xml:space="preserve"> - p</w:t>
      </w:r>
      <w:r w:rsidRPr="00D21BEA">
        <w:rPr>
          <w:rFonts w:asciiTheme="minorHAnsi" w:hAnsiTheme="minorHAnsi"/>
          <w:i/>
          <w:sz w:val="22"/>
          <w:szCs w:val="22"/>
        </w:rPr>
        <w:t>ositive</w:t>
      </w:r>
    </w:p>
    <w:p w:rsidR="0013032D" w:rsidRPr="006339C9" w:rsidRDefault="0013032D" w:rsidP="0013032D">
      <w:pPr>
        <w:spacing w:after="0"/>
        <w:jc w:val="both"/>
        <w:rPr>
          <w:rFonts w:asciiTheme="minorHAnsi" w:hAnsiTheme="minorHAnsi"/>
          <w:b/>
          <w:bCs/>
          <w:sz w:val="22"/>
          <w:szCs w:val="22"/>
        </w:rPr>
      </w:pPr>
      <w:r w:rsidRPr="006339C9">
        <w:rPr>
          <w:rFonts w:asciiTheme="minorHAnsi" w:hAnsiTheme="minorHAnsi"/>
          <w:b/>
          <w:bCs/>
          <w:sz w:val="22"/>
          <w:szCs w:val="22"/>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14"/>
        <w:gridCol w:w="7496"/>
      </w:tblGrid>
      <w:tr w:rsidR="0013032D" w:rsidRPr="006339C9" w:rsidTr="00EC635C">
        <w:trPr>
          <w:jc w:val="center"/>
        </w:trPr>
        <w:tc>
          <w:tcPr>
            <w:tcW w:w="1520" w:type="dxa"/>
            <w:gridSpan w:val="2"/>
            <w:shd w:val="clear" w:color="auto" w:fill="92D050"/>
          </w:tcPr>
          <w:p w:rsidR="0013032D" w:rsidRPr="006339C9" w:rsidRDefault="0013032D" w:rsidP="00EC635C">
            <w:pPr>
              <w:rPr>
                <w:rFonts w:asciiTheme="minorHAnsi" w:hAnsiTheme="minorHAnsi"/>
                <w:sz w:val="22"/>
                <w:szCs w:val="22"/>
              </w:rPr>
            </w:pPr>
            <w:r w:rsidRPr="006339C9">
              <w:rPr>
                <w:rFonts w:asciiTheme="minorHAnsi" w:hAnsiTheme="minorHAnsi"/>
                <w:b/>
                <w:bCs/>
                <w:sz w:val="22"/>
                <w:szCs w:val="22"/>
              </w:rPr>
              <w:t>Community and individual health</w:t>
            </w:r>
          </w:p>
        </w:tc>
        <w:tc>
          <w:tcPr>
            <w:tcW w:w="7496" w:type="dxa"/>
          </w:tcPr>
          <w:p w:rsidR="0013032D" w:rsidRPr="00437EA3"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Provision of healthy campus environments that prom</w:t>
            </w:r>
            <w:r>
              <w:rPr>
                <w:rFonts w:asciiTheme="minorHAnsi" w:hAnsiTheme="minorHAnsi"/>
                <w:sz w:val="22"/>
                <w:szCs w:val="22"/>
              </w:rPr>
              <w:t>ote</w:t>
            </w:r>
            <w:r w:rsidRPr="006339C9">
              <w:rPr>
                <w:rFonts w:asciiTheme="minorHAnsi" w:hAnsiTheme="minorHAnsi"/>
                <w:sz w:val="22"/>
                <w:szCs w:val="22"/>
              </w:rPr>
              <w:t xml:space="preserve">s wellbeing with walking, cycling, recreation and sporting facilities. </w:t>
            </w:r>
          </w:p>
        </w:tc>
      </w:tr>
      <w:tr w:rsidR="0013032D" w:rsidRPr="006339C9" w:rsidTr="00EC635C">
        <w:trPr>
          <w:jc w:val="center"/>
        </w:trPr>
        <w:tc>
          <w:tcPr>
            <w:tcW w:w="1520" w:type="dxa"/>
            <w:gridSpan w:val="2"/>
            <w:shd w:val="clear" w:color="auto" w:fill="92D050"/>
          </w:tcPr>
          <w:p w:rsidR="0013032D" w:rsidRPr="006339C9" w:rsidRDefault="0013032D" w:rsidP="00EC635C">
            <w:pPr>
              <w:rPr>
                <w:rFonts w:asciiTheme="minorHAnsi" w:hAnsiTheme="minorHAnsi"/>
                <w:sz w:val="22"/>
                <w:szCs w:val="22"/>
              </w:rPr>
            </w:pPr>
            <w:r w:rsidRPr="006339C9">
              <w:rPr>
                <w:rFonts w:asciiTheme="minorHAnsi" w:hAnsiTheme="minorHAnsi"/>
                <w:b/>
                <w:bCs/>
                <w:sz w:val="22"/>
                <w:szCs w:val="22"/>
              </w:rPr>
              <w:t>Housing and Housing Affordability</w:t>
            </w:r>
          </w:p>
        </w:tc>
        <w:tc>
          <w:tcPr>
            <w:tcW w:w="7496" w:type="dxa"/>
          </w:tcPr>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The surplus properties identified as part of campus modernisation will increase in the supply of community facility zoned land which would become available for urban renewal</w:t>
            </w:r>
            <w:r>
              <w:rPr>
                <w:rFonts w:asciiTheme="minorHAnsi" w:hAnsiTheme="minorHAnsi"/>
                <w:sz w:val="22"/>
                <w:szCs w:val="22"/>
              </w:rPr>
              <w:t>.</w:t>
            </w:r>
          </w:p>
        </w:tc>
      </w:tr>
      <w:tr w:rsidR="0013032D" w:rsidRPr="006339C9" w:rsidTr="00EC635C">
        <w:trPr>
          <w:jc w:val="center"/>
        </w:trPr>
        <w:tc>
          <w:tcPr>
            <w:tcW w:w="1506" w:type="dxa"/>
            <w:shd w:val="clear" w:color="auto" w:fill="92D050"/>
          </w:tcPr>
          <w:p w:rsidR="0013032D" w:rsidRPr="006339C9" w:rsidRDefault="0013032D" w:rsidP="00EC635C">
            <w:pPr>
              <w:rPr>
                <w:rFonts w:asciiTheme="minorHAnsi" w:hAnsiTheme="minorHAnsi"/>
                <w:sz w:val="22"/>
                <w:szCs w:val="22"/>
              </w:rPr>
            </w:pPr>
            <w:r w:rsidRPr="006339C9">
              <w:rPr>
                <w:rFonts w:asciiTheme="minorHAnsi" w:hAnsiTheme="minorHAnsi"/>
                <w:b/>
                <w:bCs/>
                <w:sz w:val="22"/>
                <w:szCs w:val="22"/>
              </w:rPr>
              <w:t>Access to Services</w:t>
            </w:r>
          </w:p>
        </w:tc>
        <w:tc>
          <w:tcPr>
            <w:tcW w:w="7510" w:type="dxa"/>
            <w:gridSpan w:val="2"/>
          </w:tcPr>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 xml:space="preserve">Increase access to VET through increase capacity to provide high quality digital learning environments. </w:t>
            </w:r>
          </w:p>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Reduce the need for students to travel to between campuses where courses are split between campuses.</w:t>
            </w:r>
          </w:p>
        </w:tc>
      </w:tr>
      <w:tr w:rsidR="0013032D" w:rsidRPr="006339C9" w:rsidTr="00EC635C">
        <w:trPr>
          <w:trHeight w:val="1471"/>
          <w:jc w:val="center"/>
        </w:trPr>
        <w:tc>
          <w:tcPr>
            <w:tcW w:w="1517" w:type="dxa"/>
            <w:gridSpan w:val="2"/>
            <w:shd w:val="clear" w:color="auto" w:fill="92D050"/>
          </w:tcPr>
          <w:p w:rsidR="0013032D" w:rsidRPr="006339C9" w:rsidRDefault="0013032D" w:rsidP="00EC635C">
            <w:pPr>
              <w:rPr>
                <w:rFonts w:asciiTheme="minorHAnsi" w:hAnsiTheme="minorHAnsi"/>
                <w:sz w:val="22"/>
                <w:szCs w:val="22"/>
              </w:rPr>
            </w:pPr>
            <w:r w:rsidRPr="006339C9">
              <w:rPr>
                <w:rFonts w:asciiTheme="minorHAnsi" w:hAnsiTheme="minorHAnsi"/>
                <w:b/>
                <w:bCs/>
                <w:sz w:val="22"/>
                <w:szCs w:val="22"/>
              </w:rPr>
              <w:t>Access to Social Networks &amp; Community Activities</w:t>
            </w:r>
          </w:p>
        </w:tc>
        <w:tc>
          <w:tcPr>
            <w:tcW w:w="7499" w:type="dxa"/>
          </w:tcPr>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Increase the role and importance of place through creating positive social and community experiences that complement CIT’s VET offerings.</w:t>
            </w:r>
          </w:p>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Increase online engagement and facilitate learning socialisation skills and positive behaviours.</w:t>
            </w:r>
          </w:p>
        </w:tc>
      </w:tr>
    </w:tbl>
    <w:p w:rsidR="0013032D" w:rsidRPr="006339C9" w:rsidRDefault="0013032D" w:rsidP="0013032D">
      <w:pPr>
        <w:spacing w:before="120" w:after="0"/>
        <w:jc w:val="both"/>
        <w:rPr>
          <w:rFonts w:asciiTheme="minorHAnsi" w:hAnsiTheme="minorHAnsi"/>
          <w:b/>
          <w:bCs/>
          <w:sz w:val="22"/>
          <w:szCs w:val="22"/>
        </w:rPr>
      </w:pPr>
      <w:r w:rsidRPr="006339C9">
        <w:rPr>
          <w:rFonts w:asciiTheme="minorHAnsi" w:hAnsiTheme="minorHAnsi"/>
          <w:b/>
          <w:bCs/>
          <w:sz w:val="22"/>
          <w:szCs w:val="22"/>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7496"/>
      </w:tblGrid>
      <w:tr w:rsidR="0013032D" w:rsidRPr="006339C9" w:rsidTr="00EC635C">
        <w:trPr>
          <w:jc w:val="center"/>
        </w:trPr>
        <w:tc>
          <w:tcPr>
            <w:tcW w:w="1520" w:type="dxa"/>
            <w:shd w:val="clear" w:color="auto" w:fill="92D050"/>
          </w:tcPr>
          <w:p w:rsidR="0013032D" w:rsidRPr="006339C9" w:rsidRDefault="0013032D" w:rsidP="00EC635C">
            <w:pPr>
              <w:jc w:val="both"/>
              <w:rPr>
                <w:rFonts w:asciiTheme="minorHAnsi" w:hAnsiTheme="minorHAnsi"/>
                <w:sz w:val="22"/>
                <w:szCs w:val="22"/>
              </w:rPr>
            </w:pPr>
            <w:r w:rsidRPr="006339C9">
              <w:rPr>
                <w:rFonts w:asciiTheme="minorHAnsi" w:hAnsiTheme="minorHAnsi"/>
                <w:b/>
                <w:bCs/>
                <w:sz w:val="22"/>
                <w:szCs w:val="22"/>
              </w:rPr>
              <w:t>ACT Government Budget</w:t>
            </w:r>
          </w:p>
        </w:tc>
        <w:tc>
          <w:tcPr>
            <w:tcW w:w="7496" w:type="dxa"/>
          </w:tcPr>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Potential financial return to the ACT Government from the sale of surplus properties.</w:t>
            </w:r>
          </w:p>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Improve CIT’s financial sustainability through reducing recurrent operational and maintenance costs.</w:t>
            </w:r>
          </w:p>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Improved value to industry and employers from governments annual training expenditure with CIT.</w:t>
            </w:r>
          </w:p>
        </w:tc>
      </w:tr>
      <w:tr w:rsidR="0013032D" w:rsidRPr="006339C9" w:rsidTr="00EC635C">
        <w:trPr>
          <w:jc w:val="center"/>
        </w:trPr>
        <w:tc>
          <w:tcPr>
            <w:tcW w:w="1519" w:type="dxa"/>
            <w:shd w:val="clear" w:color="auto" w:fill="92D050"/>
          </w:tcPr>
          <w:p w:rsidR="0013032D" w:rsidRPr="006339C9" w:rsidRDefault="0013032D" w:rsidP="00EC635C">
            <w:pPr>
              <w:rPr>
                <w:rFonts w:asciiTheme="minorHAnsi" w:hAnsiTheme="minorHAnsi"/>
                <w:b/>
                <w:bCs/>
                <w:sz w:val="22"/>
                <w:szCs w:val="22"/>
              </w:rPr>
            </w:pPr>
            <w:r w:rsidRPr="006339C9">
              <w:rPr>
                <w:rFonts w:asciiTheme="minorHAnsi" w:hAnsiTheme="minorHAnsi"/>
                <w:b/>
                <w:bCs/>
                <w:sz w:val="22"/>
                <w:szCs w:val="22"/>
              </w:rPr>
              <w:t>Productivity &amp; Innovation</w:t>
            </w:r>
          </w:p>
        </w:tc>
        <w:tc>
          <w:tcPr>
            <w:tcW w:w="7497" w:type="dxa"/>
          </w:tcPr>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Increase productivity and innovation for CIT staff, students and clients through creating innovative learning environments and embracing emerging technologies and a digital first mindset.</w:t>
            </w:r>
          </w:p>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Allow CIT to easily adapt its new flexible teaching spaces as new subjects and courses are developed to meet changing business and industry needs.</w:t>
            </w:r>
          </w:p>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 xml:space="preserve">Increase capacity to contribute to Digital Canberra. </w:t>
            </w:r>
          </w:p>
        </w:tc>
      </w:tr>
    </w:tbl>
    <w:p w:rsidR="0013032D" w:rsidRDefault="0013032D" w:rsidP="0013032D">
      <w:pPr>
        <w:spacing w:after="0"/>
        <w:jc w:val="both"/>
        <w:rPr>
          <w:rFonts w:asciiTheme="minorHAnsi" w:hAnsiTheme="minorHAnsi"/>
          <w:b/>
          <w:bCs/>
          <w:sz w:val="22"/>
          <w:szCs w:val="22"/>
        </w:rPr>
      </w:pPr>
    </w:p>
    <w:p w:rsidR="0013032D" w:rsidRDefault="0013032D" w:rsidP="0013032D">
      <w:pPr>
        <w:spacing w:after="160" w:line="259" w:lineRule="auto"/>
        <w:rPr>
          <w:rFonts w:asciiTheme="minorHAnsi" w:hAnsiTheme="minorHAnsi"/>
          <w:b/>
          <w:bCs/>
          <w:sz w:val="22"/>
          <w:szCs w:val="22"/>
        </w:rPr>
      </w:pPr>
      <w:r>
        <w:rPr>
          <w:rFonts w:asciiTheme="minorHAnsi" w:hAnsiTheme="minorHAnsi"/>
          <w:b/>
          <w:bCs/>
          <w:sz w:val="22"/>
          <w:szCs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7500"/>
      </w:tblGrid>
      <w:tr w:rsidR="0013032D" w:rsidRPr="006339C9" w:rsidTr="00EC635C">
        <w:trPr>
          <w:jc w:val="center"/>
        </w:trPr>
        <w:tc>
          <w:tcPr>
            <w:tcW w:w="1516" w:type="dxa"/>
            <w:shd w:val="clear" w:color="auto" w:fill="92D050"/>
          </w:tcPr>
          <w:p w:rsidR="0013032D" w:rsidRPr="006339C9" w:rsidRDefault="0013032D" w:rsidP="00EC635C">
            <w:pPr>
              <w:rPr>
                <w:rFonts w:asciiTheme="minorHAnsi" w:hAnsiTheme="minorHAnsi"/>
                <w:b/>
                <w:bCs/>
                <w:sz w:val="22"/>
                <w:szCs w:val="22"/>
              </w:rPr>
            </w:pPr>
            <w:r w:rsidRPr="006339C9">
              <w:rPr>
                <w:rFonts w:asciiTheme="minorHAnsi" w:hAnsiTheme="minorHAnsi"/>
                <w:b/>
                <w:bCs/>
                <w:sz w:val="22"/>
                <w:szCs w:val="22"/>
              </w:rPr>
              <w:lastRenderedPageBreak/>
              <w:t>Skills &amp; Education</w:t>
            </w:r>
          </w:p>
        </w:tc>
        <w:tc>
          <w:tcPr>
            <w:tcW w:w="7500" w:type="dxa"/>
          </w:tcPr>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Increase capacity to adapt CIT’s VET offerings to provide the skills for the future.</w:t>
            </w:r>
          </w:p>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Increase capacity to meet anticipated growth in student numbers.</w:t>
            </w:r>
          </w:p>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Increase capacity to provide online learning, blended learning, and workplace learning.</w:t>
            </w:r>
          </w:p>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Increase capacity to provide contemporary learning opportunities and increase qualification completions.</w:t>
            </w:r>
          </w:p>
        </w:tc>
      </w:tr>
      <w:tr w:rsidR="0013032D" w:rsidRPr="006339C9" w:rsidTr="00EC635C">
        <w:trPr>
          <w:jc w:val="center"/>
        </w:trPr>
        <w:tc>
          <w:tcPr>
            <w:tcW w:w="1516" w:type="dxa"/>
            <w:shd w:val="clear" w:color="auto" w:fill="92D050"/>
          </w:tcPr>
          <w:p w:rsidR="0013032D" w:rsidRPr="006339C9" w:rsidRDefault="0013032D" w:rsidP="00EC635C">
            <w:pPr>
              <w:jc w:val="both"/>
              <w:rPr>
                <w:rFonts w:asciiTheme="minorHAnsi" w:hAnsiTheme="minorHAnsi"/>
                <w:sz w:val="22"/>
                <w:szCs w:val="22"/>
              </w:rPr>
            </w:pPr>
            <w:r w:rsidRPr="006339C9">
              <w:rPr>
                <w:rFonts w:asciiTheme="minorHAnsi" w:hAnsiTheme="minorHAnsi"/>
                <w:b/>
                <w:bCs/>
                <w:sz w:val="22"/>
                <w:szCs w:val="22"/>
              </w:rPr>
              <w:t>Investment &amp; Economic Growth</w:t>
            </w:r>
          </w:p>
        </w:tc>
        <w:tc>
          <w:tcPr>
            <w:tcW w:w="7500" w:type="dxa"/>
          </w:tcPr>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Additional construction jobs associated with the construction of new CIT building and the redevelopment of surplus CIT properties.</w:t>
            </w:r>
          </w:p>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Increased education and research opportunities associated with UNSW university campus.</w:t>
            </w:r>
          </w:p>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Additional digital economy jobs through investing in digital infrastructure.</w:t>
            </w:r>
          </w:p>
        </w:tc>
      </w:tr>
    </w:tbl>
    <w:p w:rsidR="0013032D" w:rsidRPr="006339C9" w:rsidRDefault="0013032D" w:rsidP="0013032D">
      <w:pPr>
        <w:spacing w:before="120" w:after="0"/>
        <w:jc w:val="both"/>
        <w:rPr>
          <w:rFonts w:asciiTheme="minorHAnsi" w:hAnsiTheme="minorHAnsi"/>
          <w:b/>
          <w:bCs/>
          <w:sz w:val="22"/>
          <w:szCs w:val="22"/>
        </w:rPr>
      </w:pPr>
      <w:r w:rsidRPr="006339C9">
        <w:rPr>
          <w:rFonts w:asciiTheme="minorHAnsi" w:hAnsiTheme="minorHAnsi"/>
          <w:b/>
          <w:bCs/>
          <w:sz w:val="22"/>
          <w:szCs w:val="22"/>
        </w:rPr>
        <w:t>Environmental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7514"/>
      </w:tblGrid>
      <w:tr w:rsidR="0013032D" w:rsidRPr="006339C9" w:rsidTr="00EC635C">
        <w:trPr>
          <w:jc w:val="center"/>
        </w:trPr>
        <w:tc>
          <w:tcPr>
            <w:tcW w:w="1526" w:type="dxa"/>
            <w:shd w:val="clear" w:color="auto" w:fill="92D050"/>
          </w:tcPr>
          <w:p w:rsidR="0013032D" w:rsidRPr="006339C9" w:rsidRDefault="0013032D" w:rsidP="00EC635C">
            <w:pPr>
              <w:jc w:val="both"/>
              <w:rPr>
                <w:rFonts w:asciiTheme="minorHAnsi" w:hAnsiTheme="minorHAnsi"/>
                <w:b/>
                <w:bCs/>
                <w:sz w:val="22"/>
                <w:szCs w:val="22"/>
              </w:rPr>
            </w:pPr>
            <w:r w:rsidRPr="006339C9">
              <w:rPr>
                <w:rFonts w:asciiTheme="minorHAnsi" w:hAnsiTheme="minorHAnsi"/>
                <w:b/>
                <w:bCs/>
                <w:sz w:val="22"/>
                <w:szCs w:val="22"/>
              </w:rPr>
              <w:t>Energy</w:t>
            </w:r>
          </w:p>
          <w:p w:rsidR="0013032D" w:rsidRPr="006339C9" w:rsidRDefault="0013032D" w:rsidP="00EC635C">
            <w:pPr>
              <w:jc w:val="both"/>
              <w:rPr>
                <w:rFonts w:asciiTheme="minorHAnsi" w:hAnsiTheme="minorHAnsi"/>
                <w:sz w:val="22"/>
                <w:szCs w:val="22"/>
              </w:rPr>
            </w:pPr>
          </w:p>
        </w:tc>
        <w:tc>
          <w:tcPr>
            <w:tcW w:w="7716" w:type="dxa"/>
          </w:tcPr>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 xml:space="preserve">CIT will address the objectives of the Carbon Neutral Government Framework and other climate change policies.  </w:t>
            </w:r>
          </w:p>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Reduce CIT’s overall spatial and environmental footprint.</w:t>
            </w:r>
          </w:p>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Improve energy efficiency and utilisation.</w:t>
            </w:r>
          </w:p>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Reduce greenhouse gas emissions with more energy efficient buildings.</w:t>
            </w:r>
          </w:p>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Reduce overall campus site area and therefore reduce water usage.</w:t>
            </w:r>
          </w:p>
          <w:p w:rsidR="0013032D" w:rsidRPr="006339C9" w:rsidRDefault="0013032D" w:rsidP="00EC635C">
            <w:pPr>
              <w:numPr>
                <w:ilvl w:val="0"/>
                <w:numId w:val="1"/>
              </w:numPr>
              <w:spacing w:after="0" w:line="240" w:lineRule="auto"/>
              <w:ind w:left="360"/>
              <w:rPr>
                <w:rFonts w:asciiTheme="minorHAnsi" w:hAnsiTheme="minorHAnsi"/>
                <w:sz w:val="22"/>
                <w:szCs w:val="22"/>
              </w:rPr>
            </w:pPr>
            <w:r w:rsidRPr="006339C9">
              <w:rPr>
                <w:rFonts w:asciiTheme="minorHAnsi" w:hAnsiTheme="minorHAnsi"/>
                <w:sz w:val="22"/>
                <w:szCs w:val="22"/>
              </w:rPr>
              <w:t>Reduce waste.</w:t>
            </w:r>
          </w:p>
        </w:tc>
      </w:tr>
    </w:tbl>
    <w:p w:rsidR="0013032D" w:rsidRDefault="0013032D" w:rsidP="0013032D">
      <w:pPr>
        <w:spacing w:after="120"/>
        <w:jc w:val="both"/>
        <w:rPr>
          <w:rFonts w:asciiTheme="minorHAnsi" w:hAnsiTheme="minorHAnsi"/>
          <w:sz w:val="22"/>
          <w:szCs w:val="22"/>
        </w:rPr>
      </w:pPr>
    </w:p>
    <w:p w:rsidR="004B5ACA" w:rsidRDefault="004B5ACA"/>
    <w:sectPr w:rsidR="004B5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576A1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32D"/>
    <w:rsid w:val="0013032D"/>
    <w:rsid w:val="00211FD6"/>
    <w:rsid w:val="004B5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BC6DD-9E9A-47C0-93B7-3597DD37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32D"/>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18/17 CIT Campus Modernisation Strategy</dc:title>
  <dc:subject>18/17 CIT Campus Modernisation Strategy</dc:subject>
  <dc:creator>ACT Government</dc:creator>
  <cp:keywords/>
  <dc:description/>
  <cp:lastModifiedBy>Maniacherry, Ponnu</cp:lastModifiedBy>
  <cp:revision>2</cp:revision>
  <dcterms:created xsi:type="dcterms:W3CDTF">2018-06-04T00:26:00Z</dcterms:created>
  <dcterms:modified xsi:type="dcterms:W3CDTF">2018-06-04T07:00:00Z</dcterms:modified>
</cp:coreProperties>
</file>