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E0526" w14:textId="77777777" w:rsidR="00485A7C" w:rsidRPr="00D03C1B" w:rsidRDefault="00485A7C" w:rsidP="00485A7C">
      <w:pPr>
        <w:spacing w:after="120"/>
        <w:jc w:val="both"/>
        <w:rPr>
          <w:b/>
          <w:bCs/>
          <w:sz w:val="21"/>
          <w:szCs w:val="21"/>
        </w:rPr>
      </w:pPr>
      <w:bookmarkStart w:id="0" w:name="_GoBack"/>
      <w:bookmarkEnd w:id="0"/>
      <w:r>
        <w:rPr>
          <w:b/>
          <w:bCs/>
          <w:sz w:val="21"/>
          <w:szCs w:val="21"/>
        </w:rPr>
        <w:t xml:space="preserve">18/014 - </w:t>
      </w:r>
      <w:r w:rsidRPr="00D03C1B">
        <w:rPr>
          <w:b/>
          <w:bCs/>
          <w:sz w:val="21"/>
          <w:szCs w:val="21"/>
        </w:rPr>
        <w:t>Minister’s Creative Council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485A7C" w:rsidRPr="00D03C1B" w14:paraId="594E0528" w14:textId="77777777" w:rsidTr="00BC512C">
        <w:trPr>
          <w:jc w:val="center"/>
        </w:trPr>
        <w:tc>
          <w:tcPr>
            <w:tcW w:w="9105" w:type="dxa"/>
          </w:tcPr>
          <w:p w14:paraId="594E0527" w14:textId="77777777" w:rsidR="00485A7C" w:rsidRPr="00D03C1B" w:rsidRDefault="00485A7C" w:rsidP="00E808B9">
            <w:pPr>
              <w:spacing w:before="120" w:after="120" w:line="240" w:lineRule="auto"/>
              <w:jc w:val="both"/>
              <w:rPr>
                <w:b/>
                <w:bCs/>
                <w:sz w:val="21"/>
                <w:szCs w:val="21"/>
              </w:rPr>
            </w:pPr>
            <w:r w:rsidRPr="00D03C1B">
              <w:rPr>
                <w:b/>
                <w:bCs/>
                <w:sz w:val="21"/>
                <w:szCs w:val="21"/>
              </w:rPr>
              <w:t>Summary of Impacts</w:t>
            </w:r>
          </w:p>
        </w:tc>
      </w:tr>
      <w:tr w:rsidR="00485A7C" w:rsidRPr="00D03C1B" w14:paraId="594E052C" w14:textId="77777777" w:rsidTr="00BC512C">
        <w:trPr>
          <w:jc w:val="center"/>
        </w:trPr>
        <w:tc>
          <w:tcPr>
            <w:tcW w:w="9105" w:type="dxa"/>
          </w:tcPr>
          <w:p w14:paraId="594E0529" w14:textId="77777777" w:rsidR="00485A7C" w:rsidRPr="00D03C1B" w:rsidRDefault="00485A7C" w:rsidP="00E808B9">
            <w:pPr>
              <w:numPr>
                <w:ilvl w:val="0"/>
                <w:numId w:val="2"/>
              </w:numPr>
              <w:spacing w:before="120" w:after="120" w:line="240" w:lineRule="auto"/>
              <w:ind w:left="454" w:hanging="283"/>
              <w:rPr>
                <w:sz w:val="21"/>
                <w:szCs w:val="21"/>
              </w:rPr>
            </w:pPr>
            <w:r w:rsidRPr="00D03C1B">
              <w:rPr>
                <w:sz w:val="21"/>
                <w:szCs w:val="21"/>
              </w:rPr>
              <w:t>The Minister’s Creative Council (MCC) will ensure inclusion of a broad range of views directly from the community in ACT Government policy development.</w:t>
            </w:r>
          </w:p>
          <w:p w14:paraId="594E052A" w14:textId="77777777" w:rsidR="00485A7C" w:rsidRPr="00D03C1B" w:rsidRDefault="00485A7C" w:rsidP="00E808B9">
            <w:pPr>
              <w:numPr>
                <w:ilvl w:val="0"/>
                <w:numId w:val="2"/>
              </w:numPr>
              <w:spacing w:before="120" w:after="120" w:line="240" w:lineRule="auto"/>
              <w:ind w:left="454" w:hanging="283"/>
              <w:rPr>
                <w:sz w:val="21"/>
                <w:szCs w:val="21"/>
              </w:rPr>
            </w:pPr>
            <w:r w:rsidRPr="00D03C1B">
              <w:rPr>
                <w:sz w:val="21"/>
                <w:szCs w:val="21"/>
              </w:rPr>
              <w:t xml:space="preserve">It is anticipated that the MCC will contribute to new initiatives in the arts that will improve the wellbeing of participants and contribute to the liveability of the city. </w:t>
            </w:r>
          </w:p>
          <w:p w14:paraId="594E052B" w14:textId="77777777" w:rsidR="00485A7C" w:rsidRPr="00D03C1B" w:rsidRDefault="00485A7C" w:rsidP="00E808B9">
            <w:pPr>
              <w:numPr>
                <w:ilvl w:val="0"/>
                <w:numId w:val="2"/>
              </w:numPr>
              <w:spacing w:before="120" w:after="120" w:line="240" w:lineRule="auto"/>
              <w:ind w:left="454" w:hanging="283"/>
              <w:rPr>
                <w:sz w:val="21"/>
                <w:szCs w:val="21"/>
              </w:rPr>
            </w:pPr>
            <w:r w:rsidRPr="00D03C1B">
              <w:rPr>
                <w:sz w:val="21"/>
                <w:szCs w:val="21"/>
              </w:rPr>
              <w:t>The arts play a role in contributing to the ACT Economy. It is anticipated that the activities of the MCC will have a minimal measurable economic impact.</w:t>
            </w:r>
          </w:p>
        </w:tc>
      </w:tr>
    </w:tbl>
    <w:p w14:paraId="594E052D" w14:textId="77777777" w:rsidR="00485A7C" w:rsidRPr="00D03C1B" w:rsidRDefault="00485A7C" w:rsidP="00485A7C">
      <w:pPr>
        <w:spacing w:after="120"/>
        <w:rPr>
          <w:i/>
          <w:sz w:val="21"/>
          <w:szCs w:val="21"/>
        </w:rPr>
      </w:pPr>
      <w:r w:rsidRPr="00D03C1B">
        <w:rPr>
          <w:i/>
          <w:sz w:val="21"/>
          <w:szCs w:val="21"/>
        </w:rPr>
        <w:t>Key to impacts: Red – negative, Blue - neutral and Green - positive.</w:t>
      </w:r>
    </w:p>
    <w:p w14:paraId="594E052E" w14:textId="77777777" w:rsidR="00485A7C" w:rsidRPr="00D03C1B" w:rsidRDefault="00485A7C" w:rsidP="00485A7C">
      <w:pPr>
        <w:spacing w:after="0"/>
        <w:jc w:val="both"/>
        <w:rPr>
          <w:b/>
          <w:bCs/>
          <w:sz w:val="21"/>
          <w:szCs w:val="21"/>
        </w:rPr>
      </w:pPr>
      <w:r w:rsidRPr="00D03C1B">
        <w:rPr>
          <w:b/>
          <w:bCs/>
          <w:sz w:val="21"/>
          <w:szCs w:val="21"/>
        </w:rPr>
        <w:t>Social</w:t>
      </w:r>
    </w:p>
    <w:p w14:paraId="594E052F" w14:textId="77777777" w:rsidR="00485A7C" w:rsidRPr="00D03C1B" w:rsidRDefault="00485A7C" w:rsidP="00485A7C">
      <w:pPr>
        <w:spacing w:after="120"/>
        <w:rPr>
          <w:sz w:val="21"/>
          <w:szCs w:val="21"/>
        </w:rPr>
      </w:pPr>
      <w:r w:rsidRPr="00D03C1B">
        <w:rPr>
          <w:sz w:val="21"/>
          <w:szCs w:val="21"/>
        </w:rPr>
        <w:t xml:space="preserve">Measurability of the direct positive but minimal social impacts associated with the MCC may be unquantifiable, given their role as an advisory mechanism. </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15"/>
        <w:gridCol w:w="9"/>
        <w:gridCol w:w="7492"/>
      </w:tblGrid>
      <w:tr w:rsidR="00485A7C" w:rsidRPr="00D03C1B" w14:paraId="594E0532" w14:textId="77777777" w:rsidTr="00BC512C">
        <w:trPr>
          <w:jc w:val="center"/>
        </w:trPr>
        <w:tc>
          <w:tcPr>
            <w:tcW w:w="1515" w:type="dxa"/>
            <w:shd w:val="clear" w:color="auto" w:fill="92D050"/>
          </w:tcPr>
          <w:p w14:paraId="594E0530" w14:textId="77777777" w:rsidR="00485A7C" w:rsidRPr="00D03C1B" w:rsidRDefault="00485A7C" w:rsidP="00E808B9">
            <w:pPr>
              <w:shd w:val="clear" w:color="auto" w:fill="92D050"/>
              <w:spacing w:before="120" w:after="120" w:line="240" w:lineRule="auto"/>
              <w:rPr>
                <w:b/>
                <w:sz w:val="21"/>
                <w:szCs w:val="21"/>
              </w:rPr>
            </w:pPr>
            <w:r w:rsidRPr="00D03C1B">
              <w:rPr>
                <w:b/>
                <w:bCs/>
                <w:sz w:val="21"/>
                <w:szCs w:val="21"/>
              </w:rPr>
              <w:t>Community and Individual Health</w:t>
            </w:r>
          </w:p>
        </w:tc>
        <w:tc>
          <w:tcPr>
            <w:tcW w:w="7501" w:type="dxa"/>
            <w:gridSpan w:val="2"/>
          </w:tcPr>
          <w:p w14:paraId="594E0531" w14:textId="77777777" w:rsidR="00485A7C" w:rsidRPr="00D03C1B" w:rsidRDefault="00485A7C" w:rsidP="00E808B9">
            <w:pPr>
              <w:pStyle w:val="ListParagraph"/>
              <w:numPr>
                <w:ilvl w:val="0"/>
                <w:numId w:val="3"/>
              </w:numPr>
              <w:spacing w:before="120" w:after="120" w:line="240" w:lineRule="auto"/>
              <w:ind w:left="215" w:hanging="215"/>
              <w:contextualSpacing w:val="0"/>
              <w:rPr>
                <w:b/>
                <w:sz w:val="21"/>
                <w:szCs w:val="21"/>
              </w:rPr>
            </w:pPr>
            <w:r w:rsidRPr="00D03C1B">
              <w:rPr>
                <w:sz w:val="21"/>
                <w:szCs w:val="21"/>
              </w:rPr>
              <w:t>Engagement through the arts improves wellbeing for individuals and communities. Through enhancing the arts in the ACT, the MCC would encourage extrinsic benefits for those involved in arts activities. Establishment of the MCC will ensure community involvement in decision making and improve public perception of transparent governance.</w:t>
            </w:r>
          </w:p>
        </w:tc>
      </w:tr>
      <w:tr w:rsidR="00485A7C" w:rsidRPr="00D03C1B" w14:paraId="594E0535" w14:textId="77777777" w:rsidTr="00BC512C">
        <w:trPr>
          <w:jc w:val="center"/>
        </w:trPr>
        <w:tc>
          <w:tcPr>
            <w:tcW w:w="1515" w:type="dxa"/>
            <w:shd w:val="clear" w:color="auto" w:fill="92D050"/>
          </w:tcPr>
          <w:p w14:paraId="594E0533" w14:textId="77777777" w:rsidR="00485A7C" w:rsidRPr="00D03C1B" w:rsidRDefault="00485A7C" w:rsidP="00E808B9">
            <w:pPr>
              <w:shd w:val="clear" w:color="auto" w:fill="92D050"/>
              <w:spacing w:before="120" w:after="120" w:line="240" w:lineRule="auto"/>
              <w:rPr>
                <w:b/>
                <w:sz w:val="21"/>
                <w:szCs w:val="21"/>
              </w:rPr>
            </w:pPr>
            <w:r w:rsidRPr="00D03C1B">
              <w:rPr>
                <w:b/>
                <w:bCs/>
                <w:sz w:val="21"/>
                <w:szCs w:val="21"/>
              </w:rPr>
              <w:t>Access to Services</w:t>
            </w:r>
          </w:p>
        </w:tc>
        <w:tc>
          <w:tcPr>
            <w:tcW w:w="7501" w:type="dxa"/>
            <w:gridSpan w:val="2"/>
          </w:tcPr>
          <w:p w14:paraId="594E0534" w14:textId="77777777" w:rsidR="00485A7C" w:rsidRPr="00D03C1B" w:rsidRDefault="00485A7C" w:rsidP="00E808B9">
            <w:pPr>
              <w:numPr>
                <w:ilvl w:val="0"/>
                <w:numId w:val="1"/>
              </w:numPr>
              <w:spacing w:before="120" w:after="120" w:line="240" w:lineRule="auto"/>
              <w:ind w:left="215" w:hanging="215"/>
              <w:rPr>
                <w:sz w:val="21"/>
                <w:szCs w:val="21"/>
              </w:rPr>
            </w:pPr>
            <w:r w:rsidRPr="00D03C1B">
              <w:rPr>
                <w:sz w:val="21"/>
                <w:szCs w:val="21"/>
              </w:rPr>
              <w:t xml:space="preserve">The work of the MCC may focus on ideas for improving accessibility to the arts for the Canberra community. </w:t>
            </w:r>
          </w:p>
        </w:tc>
      </w:tr>
      <w:tr w:rsidR="00485A7C" w:rsidRPr="00D03C1B" w14:paraId="594E0539" w14:textId="77777777" w:rsidTr="00BC512C">
        <w:trPr>
          <w:jc w:val="center"/>
        </w:trPr>
        <w:tc>
          <w:tcPr>
            <w:tcW w:w="1515" w:type="dxa"/>
            <w:shd w:val="clear" w:color="auto" w:fill="92D050"/>
          </w:tcPr>
          <w:p w14:paraId="594E0536" w14:textId="77777777" w:rsidR="00485A7C" w:rsidRPr="00D03C1B" w:rsidRDefault="00485A7C" w:rsidP="00E808B9">
            <w:pPr>
              <w:shd w:val="clear" w:color="auto" w:fill="92D050"/>
              <w:spacing w:before="120" w:after="120" w:line="240" w:lineRule="auto"/>
              <w:rPr>
                <w:b/>
                <w:sz w:val="21"/>
                <w:szCs w:val="21"/>
              </w:rPr>
            </w:pPr>
            <w:r w:rsidRPr="00D03C1B">
              <w:rPr>
                <w:b/>
                <w:bCs/>
                <w:sz w:val="21"/>
                <w:szCs w:val="21"/>
              </w:rPr>
              <w:t>Access to social networks and community activities</w:t>
            </w:r>
          </w:p>
        </w:tc>
        <w:tc>
          <w:tcPr>
            <w:tcW w:w="7501" w:type="dxa"/>
            <w:gridSpan w:val="2"/>
          </w:tcPr>
          <w:p w14:paraId="594E0537" w14:textId="77777777" w:rsidR="00485A7C" w:rsidRPr="00D03C1B" w:rsidRDefault="00485A7C" w:rsidP="00E808B9">
            <w:pPr>
              <w:numPr>
                <w:ilvl w:val="0"/>
                <w:numId w:val="1"/>
              </w:numPr>
              <w:spacing w:before="120" w:after="120" w:line="240" w:lineRule="auto"/>
              <w:ind w:left="215" w:hanging="215"/>
              <w:rPr>
                <w:sz w:val="21"/>
                <w:szCs w:val="21"/>
              </w:rPr>
            </w:pPr>
            <w:r w:rsidRPr="00D03C1B">
              <w:rPr>
                <w:sz w:val="21"/>
                <w:szCs w:val="21"/>
              </w:rPr>
              <w:t>The MCC will enhance the activity of the arts sector and provide opportunities for its members to network within the ACT arts community.</w:t>
            </w:r>
          </w:p>
          <w:p w14:paraId="594E0538" w14:textId="77777777" w:rsidR="00485A7C" w:rsidRPr="00D03C1B" w:rsidRDefault="00485A7C" w:rsidP="00E808B9">
            <w:pPr>
              <w:numPr>
                <w:ilvl w:val="0"/>
                <w:numId w:val="1"/>
              </w:numPr>
              <w:spacing w:before="120" w:after="120" w:line="240" w:lineRule="auto"/>
              <w:ind w:left="215" w:hanging="215"/>
              <w:rPr>
                <w:sz w:val="21"/>
                <w:szCs w:val="21"/>
              </w:rPr>
            </w:pPr>
            <w:r w:rsidRPr="00D03C1B">
              <w:rPr>
                <w:sz w:val="21"/>
                <w:szCs w:val="21"/>
              </w:rPr>
              <w:t>Opportunities for inclusion in the arts promotes social connectivity.</w:t>
            </w:r>
          </w:p>
        </w:tc>
      </w:tr>
      <w:tr w:rsidR="00485A7C" w:rsidRPr="00D03C1B" w14:paraId="594E053D" w14:textId="77777777" w:rsidTr="00BC512C">
        <w:trPr>
          <w:jc w:val="center"/>
        </w:trPr>
        <w:tc>
          <w:tcPr>
            <w:tcW w:w="1524" w:type="dxa"/>
            <w:gridSpan w:val="2"/>
            <w:shd w:val="clear" w:color="auto" w:fill="92D050"/>
          </w:tcPr>
          <w:p w14:paraId="594E053A" w14:textId="77777777" w:rsidR="00485A7C" w:rsidRPr="00D03C1B" w:rsidRDefault="00485A7C" w:rsidP="00E808B9">
            <w:pPr>
              <w:spacing w:beforeLines="40" w:before="96" w:after="120" w:line="240" w:lineRule="auto"/>
              <w:rPr>
                <w:b/>
                <w:sz w:val="21"/>
                <w:szCs w:val="21"/>
              </w:rPr>
            </w:pPr>
            <w:r w:rsidRPr="00D03C1B">
              <w:rPr>
                <w:b/>
                <w:sz w:val="21"/>
                <w:szCs w:val="21"/>
              </w:rPr>
              <w:t>Gender</w:t>
            </w:r>
          </w:p>
        </w:tc>
        <w:tc>
          <w:tcPr>
            <w:tcW w:w="7492" w:type="dxa"/>
            <w:vMerge w:val="restart"/>
          </w:tcPr>
          <w:p w14:paraId="594E053B" w14:textId="77777777" w:rsidR="00485A7C" w:rsidRPr="00D03C1B" w:rsidRDefault="00485A7C" w:rsidP="00E808B9">
            <w:pPr>
              <w:numPr>
                <w:ilvl w:val="0"/>
                <w:numId w:val="1"/>
              </w:numPr>
              <w:spacing w:before="120" w:after="120" w:line="240" w:lineRule="auto"/>
              <w:ind w:left="206" w:hanging="206"/>
              <w:rPr>
                <w:sz w:val="21"/>
                <w:szCs w:val="21"/>
              </w:rPr>
            </w:pPr>
            <w:r w:rsidRPr="00D03C1B">
              <w:rPr>
                <w:sz w:val="21"/>
                <w:szCs w:val="21"/>
              </w:rPr>
              <w:t xml:space="preserve">The MCC’s support for the arts may encourage further activity and engagement for marginalised individuals and communities. </w:t>
            </w:r>
          </w:p>
          <w:p w14:paraId="594E053C" w14:textId="77777777" w:rsidR="00485A7C" w:rsidRPr="00D03C1B" w:rsidRDefault="00485A7C" w:rsidP="00E808B9">
            <w:pPr>
              <w:numPr>
                <w:ilvl w:val="0"/>
                <w:numId w:val="1"/>
              </w:numPr>
              <w:spacing w:before="120" w:after="120" w:line="240" w:lineRule="auto"/>
              <w:ind w:left="206" w:hanging="206"/>
              <w:rPr>
                <w:sz w:val="21"/>
                <w:szCs w:val="21"/>
              </w:rPr>
            </w:pPr>
            <w:r w:rsidRPr="00D03C1B">
              <w:rPr>
                <w:sz w:val="21"/>
                <w:szCs w:val="21"/>
              </w:rPr>
              <w:t xml:space="preserve">For Aboriginal and Torres Strait Islander peoples, the arts is an essential way of expressing and developing their unique cultures. Representation on the MCC by Aboriginal and Torres Strait Islander peoples will support Section 27(2) of the </w:t>
            </w:r>
            <w:r w:rsidRPr="006D51D2">
              <w:rPr>
                <w:i/>
                <w:sz w:val="21"/>
                <w:szCs w:val="21"/>
              </w:rPr>
              <w:t>Human Rights Act 2004</w:t>
            </w:r>
            <w:r w:rsidRPr="00D03C1B">
              <w:rPr>
                <w:sz w:val="21"/>
                <w:szCs w:val="21"/>
              </w:rPr>
              <w:t xml:space="preserve"> (ACT) asserting the rights of Aboriginal and Torres Strait Islander peoples to maintain, control, protect and develop their cultural heritage.</w:t>
            </w:r>
          </w:p>
        </w:tc>
      </w:tr>
      <w:tr w:rsidR="00485A7C" w:rsidRPr="00D03C1B" w14:paraId="594E0540" w14:textId="77777777" w:rsidTr="00BC512C">
        <w:trPr>
          <w:jc w:val="center"/>
        </w:trPr>
        <w:tc>
          <w:tcPr>
            <w:tcW w:w="1524" w:type="dxa"/>
            <w:gridSpan w:val="2"/>
            <w:shd w:val="clear" w:color="auto" w:fill="92D050"/>
          </w:tcPr>
          <w:p w14:paraId="594E053E" w14:textId="77777777" w:rsidR="00485A7C" w:rsidRPr="00D03C1B" w:rsidRDefault="00485A7C" w:rsidP="00E808B9">
            <w:pPr>
              <w:spacing w:beforeLines="40" w:before="96" w:after="120" w:line="240" w:lineRule="auto"/>
              <w:rPr>
                <w:b/>
                <w:sz w:val="21"/>
                <w:szCs w:val="21"/>
              </w:rPr>
            </w:pPr>
            <w:r w:rsidRPr="00D03C1B">
              <w:rPr>
                <w:b/>
                <w:sz w:val="21"/>
                <w:szCs w:val="21"/>
              </w:rPr>
              <w:t>Indigenous and multicultural</w:t>
            </w:r>
          </w:p>
        </w:tc>
        <w:tc>
          <w:tcPr>
            <w:tcW w:w="7492" w:type="dxa"/>
            <w:vMerge/>
          </w:tcPr>
          <w:p w14:paraId="594E053F" w14:textId="77777777" w:rsidR="00485A7C" w:rsidRPr="00D03C1B" w:rsidRDefault="00485A7C" w:rsidP="00E808B9">
            <w:pPr>
              <w:numPr>
                <w:ilvl w:val="0"/>
                <w:numId w:val="1"/>
              </w:numPr>
              <w:spacing w:before="120" w:after="120" w:line="240" w:lineRule="auto"/>
              <w:ind w:left="360"/>
              <w:rPr>
                <w:sz w:val="21"/>
                <w:szCs w:val="21"/>
              </w:rPr>
            </w:pPr>
          </w:p>
        </w:tc>
      </w:tr>
      <w:tr w:rsidR="00485A7C" w:rsidRPr="00D03C1B" w14:paraId="594E0543" w14:textId="77777777" w:rsidTr="00BC512C">
        <w:trPr>
          <w:jc w:val="center"/>
        </w:trPr>
        <w:tc>
          <w:tcPr>
            <w:tcW w:w="1524" w:type="dxa"/>
            <w:gridSpan w:val="2"/>
            <w:shd w:val="clear" w:color="auto" w:fill="92D050"/>
          </w:tcPr>
          <w:p w14:paraId="594E0541" w14:textId="77777777" w:rsidR="00485A7C" w:rsidRPr="00D03C1B" w:rsidRDefault="00485A7C" w:rsidP="00E808B9">
            <w:pPr>
              <w:spacing w:beforeLines="40" w:before="96" w:after="120" w:line="240" w:lineRule="auto"/>
              <w:rPr>
                <w:b/>
                <w:sz w:val="21"/>
                <w:szCs w:val="21"/>
              </w:rPr>
            </w:pPr>
            <w:r w:rsidRPr="00D03C1B">
              <w:rPr>
                <w:b/>
                <w:sz w:val="21"/>
                <w:szCs w:val="21"/>
              </w:rPr>
              <w:t>Impacts on different age groups</w:t>
            </w:r>
          </w:p>
        </w:tc>
        <w:tc>
          <w:tcPr>
            <w:tcW w:w="7492" w:type="dxa"/>
            <w:vMerge/>
          </w:tcPr>
          <w:p w14:paraId="594E0542" w14:textId="77777777" w:rsidR="00485A7C" w:rsidRPr="00D03C1B" w:rsidRDefault="00485A7C" w:rsidP="00E808B9">
            <w:pPr>
              <w:numPr>
                <w:ilvl w:val="0"/>
                <w:numId w:val="1"/>
              </w:numPr>
              <w:spacing w:before="120" w:after="120" w:line="240" w:lineRule="auto"/>
              <w:ind w:left="360"/>
              <w:rPr>
                <w:sz w:val="21"/>
                <w:szCs w:val="21"/>
              </w:rPr>
            </w:pPr>
          </w:p>
        </w:tc>
      </w:tr>
      <w:tr w:rsidR="00485A7C" w:rsidRPr="00D03C1B" w14:paraId="594E0546" w14:textId="77777777" w:rsidTr="00BC512C">
        <w:trPr>
          <w:jc w:val="center"/>
        </w:trPr>
        <w:tc>
          <w:tcPr>
            <w:tcW w:w="1524" w:type="dxa"/>
            <w:gridSpan w:val="2"/>
            <w:shd w:val="clear" w:color="auto" w:fill="92D050"/>
          </w:tcPr>
          <w:p w14:paraId="594E0544" w14:textId="77777777" w:rsidR="00485A7C" w:rsidRPr="00D03C1B" w:rsidRDefault="00485A7C" w:rsidP="00E808B9">
            <w:pPr>
              <w:spacing w:beforeLines="40" w:before="96" w:after="120" w:line="240" w:lineRule="auto"/>
              <w:rPr>
                <w:b/>
                <w:sz w:val="21"/>
                <w:szCs w:val="21"/>
              </w:rPr>
            </w:pPr>
            <w:r w:rsidRPr="00D03C1B">
              <w:rPr>
                <w:b/>
                <w:sz w:val="21"/>
                <w:szCs w:val="21"/>
              </w:rPr>
              <w:t>Disability</w:t>
            </w:r>
          </w:p>
        </w:tc>
        <w:tc>
          <w:tcPr>
            <w:tcW w:w="7492" w:type="dxa"/>
            <w:vMerge/>
          </w:tcPr>
          <w:p w14:paraId="594E0545" w14:textId="77777777" w:rsidR="00485A7C" w:rsidRPr="00D03C1B" w:rsidRDefault="00485A7C" w:rsidP="00E808B9">
            <w:pPr>
              <w:numPr>
                <w:ilvl w:val="0"/>
                <w:numId w:val="1"/>
              </w:numPr>
              <w:spacing w:before="120" w:after="120" w:line="240" w:lineRule="auto"/>
              <w:ind w:left="360"/>
              <w:rPr>
                <w:sz w:val="21"/>
                <w:szCs w:val="21"/>
              </w:rPr>
            </w:pPr>
          </w:p>
        </w:tc>
      </w:tr>
      <w:tr w:rsidR="00485A7C" w:rsidRPr="00D03C1B" w14:paraId="594E0549" w14:textId="77777777" w:rsidTr="00BC512C">
        <w:trPr>
          <w:jc w:val="center"/>
        </w:trPr>
        <w:tc>
          <w:tcPr>
            <w:tcW w:w="1524" w:type="dxa"/>
            <w:gridSpan w:val="2"/>
            <w:shd w:val="clear" w:color="auto" w:fill="92D050"/>
          </w:tcPr>
          <w:p w14:paraId="594E0547" w14:textId="77777777" w:rsidR="00485A7C" w:rsidRPr="00D03C1B" w:rsidRDefault="00485A7C" w:rsidP="00E808B9">
            <w:pPr>
              <w:spacing w:beforeLines="40" w:before="96" w:after="120" w:line="240" w:lineRule="auto"/>
              <w:rPr>
                <w:b/>
                <w:sz w:val="21"/>
                <w:szCs w:val="21"/>
              </w:rPr>
            </w:pPr>
            <w:r w:rsidRPr="00D03C1B">
              <w:rPr>
                <w:b/>
                <w:sz w:val="21"/>
                <w:szCs w:val="21"/>
              </w:rPr>
              <w:t>Disadvantaged and vulnerable</w:t>
            </w:r>
          </w:p>
        </w:tc>
        <w:tc>
          <w:tcPr>
            <w:tcW w:w="7492" w:type="dxa"/>
            <w:vMerge/>
          </w:tcPr>
          <w:p w14:paraId="594E0548" w14:textId="77777777" w:rsidR="00485A7C" w:rsidRPr="00D03C1B" w:rsidRDefault="00485A7C" w:rsidP="00E808B9">
            <w:pPr>
              <w:numPr>
                <w:ilvl w:val="0"/>
                <w:numId w:val="1"/>
              </w:numPr>
              <w:spacing w:before="120" w:after="120" w:line="240" w:lineRule="auto"/>
              <w:ind w:left="360"/>
              <w:rPr>
                <w:sz w:val="21"/>
                <w:szCs w:val="21"/>
              </w:rPr>
            </w:pPr>
          </w:p>
        </w:tc>
      </w:tr>
    </w:tbl>
    <w:p w14:paraId="594E054A" w14:textId="77777777" w:rsidR="00485A7C" w:rsidRPr="00D03C1B" w:rsidRDefault="00485A7C" w:rsidP="00485A7C">
      <w:pPr>
        <w:spacing w:before="120" w:after="0"/>
        <w:jc w:val="both"/>
        <w:rPr>
          <w:b/>
          <w:bCs/>
          <w:sz w:val="21"/>
          <w:szCs w:val="21"/>
        </w:rPr>
      </w:pPr>
      <w:r w:rsidRPr="00D03C1B">
        <w:rPr>
          <w:b/>
          <w:bCs/>
          <w:sz w:val="21"/>
          <w:szCs w:val="21"/>
        </w:rPr>
        <w:t>Economic</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19"/>
        <w:gridCol w:w="7497"/>
      </w:tblGrid>
      <w:tr w:rsidR="00485A7C" w:rsidRPr="00D03C1B" w14:paraId="594E054D" w14:textId="77777777" w:rsidTr="00E808B9">
        <w:trPr>
          <w:jc w:val="center"/>
        </w:trPr>
        <w:tc>
          <w:tcPr>
            <w:tcW w:w="1518" w:type="dxa"/>
            <w:shd w:val="clear" w:color="auto" w:fill="0070C0"/>
          </w:tcPr>
          <w:p w14:paraId="594E054B" w14:textId="77777777" w:rsidR="00485A7C" w:rsidRPr="00D03C1B" w:rsidRDefault="00485A7C" w:rsidP="00E808B9">
            <w:pPr>
              <w:spacing w:before="120" w:after="120" w:line="240" w:lineRule="auto"/>
              <w:rPr>
                <w:sz w:val="21"/>
                <w:szCs w:val="21"/>
              </w:rPr>
            </w:pPr>
            <w:r w:rsidRPr="00D03C1B">
              <w:rPr>
                <w:b/>
                <w:bCs/>
                <w:sz w:val="21"/>
                <w:szCs w:val="21"/>
              </w:rPr>
              <w:t>ACT Government Budget</w:t>
            </w:r>
          </w:p>
        </w:tc>
        <w:tc>
          <w:tcPr>
            <w:tcW w:w="7498" w:type="dxa"/>
          </w:tcPr>
          <w:p w14:paraId="594E054C" w14:textId="77777777" w:rsidR="00485A7C" w:rsidRPr="00D03C1B" w:rsidRDefault="00485A7C" w:rsidP="00E808B9">
            <w:pPr>
              <w:numPr>
                <w:ilvl w:val="0"/>
                <w:numId w:val="1"/>
              </w:numPr>
              <w:spacing w:before="120" w:after="120" w:line="240" w:lineRule="auto"/>
              <w:ind w:left="211" w:hanging="211"/>
              <w:rPr>
                <w:sz w:val="21"/>
                <w:szCs w:val="21"/>
              </w:rPr>
            </w:pPr>
            <w:r w:rsidRPr="00D03C1B">
              <w:rPr>
                <w:sz w:val="21"/>
                <w:szCs w:val="21"/>
              </w:rPr>
              <w:t xml:space="preserve">There is no new impact to the ACT Government Budget, costs associated with the MCC will be absorbed in the current resourcing for artsACT. </w:t>
            </w:r>
          </w:p>
        </w:tc>
      </w:tr>
      <w:tr w:rsidR="00485A7C" w:rsidRPr="00D03C1B" w14:paraId="594E0554" w14:textId="77777777" w:rsidTr="00E808B9">
        <w:trPr>
          <w:jc w:val="center"/>
        </w:trPr>
        <w:tc>
          <w:tcPr>
            <w:tcW w:w="1519" w:type="dxa"/>
            <w:shd w:val="clear" w:color="auto" w:fill="0070C0"/>
          </w:tcPr>
          <w:p w14:paraId="594E054E" w14:textId="77777777" w:rsidR="00485A7C" w:rsidRPr="00D03C1B" w:rsidRDefault="00485A7C" w:rsidP="00E808B9">
            <w:pPr>
              <w:spacing w:beforeLines="40" w:before="96" w:after="120" w:line="240" w:lineRule="auto"/>
              <w:rPr>
                <w:b/>
                <w:sz w:val="21"/>
                <w:szCs w:val="21"/>
              </w:rPr>
            </w:pPr>
            <w:r w:rsidRPr="00D03C1B">
              <w:rPr>
                <w:b/>
                <w:sz w:val="21"/>
                <w:szCs w:val="21"/>
              </w:rPr>
              <w:t>Productivity and Innovation</w:t>
            </w:r>
          </w:p>
        </w:tc>
        <w:tc>
          <w:tcPr>
            <w:tcW w:w="7497" w:type="dxa"/>
            <w:vMerge w:val="restart"/>
          </w:tcPr>
          <w:p w14:paraId="594E054F" w14:textId="77777777" w:rsidR="00485A7C" w:rsidRPr="00D03C1B" w:rsidRDefault="00485A7C" w:rsidP="00E808B9">
            <w:pPr>
              <w:pStyle w:val="ListParagraph"/>
              <w:numPr>
                <w:ilvl w:val="0"/>
                <w:numId w:val="1"/>
              </w:numPr>
              <w:spacing w:before="120" w:after="120" w:line="240" w:lineRule="auto"/>
              <w:ind w:left="211" w:hanging="211"/>
              <w:contextualSpacing w:val="0"/>
              <w:rPr>
                <w:sz w:val="21"/>
                <w:szCs w:val="21"/>
              </w:rPr>
            </w:pPr>
            <w:r w:rsidRPr="00D03C1B">
              <w:rPr>
                <w:sz w:val="21"/>
                <w:szCs w:val="21"/>
              </w:rPr>
              <w:t xml:space="preserve">Promotion of Arts and Culture through the activities of the MCC may have small positive gains across the following areas: </w:t>
            </w:r>
          </w:p>
          <w:p w14:paraId="594E0550" w14:textId="77777777" w:rsidR="00485A7C" w:rsidRPr="00D03C1B" w:rsidRDefault="00485A7C" w:rsidP="00E808B9">
            <w:pPr>
              <w:pStyle w:val="ListParagraph"/>
              <w:numPr>
                <w:ilvl w:val="1"/>
                <w:numId w:val="1"/>
              </w:numPr>
              <w:spacing w:before="120" w:after="120" w:line="240" w:lineRule="auto"/>
              <w:ind w:left="778" w:hanging="218"/>
              <w:contextualSpacing w:val="0"/>
              <w:rPr>
                <w:sz w:val="21"/>
                <w:szCs w:val="21"/>
              </w:rPr>
            </w:pPr>
            <w:r w:rsidRPr="00D03C1B">
              <w:rPr>
                <w:sz w:val="21"/>
                <w:szCs w:val="21"/>
              </w:rPr>
              <w:lastRenderedPageBreak/>
              <w:t xml:space="preserve">Direct engagement with the sector may lead to increased opportunities for artists as sole traders and small business, </w:t>
            </w:r>
          </w:p>
          <w:p w14:paraId="594E0551" w14:textId="77777777" w:rsidR="00485A7C" w:rsidRPr="00D03C1B" w:rsidRDefault="00485A7C" w:rsidP="00E808B9">
            <w:pPr>
              <w:pStyle w:val="ListParagraph"/>
              <w:numPr>
                <w:ilvl w:val="1"/>
                <w:numId w:val="1"/>
              </w:numPr>
              <w:spacing w:before="120" w:after="120" w:line="240" w:lineRule="auto"/>
              <w:ind w:left="778" w:hanging="218"/>
              <w:contextualSpacing w:val="0"/>
              <w:rPr>
                <w:sz w:val="21"/>
                <w:szCs w:val="21"/>
              </w:rPr>
            </w:pPr>
            <w:r w:rsidRPr="00D03C1B">
              <w:rPr>
                <w:sz w:val="21"/>
                <w:szCs w:val="21"/>
              </w:rPr>
              <w:t xml:space="preserve">impact on the development of skills and education opportunities and </w:t>
            </w:r>
          </w:p>
          <w:p w14:paraId="594E0552" w14:textId="77777777" w:rsidR="00485A7C" w:rsidRPr="00D03C1B" w:rsidRDefault="00485A7C" w:rsidP="00E808B9">
            <w:pPr>
              <w:pStyle w:val="ListParagraph"/>
              <w:numPr>
                <w:ilvl w:val="1"/>
                <w:numId w:val="1"/>
              </w:numPr>
              <w:spacing w:before="120" w:after="120" w:line="240" w:lineRule="auto"/>
              <w:ind w:left="778" w:hanging="218"/>
              <w:contextualSpacing w:val="0"/>
              <w:rPr>
                <w:sz w:val="21"/>
                <w:szCs w:val="21"/>
              </w:rPr>
            </w:pPr>
            <w:r w:rsidRPr="00D03C1B">
              <w:rPr>
                <w:sz w:val="21"/>
                <w:szCs w:val="21"/>
              </w:rPr>
              <w:t xml:space="preserve">increase innovative outcomes for the sector. </w:t>
            </w:r>
          </w:p>
          <w:p w14:paraId="594E0553" w14:textId="77777777" w:rsidR="00485A7C" w:rsidRPr="00D03C1B" w:rsidRDefault="00485A7C" w:rsidP="00E808B9">
            <w:pPr>
              <w:pStyle w:val="ListParagraph"/>
              <w:numPr>
                <w:ilvl w:val="0"/>
                <w:numId w:val="1"/>
              </w:numPr>
              <w:spacing w:before="120" w:after="120" w:line="240" w:lineRule="auto"/>
              <w:ind w:left="211" w:hanging="211"/>
              <w:contextualSpacing w:val="0"/>
              <w:rPr>
                <w:sz w:val="21"/>
                <w:szCs w:val="21"/>
              </w:rPr>
            </w:pPr>
            <w:r w:rsidRPr="00D03C1B">
              <w:rPr>
                <w:sz w:val="21"/>
                <w:szCs w:val="21"/>
              </w:rPr>
              <w:t xml:space="preserve">These outcomes would be difficult to measure directly against the output of the MCC, however implied in the support and progress for the Arts in Canberra. </w:t>
            </w:r>
          </w:p>
        </w:tc>
      </w:tr>
      <w:tr w:rsidR="00485A7C" w:rsidRPr="00D03C1B" w14:paraId="594E0557" w14:textId="77777777" w:rsidTr="00E808B9">
        <w:trPr>
          <w:jc w:val="center"/>
        </w:trPr>
        <w:tc>
          <w:tcPr>
            <w:tcW w:w="1519" w:type="dxa"/>
            <w:shd w:val="clear" w:color="auto" w:fill="0070C0"/>
          </w:tcPr>
          <w:p w14:paraId="594E0555" w14:textId="77777777" w:rsidR="00485A7C" w:rsidRPr="00D03C1B" w:rsidRDefault="00485A7C" w:rsidP="00E808B9">
            <w:pPr>
              <w:spacing w:beforeLines="40" w:before="96" w:after="120" w:line="240" w:lineRule="auto"/>
              <w:rPr>
                <w:b/>
                <w:sz w:val="21"/>
                <w:szCs w:val="21"/>
              </w:rPr>
            </w:pPr>
            <w:r w:rsidRPr="00D03C1B">
              <w:rPr>
                <w:b/>
                <w:sz w:val="21"/>
                <w:szCs w:val="21"/>
              </w:rPr>
              <w:lastRenderedPageBreak/>
              <w:t>Income levels and distribution</w:t>
            </w:r>
          </w:p>
        </w:tc>
        <w:tc>
          <w:tcPr>
            <w:tcW w:w="7497" w:type="dxa"/>
            <w:vMerge/>
          </w:tcPr>
          <w:p w14:paraId="594E0556" w14:textId="77777777" w:rsidR="00485A7C" w:rsidRPr="00D03C1B" w:rsidRDefault="00485A7C" w:rsidP="00E808B9">
            <w:pPr>
              <w:numPr>
                <w:ilvl w:val="0"/>
                <w:numId w:val="1"/>
              </w:numPr>
              <w:spacing w:before="120" w:after="120" w:line="240" w:lineRule="auto"/>
              <w:ind w:left="360"/>
              <w:rPr>
                <w:sz w:val="21"/>
                <w:szCs w:val="21"/>
              </w:rPr>
            </w:pPr>
          </w:p>
        </w:tc>
      </w:tr>
      <w:tr w:rsidR="00485A7C" w:rsidRPr="00D03C1B" w14:paraId="594E055A" w14:textId="77777777" w:rsidTr="00E808B9">
        <w:trPr>
          <w:jc w:val="center"/>
        </w:trPr>
        <w:tc>
          <w:tcPr>
            <w:tcW w:w="1519" w:type="dxa"/>
            <w:shd w:val="clear" w:color="auto" w:fill="0070C0"/>
          </w:tcPr>
          <w:p w14:paraId="594E0558" w14:textId="77777777" w:rsidR="00485A7C" w:rsidRPr="00D03C1B" w:rsidRDefault="00485A7C" w:rsidP="00E808B9">
            <w:pPr>
              <w:spacing w:beforeLines="40" w:before="96" w:after="120" w:line="240" w:lineRule="auto"/>
              <w:rPr>
                <w:b/>
                <w:sz w:val="21"/>
                <w:szCs w:val="21"/>
              </w:rPr>
            </w:pPr>
            <w:r w:rsidRPr="00D03C1B">
              <w:rPr>
                <w:b/>
                <w:sz w:val="21"/>
                <w:szCs w:val="21"/>
              </w:rPr>
              <w:t>Employment</w:t>
            </w:r>
          </w:p>
        </w:tc>
        <w:tc>
          <w:tcPr>
            <w:tcW w:w="7497" w:type="dxa"/>
            <w:vMerge/>
          </w:tcPr>
          <w:p w14:paraId="594E0559" w14:textId="77777777" w:rsidR="00485A7C" w:rsidRPr="00D03C1B" w:rsidRDefault="00485A7C" w:rsidP="00E808B9">
            <w:pPr>
              <w:numPr>
                <w:ilvl w:val="0"/>
                <w:numId w:val="1"/>
              </w:numPr>
              <w:spacing w:before="120" w:after="120" w:line="240" w:lineRule="auto"/>
              <w:ind w:left="360"/>
              <w:rPr>
                <w:sz w:val="21"/>
                <w:szCs w:val="21"/>
              </w:rPr>
            </w:pPr>
          </w:p>
        </w:tc>
      </w:tr>
      <w:tr w:rsidR="00485A7C" w:rsidRPr="00D03C1B" w14:paraId="594E055D" w14:textId="77777777" w:rsidTr="00E808B9">
        <w:trPr>
          <w:jc w:val="center"/>
        </w:trPr>
        <w:tc>
          <w:tcPr>
            <w:tcW w:w="1519" w:type="dxa"/>
            <w:shd w:val="clear" w:color="auto" w:fill="0070C0"/>
          </w:tcPr>
          <w:p w14:paraId="594E055B" w14:textId="77777777" w:rsidR="00485A7C" w:rsidRPr="00D03C1B" w:rsidRDefault="00485A7C" w:rsidP="00E808B9">
            <w:pPr>
              <w:spacing w:beforeLines="40" w:before="96" w:after="120" w:line="240" w:lineRule="auto"/>
              <w:rPr>
                <w:b/>
                <w:sz w:val="21"/>
                <w:szCs w:val="21"/>
              </w:rPr>
            </w:pPr>
            <w:r w:rsidRPr="00D03C1B">
              <w:rPr>
                <w:b/>
                <w:sz w:val="21"/>
                <w:szCs w:val="21"/>
              </w:rPr>
              <w:t>Small Business Impact</w:t>
            </w:r>
          </w:p>
        </w:tc>
        <w:tc>
          <w:tcPr>
            <w:tcW w:w="7497" w:type="dxa"/>
            <w:vMerge/>
          </w:tcPr>
          <w:p w14:paraId="594E055C" w14:textId="77777777" w:rsidR="00485A7C" w:rsidRPr="00D03C1B" w:rsidRDefault="00485A7C" w:rsidP="00E808B9">
            <w:pPr>
              <w:numPr>
                <w:ilvl w:val="0"/>
                <w:numId w:val="1"/>
              </w:numPr>
              <w:spacing w:before="120" w:after="120" w:line="240" w:lineRule="auto"/>
              <w:ind w:left="360"/>
              <w:rPr>
                <w:sz w:val="21"/>
                <w:szCs w:val="21"/>
              </w:rPr>
            </w:pPr>
          </w:p>
        </w:tc>
      </w:tr>
      <w:tr w:rsidR="00485A7C" w:rsidRPr="00D03C1B" w14:paraId="594E0560" w14:textId="77777777" w:rsidTr="00E808B9">
        <w:trPr>
          <w:jc w:val="center"/>
        </w:trPr>
        <w:tc>
          <w:tcPr>
            <w:tcW w:w="1519" w:type="dxa"/>
            <w:shd w:val="clear" w:color="auto" w:fill="0070C0"/>
          </w:tcPr>
          <w:p w14:paraId="594E055E" w14:textId="77777777" w:rsidR="00485A7C" w:rsidRPr="00D03C1B" w:rsidRDefault="00485A7C" w:rsidP="00E808B9">
            <w:pPr>
              <w:spacing w:beforeLines="40" w:before="96" w:after="120" w:line="240" w:lineRule="auto"/>
              <w:rPr>
                <w:b/>
                <w:sz w:val="21"/>
                <w:szCs w:val="21"/>
              </w:rPr>
            </w:pPr>
            <w:r w:rsidRPr="00D03C1B">
              <w:rPr>
                <w:b/>
                <w:sz w:val="21"/>
                <w:szCs w:val="21"/>
              </w:rPr>
              <w:t>Skills and Education</w:t>
            </w:r>
          </w:p>
        </w:tc>
        <w:tc>
          <w:tcPr>
            <w:tcW w:w="7497" w:type="dxa"/>
            <w:vMerge/>
          </w:tcPr>
          <w:p w14:paraId="594E055F" w14:textId="77777777" w:rsidR="00485A7C" w:rsidRPr="00D03C1B" w:rsidRDefault="00485A7C" w:rsidP="00E808B9">
            <w:pPr>
              <w:numPr>
                <w:ilvl w:val="0"/>
                <w:numId w:val="1"/>
              </w:numPr>
              <w:spacing w:before="120" w:after="120" w:line="240" w:lineRule="auto"/>
              <w:ind w:left="360"/>
              <w:rPr>
                <w:sz w:val="21"/>
                <w:szCs w:val="21"/>
              </w:rPr>
            </w:pPr>
          </w:p>
        </w:tc>
      </w:tr>
    </w:tbl>
    <w:p w14:paraId="594E0561" w14:textId="77777777" w:rsidR="00485A7C" w:rsidRPr="00D03C1B" w:rsidRDefault="00485A7C" w:rsidP="00485A7C">
      <w:pPr>
        <w:spacing w:after="0"/>
        <w:jc w:val="both"/>
        <w:rPr>
          <w:b/>
          <w:bCs/>
          <w:sz w:val="21"/>
          <w:szCs w:val="21"/>
        </w:rPr>
      </w:pPr>
    </w:p>
    <w:p w14:paraId="594E0562" w14:textId="77777777" w:rsidR="00485A7C" w:rsidRPr="00D03C1B" w:rsidRDefault="00485A7C" w:rsidP="00485A7C">
      <w:pPr>
        <w:spacing w:before="120" w:after="0"/>
        <w:jc w:val="both"/>
        <w:rPr>
          <w:b/>
          <w:bCs/>
          <w:sz w:val="21"/>
          <w:szCs w:val="21"/>
        </w:rPr>
      </w:pPr>
      <w:r w:rsidRPr="00D03C1B">
        <w:rPr>
          <w:b/>
          <w:bCs/>
          <w:sz w:val="21"/>
          <w:szCs w:val="21"/>
        </w:rPr>
        <w:t>Environmental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04"/>
        <w:gridCol w:w="7512"/>
      </w:tblGrid>
      <w:tr w:rsidR="00485A7C" w:rsidRPr="00D03C1B" w14:paraId="594E0565" w14:textId="77777777" w:rsidTr="00BC512C">
        <w:trPr>
          <w:jc w:val="center"/>
        </w:trPr>
        <w:tc>
          <w:tcPr>
            <w:tcW w:w="1526" w:type="dxa"/>
            <w:shd w:val="clear" w:color="auto" w:fill="92D050"/>
          </w:tcPr>
          <w:p w14:paraId="594E0563" w14:textId="77777777" w:rsidR="00485A7C" w:rsidRPr="00D03C1B" w:rsidRDefault="00485A7C" w:rsidP="00E808B9">
            <w:pPr>
              <w:shd w:val="clear" w:color="auto" w:fill="92D050"/>
              <w:spacing w:before="120" w:after="120" w:line="240" w:lineRule="auto"/>
              <w:rPr>
                <w:sz w:val="21"/>
                <w:szCs w:val="21"/>
              </w:rPr>
            </w:pPr>
            <w:r w:rsidRPr="00D03C1B">
              <w:rPr>
                <w:b/>
                <w:bCs/>
                <w:sz w:val="21"/>
                <w:szCs w:val="21"/>
              </w:rPr>
              <w:t>Visual Quality</w:t>
            </w:r>
          </w:p>
        </w:tc>
        <w:tc>
          <w:tcPr>
            <w:tcW w:w="7716" w:type="dxa"/>
          </w:tcPr>
          <w:p w14:paraId="594E0564" w14:textId="77777777" w:rsidR="00485A7C" w:rsidRPr="009236AB" w:rsidRDefault="00485A7C" w:rsidP="00E808B9">
            <w:pPr>
              <w:numPr>
                <w:ilvl w:val="0"/>
                <w:numId w:val="1"/>
              </w:numPr>
              <w:spacing w:before="120" w:after="120" w:line="240" w:lineRule="auto"/>
              <w:ind w:left="227" w:hanging="227"/>
              <w:rPr>
                <w:sz w:val="21"/>
                <w:szCs w:val="21"/>
              </w:rPr>
            </w:pPr>
            <w:r w:rsidRPr="00D03C1B">
              <w:rPr>
                <w:sz w:val="21"/>
                <w:szCs w:val="21"/>
              </w:rPr>
              <w:t>Through support of the MCC to Visual arts activity and artists including public art enhance civic spaces and improve liveability. Since the work program of the MCC will be developed by the members in consultation with the Minister for the Arts and Community Events it is unclear whether the work undertaken will have si</w:t>
            </w:r>
            <w:r w:rsidR="00E808B9">
              <w:rPr>
                <w:sz w:val="21"/>
                <w:szCs w:val="21"/>
              </w:rPr>
              <w:t>gnificant impacts in this area.</w:t>
            </w:r>
          </w:p>
        </w:tc>
      </w:tr>
    </w:tbl>
    <w:p w14:paraId="594E0566" w14:textId="77777777" w:rsidR="009E72D8" w:rsidRDefault="009E72D8" w:rsidP="00E808B9"/>
    <w:sectPr w:rsidR="009E72D8" w:rsidSect="00E808B9">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C259B"/>
    <w:multiLevelType w:val="hybridMultilevel"/>
    <w:tmpl w:val="AA142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3D6461B"/>
    <w:multiLevelType w:val="hybridMultilevel"/>
    <w:tmpl w:val="B2643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94A7DDE"/>
    <w:multiLevelType w:val="hybridMultilevel"/>
    <w:tmpl w:val="F198F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7C"/>
    <w:rsid w:val="00485A7C"/>
    <w:rsid w:val="006D51D2"/>
    <w:rsid w:val="009E72D8"/>
    <w:rsid w:val="00B72532"/>
    <w:rsid w:val="00C626EF"/>
    <w:rsid w:val="00E808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0526"/>
  <w15:chartTrackingRefBased/>
  <w15:docId w15:val="{477FDC5B-E478-4727-8D70-1D698D96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90EEF-45CD-4298-8E84-FA80E49AF15C}">
  <ds:schemaRef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8CC823C-7F11-402F-8062-24DFAF31D397}">
  <ds:schemaRefs>
    <ds:schemaRef ds:uri="http://schemas.microsoft.com/sharepoint/v3/contenttype/forms"/>
  </ds:schemaRefs>
</ds:datastoreItem>
</file>

<file path=customXml/itemProps3.xml><?xml version="1.0" encoding="utf-8"?>
<ds:datastoreItem xmlns:ds="http://schemas.openxmlformats.org/officeDocument/2006/customXml" ds:itemID="{232C60FB-60B3-45C8-B93A-5D3B9590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Tenzin, Yangkyi</cp:lastModifiedBy>
  <cp:revision>2</cp:revision>
  <dcterms:created xsi:type="dcterms:W3CDTF">2018-08-29T05:52:00Z</dcterms:created>
  <dcterms:modified xsi:type="dcterms:W3CDTF">2018-08-29T05:52:00Z</dcterms:modified>
</cp:coreProperties>
</file>