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B1" w:rsidRPr="00A00C57" w:rsidRDefault="00270AB1" w:rsidP="00270AB1">
      <w:pPr>
        <w:spacing w:after="120"/>
        <w:jc w:val="both"/>
        <w:rPr>
          <w:rFonts w:asciiTheme="minorHAnsi" w:hAnsiTheme="minorHAnsi"/>
          <w:b/>
          <w:bCs/>
          <w:sz w:val="22"/>
          <w:szCs w:val="22"/>
        </w:rPr>
      </w:pPr>
      <w:r w:rsidRPr="00A00C57">
        <w:rPr>
          <w:rFonts w:asciiTheme="minorHAnsi" w:hAnsiTheme="minorHAnsi"/>
          <w:b/>
          <w:bCs/>
          <w:sz w:val="22"/>
          <w:szCs w:val="22"/>
        </w:rPr>
        <w:t>Directorate:</w:t>
      </w:r>
      <w:r w:rsidRPr="00A00C57">
        <w:rPr>
          <w:rFonts w:asciiTheme="minorHAnsi" w:hAnsiTheme="minorHAnsi"/>
          <w:b/>
          <w:bCs/>
          <w:sz w:val="22"/>
          <w:szCs w:val="22"/>
        </w:rPr>
        <w:tab/>
        <w:t>Community Services</w:t>
      </w:r>
    </w:p>
    <w:p w:rsidR="00270AB1" w:rsidRPr="00A00C57" w:rsidRDefault="00270AB1" w:rsidP="00270AB1">
      <w:pPr>
        <w:spacing w:after="120"/>
        <w:jc w:val="both"/>
        <w:rPr>
          <w:rFonts w:asciiTheme="minorHAnsi" w:hAnsiTheme="minorHAnsi"/>
          <w:b/>
          <w:bCs/>
          <w:sz w:val="22"/>
          <w:szCs w:val="22"/>
        </w:rPr>
      </w:pPr>
      <w:bookmarkStart w:id="0" w:name="_GoBack"/>
      <w:r w:rsidRPr="00A00C57">
        <w:rPr>
          <w:rFonts w:asciiTheme="minorHAnsi" w:hAnsiTheme="minorHAnsi"/>
          <w:b/>
          <w:bCs/>
          <w:sz w:val="22"/>
          <w:szCs w:val="22"/>
        </w:rPr>
        <w:t>17/688 Children and Young People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70AB1" w:rsidRPr="00D87151" w:rsidTr="00EC635C">
        <w:trPr>
          <w:jc w:val="center"/>
        </w:trPr>
        <w:tc>
          <w:tcPr>
            <w:tcW w:w="9016" w:type="dxa"/>
          </w:tcPr>
          <w:bookmarkEnd w:id="0"/>
          <w:p w:rsidR="00270AB1" w:rsidRPr="0025723E" w:rsidRDefault="00270AB1" w:rsidP="00EC635C">
            <w:pPr>
              <w:spacing w:before="60" w:after="0"/>
              <w:jc w:val="both"/>
              <w:rPr>
                <w:rFonts w:ascii="Calibri" w:hAnsi="Calibri"/>
                <w:b/>
                <w:bCs/>
              </w:rPr>
            </w:pPr>
            <w:r w:rsidRPr="0025723E">
              <w:rPr>
                <w:rFonts w:ascii="Calibri" w:hAnsi="Calibri"/>
                <w:b/>
                <w:bCs/>
              </w:rPr>
              <w:t>Summary of Impacts</w:t>
            </w:r>
          </w:p>
        </w:tc>
      </w:tr>
      <w:tr w:rsidR="00270AB1" w:rsidRPr="00437EA3" w:rsidTr="00EC635C">
        <w:trPr>
          <w:trHeight w:val="631"/>
          <w:jc w:val="center"/>
        </w:trPr>
        <w:tc>
          <w:tcPr>
            <w:tcW w:w="9016" w:type="dxa"/>
          </w:tcPr>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 xml:space="preserve">Amendments to clarify the pathways available to undertake a care and protection appraisal are likely to have positive social impacts for children and young people who may be in need of care and protection. </w:t>
            </w:r>
          </w:p>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 xml:space="preserve">Amendments to enable Responsible Person delegations to be sub-delegated will allow for </w:t>
            </w:r>
            <w:proofErr w:type="gramStart"/>
            <w:r w:rsidRPr="00437EA3">
              <w:rPr>
                <w:rFonts w:ascii="Calibri" w:hAnsi="Calibri"/>
                <w:sz w:val="22"/>
                <w:szCs w:val="22"/>
              </w:rPr>
              <w:t>more timely</w:t>
            </w:r>
            <w:proofErr w:type="gramEnd"/>
            <w:r w:rsidRPr="00437EA3">
              <w:rPr>
                <w:rFonts w:ascii="Calibri" w:hAnsi="Calibri"/>
                <w:sz w:val="22"/>
                <w:szCs w:val="22"/>
              </w:rPr>
              <w:t xml:space="preserve">, effective daily care services to children and young people on long term orders. </w:t>
            </w:r>
          </w:p>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Introduction of this legislation will not have environmental impacts.</w:t>
            </w:r>
          </w:p>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 xml:space="preserve">Amendments </w:t>
            </w:r>
            <w:r w:rsidRPr="00437EA3">
              <w:rPr>
                <w:rFonts w:ascii="Calibri" w:hAnsi="Calibri"/>
                <w:iCs/>
                <w:sz w:val="22"/>
                <w:szCs w:val="22"/>
              </w:rPr>
              <w:t xml:space="preserve">will allow important elements of the </w:t>
            </w:r>
            <w:r w:rsidRPr="00437EA3">
              <w:rPr>
                <w:rFonts w:ascii="Calibri" w:hAnsi="Calibri"/>
                <w:i/>
                <w:iCs/>
                <w:sz w:val="22"/>
                <w:szCs w:val="22"/>
              </w:rPr>
              <w:t>A Step Up for Our Kids</w:t>
            </w:r>
            <w:r w:rsidRPr="00437EA3">
              <w:rPr>
                <w:rFonts w:ascii="Calibri" w:hAnsi="Calibri"/>
                <w:iCs/>
                <w:sz w:val="22"/>
                <w:szCs w:val="22"/>
              </w:rPr>
              <w:t xml:space="preserve"> Strategy to be realised. </w:t>
            </w:r>
          </w:p>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Amendments</w:t>
            </w:r>
            <w:r w:rsidRPr="00437EA3">
              <w:rPr>
                <w:rFonts w:ascii="Calibri" w:hAnsi="Calibri"/>
                <w:iCs/>
                <w:sz w:val="22"/>
                <w:szCs w:val="22"/>
              </w:rPr>
              <w:t xml:space="preserve"> support the ACT Government’s Strategic Priority Social Inclusion - Community Safety and Support when it matters.</w:t>
            </w:r>
          </w:p>
        </w:tc>
      </w:tr>
    </w:tbl>
    <w:p w:rsidR="00270AB1" w:rsidRPr="003A180B" w:rsidRDefault="00270AB1" w:rsidP="00270AB1">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270AB1" w:rsidRPr="0025723E" w:rsidRDefault="00270AB1" w:rsidP="00270AB1">
      <w:pPr>
        <w:spacing w:after="0"/>
        <w:jc w:val="both"/>
        <w:rPr>
          <w:rFonts w:ascii="Calibri" w:hAnsi="Calibri"/>
          <w:b/>
          <w:bCs/>
        </w:rPr>
      </w:pPr>
      <w:r w:rsidRPr="0025723E">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
        <w:gridCol w:w="7504"/>
      </w:tblGrid>
      <w:tr w:rsidR="00270AB1" w:rsidRPr="00D87151" w:rsidTr="00EC635C">
        <w:trPr>
          <w:jc w:val="center"/>
        </w:trPr>
        <w:tc>
          <w:tcPr>
            <w:tcW w:w="1512" w:type="dxa"/>
            <w:gridSpan w:val="2"/>
            <w:shd w:val="clear" w:color="auto" w:fill="92D050"/>
          </w:tcPr>
          <w:p w:rsidR="00270AB1" w:rsidRPr="00D87151" w:rsidRDefault="00270AB1" w:rsidP="00EC635C">
            <w:pPr>
              <w:spacing w:after="0" w:line="240" w:lineRule="auto"/>
              <w:rPr>
                <w:rFonts w:ascii="Calibri" w:hAnsi="Calibri"/>
                <w:sz w:val="20"/>
                <w:szCs w:val="20"/>
              </w:rPr>
            </w:pPr>
            <w:r>
              <w:rPr>
                <w:rFonts w:ascii="Calibri" w:hAnsi="Calibri"/>
                <w:b/>
                <w:bCs/>
              </w:rPr>
              <w:t>Protection of children and young people</w:t>
            </w:r>
          </w:p>
        </w:tc>
        <w:tc>
          <w:tcPr>
            <w:tcW w:w="7504" w:type="dxa"/>
            <w:shd w:val="clear" w:color="auto" w:fill="auto"/>
          </w:tcPr>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 xml:space="preserve">The Bill will enhance the rights and protections of children and young people in the ACT as it will allow decisions to be made by a person closer to the child or young person and ensure their right to be safe from harm </w:t>
            </w:r>
            <w:r>
              <w:rPr>
                <w:rFonts w:ascii="Calibri" w:hAnsi="Calibri"/>
                <w:sz w:val="22"/>
                <w:szCs w:val="22"/>
              </w:rPr>
              <w:t>is</w:t>
            </w:r>
            <w:r w:rsidRPr="00437EA3">
              <w:rPr>
                <w:rFonts w:ascii="Calibri" w:hAnsi="Calibri"/>
                <w:sz w:val="22"/>
                <w:szCs w:val="22"/>
              </w:rPr>
              <w:t xml:space="preserve"> upheld.</w:t>
            </w:r>
          </w:p>
        </w:tc>
      </w:tr>
      <w:tr w:rsidR="00270AB1" w:rsidRPr="00D87151" w:rsidTr="00EC635C">
        <w:trPr>
          <w:jc w:val="center"/>
        </w:trPr>
        <w:tc>
          <w:tcPr>
            <w:tcW w:w="1505" w:type="dxa"/>
            <w:shd w:val="clear" w:color="auto" w:fill="ED7D31" w:themeFill="accent2"/>
          </w:tcPr>
          <w:p w:rsidR="00270AB1" w:rsidRPr="00D87151" w:rsidRDefault="00270AB1" w:rsidP="00EC635C">
            <w:pPr>
              <w:rPr>
                <w:rFonts w:ascii="Calibri" w:hAnsi="Calibri"/>
                <w:sz w:val="20"/>
                <w:szCs w:val="20"/>
              </w:rPr>
            </w:pPr>
            <w:r w:rsidRPr="00D87151">
              <w:rPr>
                <w:rFonts w:ascii="Calibri" w:hAnsi="Calibri"/>
                <w:b/>
                <w:bCs/>
              </w:rPr>
              <w:t>Human rights</w:t>
            </w:r>
          </w:p>
        </w:tc>
        <w:tc>
          <w:tcPr>
            <w:tcW w:w="7511" w:type="dxa"/>
            <w:gridSpan w:val="2"/>
            <w:shd w:val="clear" w:color="auto" w:fill="auto"/>
          </w:tcPr>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The proposed amendments regarding appraisals will likely engage human rights, including protection of the family and children (s 11) and privacy and reputation (s 12). The proposed amendments are guided by the objectives of the CYP Act, supporting the rights and protection of children and young people, particularly in circumstances of family violence.</w:t>
            </w:r>
          </w:p>
          <w:p w:rsidR="00270AB1" w:rsidRPr="00437EA3" w:rsidRDefault="00270AB1" w:rsidP="00EC635C">
            <w:pPr>
              <w:numPr>
                <w:ilvl w:val="0"/>
                <w:numId w:val="1"/>
              </w:numPr>
              <w:spacing w:after="120" w:line="240" w:lineRule="auto"/>
              <w:ind w:left="357" w:hanging="357"/>
              <w:rPr>
                <w:rFonts w:ascii="Calibri" w:hAnsi="Calibri"/>
                <w:sz w:val="22"/>
                <w:szCs w:val="22"/>
              </w:rPr>
            </w:pPr>
            <w:r w:rsidRPr="00437EA3">
              <w:rPr>
                <w:rFonts w:ascii="Calibri" w:hAnsi="Calibri"/>
                <w:sz w:val="22"/>
                <w:szCs w:val="22"/>
              </w:rPr>
              <w:t xml:space="preserve">The Bill supports the right to protection of the family and children (s 11) under the </w:t>
            </w:r>
            <w:r w:rsidRPr="00437EA3">
              <w:rPr>
                <w:rFonts w:ascii="Calibri" w:hAnsi="Calibri"/>
                <w:i/>
                <w:sz w:val="22"/>
                <w:szCs w:val="22"/>
              </w:rPr>
              <w:t>Human Rights Act 2004</w:t>
            </w:r>
            <w:r w:rsidRPr="00437EA3">
              <w:rPr>
                <w:rFonts w:ascii="Calibri" w:hAnsi="Calibri"/>
                <w:sz w:val="22"/>
                <w:szCs w:val="22"/>
              </w:rPr>
              <w:t xml:space="preserve">. The rights of parents are reasonably limited to ensure the best interests of a child or young person are paramount. Acting in the best interests of children and young people is the overriding objective of the </w:t>
            </w:r>
            <w:r w:rsidRPr="00437EA3">
              <w:rPr>
                <w:rFonts w:ascii="Calibri" w:hAnsi="Calibri"/>
                <w:i/>
                <w:sz w:val="22"/>
                <w:szCs w:val="22"/>
              </w:rPr>
              <w:t>Children and Young People Act 2008</w:t>
            </w:r>
            <w:r w:rsidRPr="00437EA3">
              <w:rPr>
                <w:rFonts w:ascii="Calibri" w:hAnsi="Calibri"/>
                <w:sz w:val="22"/>
                <w:szCs w:val="22"/>
              </w:rPr>
              <w:t xml:space="preserve">. </w:t>
            </w:r>
          </w:p>
        </w:tc>
      </w:tr>
      <w:tr w:rsidR="00270AB1" w:rsidRPr="0025723E" w:rsidTr="00EC635C">
        <w:trPr>
          <w:jc w:val="center"/>
        </w:trPr>
        <w:tc>
          <w:tcPr>
            <w:tcW w:w="1505" w:type="dxa"/>
            <w:shd w:val="clear" w:color="auto" w:fill="92D050"/>
          </w:tcPr>
          <w:p w:rsidR="00270AB1" w:rsidRPr="0025723E" w:rsidRDefault="00270AB1" w:rsidP="00EC635C">
            <w:pPr>
              <w:rPr>
                <w:rFonts w:ascii="Calibri" w:hAnsi="Calibri"/>
                <w:sz w:val="20"/>
                <w:szCs w:val="20"/>
              </w:rPr>
            </w:pPr>
            <w:r w:rsidRPr="0025723E">
              <w:rPr>
                <w:rFonts w:ascii="Calibri" w:hAnsi="Calibri"/>
                <w:b/>
                <w:bCs/>
              </w:rPr>
              <w:t>Access to services</w:t>
            </w:r>
          </w:p>
        </w:tc>
        <w:tc>
          <w:tcPr>
            <w:tcW w:w="7511" w:type="dxa"/>
            <w:gridSpan w:val="2"/>
            <w:shd w:val="clear" w:color="auto" w:fill="auto"/>
          </w:tcPr>
          <w:p w:rsidR="00270AB1" w:rsidRPr="0025723E" w:rsidRDefault="00270AB1" w:rsidP="00EC635C">
            <w:pPr>
              <w:numPr>
                <w:ilvl w:val="0"/>
                <w:numId w:val="1"/>
              </w:numPr>
              <w:spacing w:after="120" w:line="240" w:lineRule="auto"/>
              <w:ind w:left="357" w:hanging="357"/>
              <w:rPr>
                <w:rFonts w:ascii="Calibri" w:hAnsi="Calibri"/>
                <w:sz w:val="22"/>
                <w:szCs w:val="22"/>
              </w:rPr>
            </w:pPr>
            <w:r w:rsidRPr="0025723E">
              <w:rPr>
                <w:rFonts w:ascii="Calibri" w:hAnsi="Calibri"/>
                <w:sz w:val="22"/>
                <w:szCs w:val="22"/>
              </w:rPr>
              <w:t xml:space="preserve">Facilitating sub-delegation of Responsible Person duties within approved organisations will provide greater clarity of the function of a Responsible Person to ensure effective operation of the role. The Bill will enhance the effectiveness and timeliness of services to children, young people and their families. </w:t>
            </w:r>
          </w:p>
        </w:tc>
      </w:tr>
    </w:tbl>
    <w:p w:rsidR="00270AB1" w:rsidRPr="0025723E" w:rsidRDefault="00270AB1" w:rsidP="00270AB1">
      <w:pPr>
        <w:spacing w:before="120" w:after="0"/>
        <w:jc w:val="both"/>
        <w:rPr>
          <w:rFonts w:ascii="Calibri" w:hAnsi="Calibri"/>
          <w:b/>
          <w:bCs/>
        </w:rPr>
      </w:pPr>
      <w:r w:rsidRPr="0025723E">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97"/>
      </w:tblGrid>
      <w:tr w:rsidR="00270AB1" w:rsidRPr="0025723E" w:rsidTr="00EC635C">
        <w:trPr>
          <w:trHeight w:val="841"/>
          <w:jc w:val="center"/>
        </w:trPr>
        <w:tc>
          <w:tcPr>
            <w:tcW w:w="1519" w:type="dxa"/>
            <w:shd w:val="clear" w:color="auto" w:fill="ED7D31" w:themeFill="accent2"/>
          </w:tcPr>
          <w:p w:rsidR="00270AB1" w:rsidRPr="0025723E" w:rsidRDefault="00270AB1" w:rsidP="00EC635C">
            <w:pPr>
              <w:spacing w:after="0" w:line="240" w:lineRule="auto"/>
              <w:jc w:val="both"/>
              <w:rPr>
                <w:rFonts w:ascii="Calibri" w:hAnsi="Calibri"/>
                <w:sz w:val="20"/>
                <w:szCs w:val="20"/>
              </w:rPr>
            </w:pPr>
            <w:r w:rsidRPr="0025723E">
              <w:rPr>
                <w:rFonts w:ascii="Calibri" w:hAnsi="Calibri"/>
                <w:b/>
                <w:bCs/>
              </w:rPr>
              <w:t>ACT Government Budget</w:t>
            </w:r>
          </w:p>
        </w:tc>
        <w:tc>
          <w:tcPr>
            <w:tcW w:w="7497" w:type="dxa"/>
          </w:tcPr>
          <w:p w:rsidR="00270AB1" w:rsidRPr="0025723E" w:rsidRDefault="00270AB1" w:rsidP="00EC635C">
            <w:pPr>
              <w:numPr>
                <w:ilvl w:val="0"/>
                <w:numId w:val="1"/>
              </w:numPr>
              <w:spacing w:after="0" w:line="240" w:lineRule="auto"/>
              <w:ind w:left="360"/>
              <w:rPr>
                <w:rFonts w:ascii="Calibri" w:hAnsi="Calibri"/>
                <w:sz w:val="22"/>
                <w:szCs w:val="22"/>
              </w:rPr>
            </w:pPr>
            <w:r w:rsidRPr="0025723E">
              <w:rPr>
                <w:rFonts w:ascii="Calibri" w:hAnsi="Calibri"/>
                <w:sz w:val="22"/>
                <w:szCs w:val="22"/>
              </w:rPr>
              <w:t>Nil.</w:t>
            </w:r>
          </w:p>
        </w:tc>
      </w:tr>
      <w:tr w:rsidR="00270AB1" w:rsidRPr="0025723E" w:rsidTr="00EC635C">
        <w:trPr>
          <w:jc w:val="center"/>
        </w:trPr>
        <w:tc>
          <w:tcPr>
            <w:tcW w:w="1519" w:type="dxa"/>
            <w:shd w:val="clear" w:color="auto" w:fill="ED7D31" w:themeFill="accent2"/>
          </w:tcPr>
          <w:p w:rsidR="00270AB1" w:rsidRPr="0025723E" w:rsidRDefault="00270AB1" w:rsidP="00EC635C">
            <w:pPr>
              <w:spacing w:after="0" w:line="240" w:lineRule="auto"/>
              <w:jc w:val="both"/>
              <w:rPr>
                <w:rFonts w:ascii="Calibri" w:hAnsi="Calibri"/>
                <w:b/>
                <w:bCs/>
              </w:rPr>
            </w:pPr>
            <w:r w:rsidRPr="0025723E">
              <w:rPr>
                <w:rFonts w:ascii="Calibri" w:hAnsi="Calibri"/>
                <w:b/>
                <w:bCs/>
              </w:rPr>
              <w:t>Productivity</w:t>
            </w:r>
          </w:p>
        </w:tc>
        <w:tc>
          <w:tcPr>
            <w:tcW w:w="7497" w:type="dxa"/>
          </w:tcPr>
          <w:p w:rsidR="00270AB1" w:rsidRPr="0025723E" w:rsidRDefault="00270AB1" w:rsidP="00EC635C">
            <w:pPr>
              <w:numPr>
                <w:ilvl w:val="0"/>
                <w:numId w:val="1"/>
              </w:numPr>
              <w:spacing w:after="0" w:line="240" w:lineRule="auto"/>
              <w:ind w:left="360"/>
              <w:rPr>
                <w:rFonts w:ascii="Calibri" w:hAnsi="Calibri"/>
                <w:sz w:val="22"/>
                <w:szCs w:val="22"/>
              </w:rPr>
            </w:pPr>
            <w:r w:rsidRPr="0025723E">
              <w:rPr>
                <w:rFonts w:ascii="Calibri" w:hAnsi="Calibri"/>
                <w:sz w:val="22"/>
                <w:szCs w:val="22"/>
              </w:rPr>
              <w:t>Nil.</w:t>
            </w:r>
          </w:p>
        </w:tc>
      </w:tr>
      <w:tr w:rsidR="00270AB1" w:rsidRPr="0025723E" w:rsidTr="00EC635C">
        <w:trPr>
          <w:jc w:val="center"/>
        </w:trPr>
        <w:tc>
          <w:tcPr>
            <w:tcW w:w="1519" w:type="dxa"/>
            <w:tcBorders>
              <w:bottom w:val="single" w:sz="4" w:space="0" w:color="auto"/>
            </w:tcBorders>
            <w:shd w:val="clear" w:color="auto" w:fill="ED7D31" w:themeFill="accent2"/>
          </w:tcPr>
          <w:p w:rsidR="00270AB1" w:rsidRPr="0025723E" w:rsidRDefault="00270AB1" w:rsidP="00EC635C">
            <w:pPr>
              <w:spacing w:after="0" w:line="240" w:lineRule="auto"/>
              <w:jc w:val="both"/>
              <w:rPr>
                <w:rFonts w:ascii="Calibri" w:hAnsi="Calibri"/>
                <w:b/>
                <w:bCs/>
              </w:rPr>
            </w:pPr>
            <w:r w:rsidRPr="0025723E">
              <w:rPr>
                <w:rFonts w:ascii="Calibri" w:hAnsi="Calibri"/>
                <w:b/>
                <w:bCs/>
              </w:rPr>
              <w:t>Investment</w:t>
            </w:r>
          </w:p>
        </w:tc>
        <w:tc>
          <w:tcPr>
            <w:tcW w:w="7497" w:type="dxa"/>
            <w:tcBorders>
              <w:bottom w:val="single" w:sz="4" w:space="0" w:color="auto"/>
            </w:tcBorders>
          </w:tcPr>
          <w:p w:rsidR="00270AB1" w:rsidRPr="0025723E" w:rsidRDefault="00270AB1" w:rsidP="00EC635C">
            <w:pPr>
              <w:numPr>
                <w:ilvl w:val="0"/>
                <w:numId w:val="1"/>
              </w:numPr>
              <w:spacing w:after="0" w:line="240" w:lineRule="auto"/>
              <w:ind w:left="360"/>
              <w:rPr>
                <w:rFonts w:ascii="Calibri" w:hAnsi="Calibri"/>
                <w:sz w:val="22"/>
                <w:szCs w:val="22"/>
              </w:rPr>
            </w:pPr>
            <w:r w:rsidRPr="0025723E">
              <w:rPr>
                <w:rFonts w:ascii="Calibri" w:hAnsi="Calibri"/>
                <w:sz w:val="22"/>
                <w:szCs w:val="22"/>
              </w:rPr>
              <w:t>Nil.</w:t>
            </w:r>
          </w:p>
        </w:tc>
      </w:tr>
      <w:tr w:rsidR="00270AB1" w:rsidRPr="00D87151" w:rsidTr="00EC635C">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jc w:val="center"/>
        </w:trPr>
        <w:tc>
          <w:tcPr>
            <w:tcW w:w="1519" w:type="dxa"/>
            <w:tcBorders>
              <w:top w:val="single" w:sz="4" w:space="0" w:color="auto"/>
              <w:left w:val="single" w:sz="4" w:space="0" w:color="auto"/>
              <w:bottom w:val="single" w:sz="4" w:space="0" w:color="auto"/>
              <w:right w:val="single" w:sz="4" w:space="0" w:color="auto"/>
            </w:tcBorders>
            <w:shd w:val="clear" w:color="auto" w:fill="ED7D31" w:themeFill="accent2"/>
          </w:tcPr>
          <w:p w:rsidR="00270AB1" w:rsidRPr="00D87151" w:rsidRDefault="00270AB1" w:rsidP="00EC635C">
            <w:pPr>
              <w:spacing w:after="0" w:line="240" w:lineRule="auto"/>
              <w:jc w:val="both"/>
              <w:rPr>
                <w:rFonts w:ascii="Calibri" w:hAnsi="Calibri"/>
                <w:sz w:val="20"/>
                <w:szCs w:val="20"/>
              </w:rPr>
            </w:pPr>
            <w:r w:rsidRPr="00D87151">
              <w:rPr>
                <w:rFonts w:ascii="Calibri" w:hAnsi="Calibri"/>
                <w:b/>
                <w:bCs/>
              </w:rPr>
              <w:t>Competition</w:t>
            </w:r>
          </w:p>
        </w:tc>
        <w:tc>
          <w:tcPr>
            <w:tcW w:w="7497" w:type="dxa"/>
            <w:tcBorders>
              <w:top w:val="single" w:sz="4" w:space="0" w:color="auto"/>
              <w:left w:val="single" w:sz="4" w:space="0" w:color="auto"/>
              <w:bottom w:val="single" w:sz="4" w:space="0" w:color="auto"/>
              <w:right w:val="single" w:sz="4" w:space="0" w:color="auto"/>
            </w:tcBorders>
          </w:tcPr>
          <w:p w:rsidR="00270AB1" w:rsidRPr="00437EA3" w:rsidRDefault="00270AB1" w:rsidP="00EC635C">
            <w:pPr>
              <w:numPr>
                <w:ilvl w:val="0"/>
                <w:numId w:val="1"/>
              </w:numPr>
              <w:spacing w:after="0" w:line="240" w:lineRule="auto"/>
              <w:ind w:left="360"/>
              <w:rPr>
                <w:rFonts w:ascii="Calibri" w:hAnsi="Calibri"/>
                <w:sz w:val="22"/>
                <w:szCs w:val="22"/>
              </w:rPr>
            </w:pPr>
            <w:r w:rsidRPr="00437EA3">
              <w:rPr>
                <w:rFonts w:ascii="Calibri" w:hAnsi="Calibri"/>
                <w:sz w:val="22"/>
                <w:szCs w:val="22"/>
              </w:rPr>
              <w:t>Nil.</w:t>
            </w:r>
          </w:p>
        </w:tc>
      </w:tr>
    </w:tbl>
    <w:p w:rsidR="00270AB1" w:rsidRPr="003A180B" w:rsidRDefault="00270AB1" w:rsidP="00270AB1">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p w:rsidR="00270AB1" w:rsidRPr="001D5314" w:rsidRDefault="00270AB1" w:rsidP="00270AB1">
      <w:pPr>
        <w:spacing w:after="160" w:line="259" w:lineRule="auto"/>
        <w:rPr>
          <w:rFonts w:asciiTheme="minorHAnsi" w:hAnsiTheme="minorHAnsi"/>
          <w:sz w:val="22"/>
          <w:szCs w:val="22"/>
        </w:rPr>
      </w:pPr>
      <w:r>
        <w:rPr>
          <w:rFonts w:asciiTheme="minorHAnsi" w:hAnsiTheme="minorHAnsi"/>
          <w:sz w:val="22"/>
          <w:szCs w:val="22"/>
        </w:rPr>
        <w:t>Not applicable</w:t>
      </w:r>
    </w:p>
    <w:sectPr w:rsidR="00270AB1" w:rsidRPr="001D5314" w:rsidSect="00D21BEA">
      <w:pgSz w:w="11906" w:h="16838"/>
      <w:pgMar w:top="1440" w:right="1440" w:bottom="1440" w:left="1440"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B1"/>
    <w:rsid w:val="00270AB1"/>
    <w:rsid w:val="004B5ACA"/>
    <w:rsid w:val="00F61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90BA0-F03A-4AF5-8420-5A6A8CB0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B1"/>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17/688 Children and Young People Amendment Bill 2018</dc:title>
  <dc:subject>17/688 Children and Young People Amendment Bill 2018</dc:subject>
  <dc:creator>ACT Government</dc:creator>
  <cp:keywords/>
  <dc:description/>
  <cp:lastModifiedBy>Maniacherry, Ponnu</cp:lastModifiedBy>
  <cp:revision>2</cp:revision>
  <dcterms:created xsi:type="dcterms:W3CDTF">2018-06-04T00:27:00Z</dcterms:created>
  <dcterms:modified xsi:type="dcterms:W3CDTF">2018-06-04T06:57:00Z</dcterms:modified>
</cp:coreProperties>
</file>