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25" w:rsidRDefault="0033315E" w:rsidP="002C7615">
      <w:pPr>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1D92EAAA" wp14:editId="28413EE5">
                <wp:simplePos x="0" y="0"/>
                <wp:positionH relativeFrom="margin">
                  <wp:posOffset>-76200</wp:posOffset>
                </wp:positionH>
                <wp:positionV relativeFrom="topMargin">
                  <wp:posOffset>419100</wp:posOffset>
                </wp:positionV>
                <wp:extent cx="3276600" cy="149225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15E" w:rsidRDefault="00A52E47" w:rsidP="0033315E">
                            <w:pPr>
                              <w:pStyle w:val="Heading1"/>
                              <w:rPr>
                                <w:rFonts w:eastAsia="Times New Roman"/>
                              </w:rPr>
                            </w:pPr>
                            <w:r>
                              <w:t xml:space="preserve">Guidance </w:t>
                            </w:r>
                          </w:p>
                          <w:p w:rsidR="00A52E47" w:rsidRDefault="00A52E47">
                            <w:r w:rsidRPr="00A52E47">
                              <w:rPr>
                                <w:rFonts w:ascii="Montserrat" w:eastAsia="Times New Roman" w:hAnsi="Montserrat"/>
                                <w:b/>
                                <w:color w:val="323232" w:themeColor="accent1"/>
                                <w:sz w:val="26"/>
                                <w:szCs w:val="28"/>
                              </w:rPr>
                              <w:t>EMPLOYMENT OF PEOPLE WHO ARE EX-DETAINEES, PAROLEES OR OTHERS WITH SERIOUS OR EXTENSIVE CRIMINAL HISTORIES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2EAAA" id="_x0000_t202" coordsize="21600,21600" o:spt="202" path="m,l,21600r21600,l21600,xe">
                <v:stroke joinstyle="miter"/>
                <v:path gradientshapeok="t" o:connecttype="rect"/>
              </v:shapetype>
              <v:shape id="Text Box 9" o:spid="_x0000_s1026" type="#_x0000_t202" style="position:absolute;margin-left:-6pt;margin-top:33pt;width:258pt;height: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mRtgIAALs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" filled="f" stroked="f">
                <v:textbox>
                  <w:txbxContent>
                    <w:p w:rsidR="0033315E" w:rsidRDefault="00A52E47" w:rsidP="0033315E">
                      <w:pPr>
                        <w:pStyle w:val="Heading1"/>
                        <w:rPr>
                          <w:rFonts w:eastAsia="Times New Roman"/>
                        </w:rPr>
                      </w:pPr>
                      <w:r>
                        <w:t xml:space="preserve">Guidance </w:t>
                      </w:r>
                    </w:p>
                    <w:p w:rsidR="00A52E47" w:rsidRDefault="00A52E47">
                      <w:r w:rsidRPr="00A52E47">
                        <w:rPr>
                          <w:rFonts w:ascii="Montserrat" w:eastAsia="Times New Roman" w:hAnsi="Montserrat"/>
                          <w:b/>
                          <w:color w:val="323232" w:themeColor="accent1"/>
                          <w:sz w:val="26"/>
                          <w:szCs w:val="28"/>
                        </w:rPr>
                        <w:t>EMPLOYMENT OF PEOPLE WHO ARE EX-DETAINEES, PAROLEES OR OTHERS WITH SERIOUS OR EXTENSIVE CRIMINAL HISTORIES</w:t>
                      </w:r>
                    </w:p>
                  </w:txbxContent>
                </v:textbox>
                <w10:wrap anchorx="margin" anchory="margin"/>
              </v:shape>
            </w:pict>
          </mc:Fallback>
        </mc:AlternateContent>
      </w:r>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r w:rsidR="0079447B">
            <w:rPr>
              <w:rFonts w:asciiTheme="majorHAnsi" w:eastAsia="Times New Roman" w:hAnsiTheme="majorHAnsi"/>
              <w:caps/>
              <w:noProof/>
              <w:color w:val="482D8C" w:themeColor="background2"/>
              <w:sz w:val="36"/>
              <w:szCs w:val="40"/>
            </w:rPr>
            <w:t xml:space="preserve"> </w:t>
          </w:r>
        </w:sdtContent>
      </w:sdt>
    </w:p>
    <w:p w:rsidR="00F53B5C" w:rsidRPr="0033315E" w:rsidRDefault="00F53B5C" w:rsidP="00A52E47">
      <w:pPr>
        <w:rPr>
          <w:rFonts w:asciiTheme="majorHAnsi" w:eastAsia="Times New Roman" w:hAnsiTheme="majorHAnsi"/>
          <w:sz w:val="36"/>
          <w:szCs w:val="40"/>
        </w:rPr>
        <w:sectPr w:rsidR="00F53B5C" w:rsidRPr="0033315E" w:rsidSect="00D66353">
          <w:headerReference w:type="default" r:id="rId8"/>
          <w:footerReference w:type="default" r:id="rId9"/>
          <w:headerReference w:type="first" r:id="rId10"/>
          <w:footerReference w:type="first" r:id="rId11"/>
          <w:type w:val="continuous"/>
          <w:pgSz w:w="11906" w:h="16838" w:code="9"/>
          <w:pgMar w:top="2836" w:right="1418" w:bottom="1701" w:left="851" w:header="567" w:footer="340" w:gutter="0"/>
          <w:cols w:space="708"/>
          <w:titlePg/>
          <w:docGrid w:linePitch="360"/>
        </w:sectPr>
      </w:pPr>
    </w:p>
    <w:p w:rsidR="00A52E47" w:rsidRPr="00C652ED" w:rsidRDefault="00A52E47" w:rsidP="00A52E47">
      <w:pPr>
        <w:pStyle w:val="Heading2"/>
      </w:pPr>
      <w:r>
        <w:t>P</w:t>
      </w:r>
      <w:r w:rsidRPr="00C652ED">
        <w:t>urpose</w:t>
      </w:r>
    </w:p>
    <w:p w:rsidR="00A52E47" w:rsidRDefault="00A52E47" w:rsidP="00A52E47">
      <w:r>
        <w:t>This guidance establishes a considered risk management approach to the employment in the ACT Public Service (ACTPS) of people who are ex-detainees, parolees or others with serious or extensive criminal histories.</w:t>
      </w:r>
    </w:p>
    <w:p w:rsidR="00A52E47" w:rsidRPr="00C652ED" w:rsidRDefault="00A52E47" w:rsidP="00A52E47">
      <w:pPr>
        <w:pStyle w:val="Heading2"/>
      </w:pPr>
      <w:r w:rsidRPr="00C652ED">
        <w:t>Introduction</w:t>
      </w:r>
    </w:p>
    <w:p w:rsidR="00A52E47" w:rsidRPr="007B3185" w:rsidRDefault="00A52E47" w:rsidP="00A52E47">
      <w:pPr>
        <w:rPr>
          <w:color w:val="000000" w:themeColor="text1"/>
        </w:rPr>
      </w:pPr>
      <w:r w:rsidRPr="007B3185">
        <w:rPr>
          <w:color w:val="000000" w:themeColor="text1"/>
        </w:rPr>
        <w:t>The Statement of Ambition, released by the Chief Minister in March 2016</w:t>
      </w:r>
      <w:r>
        <w:rPr>
          <w:color w:val="000000" w:themeColor="text1"/>
        </w:rPr>
        <w:t>,</w:t>
      </w:r>
      <w:r w:rsidRPr="007B3185">
        <w:rPr>
          <w:color w:val="000000" w:themeColor="text1"/>
        </w:rPr>
        <w:t xml:space="preserve"> identifies that equity and inclusion are cornerstones of the ACT Government, and reflect the values of </w:t>
      </w:r>
      <w:proofErr w:type="spellStart"/>
      <w:r w:rsidRPr="007B3185">
        <w:rPr>
          <w:color w:val="000000" w:themeColor="text1"/>
        </w:rPr>
        <w:t>Canberrans</w:t>
      </w:r>
      <w:proofErr w:type="spellEnd"/>
      <w:r w:rsidRPr="007B3185">
        <w:rPr>
          <w:color w:val="000000" w:themeColor="text1"/>
        </w:rPr>
        <w:t>.</w:t>
      </w:r>
    </w:p>
    <w:p w:rsidR="00A52E47" w:rsidRPr="00C83520" w:rsidRDefault="00A52E47" w:rsidP="00A52E47">
      <w:pPr>
        <w:rPr>
          <w:color w:val="000000" w:themeColor="text1"/>
        </w:rPr>
      </w:pPr>
      <w:r w:rsidRPr="00C83520">
        <w:rPr>
          <w:color w:val="000000" w:themeColor="text1"/>
        </w:rPr>
        <w:t>There is clear evidence that peoples</w:t>
      </w:r>
      <w:r>
        <w:rPr>
          <w:color w:val="000000" w:themeColor="text1"/>
        </w:rPr>
        <w:t>’</w:t>
      </w:r>
      <w:r w:rsidRPr="00C83520">
        <w:rPr>
          <w:color w:val="000000" w:themeColor="text1"/>
        </w:rPr>
        <w:t xml:space="preserve"> lived experiences can have a positive contribution to their effectiveness in relating to members of the community who access government services, for example, peer workers in health services such as alcohol and drug rehabilitation.</w:t>
      </w:r>
    </w:p>
    <w:p w:rsidR="00A52E47" w:rsidRDefault="00A52E47" w:rsidP="000F339B">
      <w:pPr>
        <w:rPr>
          <w:rFonts w:ascii="Montserrat" w:hAnsi="Montserrat"/>
          <w:b/>
          <w:color w:val="7030A0"/>
          <w:sz w:val="36"/>
          <w:szCs w:val="36"/>
        </w:rPr>
      </w:pPr>
      <w:r>
        <w:t>In addition, n</w:t>
      </w:r>
      <w:r w:rsidRPr="008F1B4D">
        <w:t xml:space="preserve">ational and international literature on corrections shows that detainees, relative to the general population, are confronted with an extensive range of disadvantages. </w:t>
      </w:r>
      <w:proofErr w:type="spellStart"/>
      <w:r w:rsidRPr="008F1B4D">
        <w:t>Ex­detainees</w:t>
      </w:r>
      <w:proofErr w:type="spellEnd"/>
      <w:r w:rsidRPr="008F1B4D">
        <w:t xml:space="preserve"> face a daunting set of obstacles to re-entry into our society as positive contributors, but securing employment post-release may be the biggest challenge of all. The links between employment and recidivism are well established. Employed people are less likely to become incarcerated. Detainees </w:t>
      </w:r>
      <w:r w:rsidRPr="00C83520">
        <w:rPr>
          <w:color w:val="000000" w:themeColor="text1"/>
        </w:rPr>
        <w:t>who gain and maintain employment on release are less likely to return to custody.</w:t>
      </w:r>
    </w:p>
    <w:p w:rsidR="00A52E47" w:rsidRPr="00C652ED" w:rsidRDefault="00A52E47" w:rsidP="00A52E47">
      <w:pPr>
        <w:pStyle w:val="Heading2"/>
      </w:pPr>
      <w:r>
        <w:t>Implementation</w:t>
      </w:r>
    </w:p>
    <w:p w:rsidR="00A52E47" w:rsidRDefault="00A52E47" w:rsidP="00A52E47">
      <w:r>
        <w:t>Applications for employment from people who are ex-detainees, parolees or others with serious or extensive criminal histories should not be automatically dismissed.</w:t>
      </w:r>
    </w:p>
    <w:p w:rsidR="00A52E47" w:rsidRDefault="00A52E47" w:rsidP="00A52E47">
      <w:r>
        <w:t>For these people, regular employment can be a means of supporting effective rehabilitation and contribution to society.</w:t>
      </w:r>
    </w:p>
    <w:p w:rsidR="00A52E47" w:rsidRDefault="00A52E47" w:rsidP="00A52E47">
      <w:r>
        <w:t>The ACTPS has the responsibility of ensuring that all people it employs are capable of complying with the values and the code of conduct to maintain the trust of the Government and the community.</w:t>
      </w:r>
      <w:r w:rsidRPr="00B83231">
        <w:t xml:space="preserve"> </w:t>
      </w:r>
      <w:r>
        <w:t xml:space="preserve">Section 68(2) of the </w:t>
      </w:r>
      <w:r w:rsidRPr="009D0238">
        <w:rPr>
          <w:i/>
        </w:rPr>
        <w:t>Public Sector Management Act 1994</w:t>
      </w:r>
      <w:r>
        <w:t xml:space="preserve"> provides:</w:t>
      </w:r>
    </w:p>
    <w:p w:rsidR="00A52E47" w:rsidRDefault="00A52E47" w:rsidP="00A52E47">
      <w:pPr>
        <w:tabs>
          <w:tab w:val="left" w:pos="1134"/>
        </w:tabs>
        <w:spacing w:after="0"/>
        <w:ind w:left="720"/>
      </w:pPr>
      <w:r w:rsidRPr="009D0238">
        <w:t>(2)</w:t>
      </w:r>
      <w:r>
        <w:tab/>
      </w:r>
      <w:r w:rsidRPr="009D0238">
        <w:t>The head of service may only appoint a person to an office if—</w:t>
      </w:r>
    </w:p>
    <w:p w:rsidR="00A52E47" w:rsidRDefault="00A52E47" w:rsidP="00A52E47">
      <w:pPr>
        <w:spacing w:after="0"/>
        <w:ind w:left="1559" w:hanging="425"/>
      </w:pPr>
      <w:r>
        <w:t>…</w:t>
      </w:r>
    </w:p>
    <w:p w:rsidR="00A52E47" w:rsidRDefault="00A52E47" w:rsidP="00A52E47">
      <w:pPr>
        <w:spacing w:after="0"/>
        <w:ind w:left="1559" w:hanging="425"/>
      </w:pPr>
      <w:r>
        <w:t>(c)</w:t>
      </w:r>
      <w:r>
        <w:tab/>
      </w:r>
      <w:proofErr w:type="gramStart"/>
      <w:r w:rsidRPr="009D0238">
        <w:t>the</w:t>
      </w:r>
      <w:proofErr w:type="gramEnd"/>
      <w:r w:rsidRPr="009D0238">
        <w:t xml:space="preserve"> head of service is satisfied on reasonable grounds, and</w:t>
      </w:r>
      <w:r>
        <w:t xml:space="preserve"> </w:t>
      </w:r>
      <w:r w:rsidRPr="009D0238">
        <w:t>states, in writing, that the person is suitable for appointment</w:t>
      </w:r>
      <w:r>
        <w:t xml:space="preserve"> </w:t>
      </w:r>
      <w:r w:rsidRPr="009D0238">
        <w:t>having regard to—</w:t>
      </w:r>
    </w:p>
    <w:p w:rsidR="00A52E47" w:rsidRDefault="00A52E47" w:rsidP="00A52E47">
      <w:pPr>
        <w:spacing w:after="0"/>
        <w:ind w:left="1559" w:hanging="425"/>
      </w:pPr>
      <w:r>
        <w:t>…</w:t>
      </w:r>
    </w:p>
    <w:p w:rsidR="00A52E47" w:rsidRPr="009D0238" w:rsidRDefault="00A52E47" w:rsidP="00A52E47">
      <w:pPr>
        <w:ind w:left="1985" w:hanging="426"/>
      </w:pPr>
      <w:r>
        <w:t>(ii)</w:t>
      </w:r>
      <w:r>
        <w:tab/>
      </w:r>
      <w:proofErr w:type="gramStart"/>
      <w:r w:rsidRPr="009D0238">
        <w:t>whether</w:t>
      </w:r>
      <w:proofErr w:type="gramEnd"/>
      <w:r w:rsidRPr="009D0238">
        <w:t xml:space="preserve"> the person has any prior criminal convictions;</w:t>
      </w:r>
      <w:r>
        <w:t xml:space="preserve"> </w:t>
      </w:r>
    </w:p>
    <w:p w:rsidR="00A52E47" w:rsidRDefault="00A52E47" w:rsidP="00A52E47">
      <w:r>
        <w:t>A risk management approach should be applied when assessing these applications for employment.</w:t>
      </w:r>
    </w:p>
    <w:p w:rsidR="00A52E47" w:rsidRDefault="00A52E47" w:rsidP="00A52E47">
      <w:r>
        <w:t>Actions to verify the suitability of applicants may include, but are not limited to, the following:</w:t>
      </w:r>
    </w:p>
    <w:p w:rsidR="00A52E47" w:rsidRDefault="00A52E47" w:rsidP="00A52E47">
      <w:pPr>
        <w:pStyle w:val="ListParagraph"/>
        <w:numPr>
          <w:ilvl w:val="0"/>
          <w:numId w:val="31"/>
        </w:numPr>
        <w:spacing w:after="160" w:line="259" w:lineRule="auto"/>
      </w:pPr>
      <w:r>
        <w:t xml:space="preserve">liaison with managers of offender rehabilitation programs (such as </w:t>
      </w:r>
      <w:proofErr w:type="spellStart"/>
      <w:r>
        <w:t>Throughcare</w:t>
      </w:r>
      <w:proofErr w:type="spellEnd"/>
      <w:r>
        <w:t>);</w:t>
      </w:r>
    </w:p>
    <w:p w:rsidR="00A52E47" w:rsidRDefault="00A52E47" w:rsidP="00A52E47">
      <w:pPr>
        <w:pStyle w:val="ListParagraph"/>
        <w:numPr>
          <w:ilvl w:val="0"/>
          <w:numId w:val="31"/>
        </w:numPr>
        <w:spacing w:after="160" w:line="259" w:lineRule="auto"/>
      </w:pPr>
      <w:r>
        <w:t>discussions with parole officers;</w:t>
      </w:r>
    </w:p>
    <w:p w:rsidR="00A52E47" w:rsidRDefault="00A52E47" w:rsidP="00A52E47">
      <w:pPr>
        <w:pStyle w:val="ListParagraph"/>
        <w:numPr>
          <w:ilvl w:val="0"/>
          <w:numId w:val="31"/>
        </w:numPr>
        <w:spacing w:after="160" w:line="259" w:lineRule="auto"/>
      </w:pPr>
      <w:r>
        <w:t>discussions with any other professional or personal referees the applicant nominates;</w:t>
      </w:r>
    </w:p>
    <w:p w:rsidR="00A52E47" w:rsidRDefault="00A52E47" w:rsidP="00A52E47">
      <w:pPr>
        <w:pStyle w:val="ListParagraph"/>
        <w:numPr>
          <w:ilvl w:val="0"/>
          <w:numId w:val="31"/>
        </w:numPr>
        <w:spacing w:after="160" w:line="259" w:lineRule="auto"/>
      </w:pPr>
      <w:r>
        <w:t>meeting with the applicant prior to any decision on selection regarding their criminal history in order to assess suitability; and</w:t>
      </w:r>
    </w:p>
    <w:p w:rsidR="00A52E47" w:rsidRDefault="00A52E47" w:rsidP="00A52E47">
      <w:pPr>
        <w:pStyle w:val="ListParagraph"/>
        <w:numPr>
          <w:ilvl w:val="0"/>
          <w:numId w:val="31"/>
        </w:numPr>
        <w:spacing w:after="160" w:line="259" w:lineRule="auto"/>
      </w:pPr>
      <w:proofErr w:type="gramStart"/>
      <w:r>
        <w:lastRenderedPageBreak/>
        <w:t>extended</w:t>
      </w:r>
      <w:proofErr w:type="gramEnd"/>
      <w:r>
        <w:t xml:space="preserve"> probation period of up to 12 months with clear expectations communicated to the employee. These discussions must include at a minimum the line manager and delegate for the selection;</w:t>
      </w:r>
    </w:p>
    <w:p w:rsidR="00A52E47" w:rsidRDefault="00A52E47" w:rsidP="00A52E47">
      <w:r>
        <w:t xml:space="preserve">This does not obviate the need for registration under the </w:t>
      </w:r>
      <w:r w:rsidRPr="000C16B4">
        <w:rPr>
          <w:i/>
        </w:rPr>
        <w:t>Working with Vulnerable People (Background Checking) Act 2011</w:t>
      </w:r>
      <w:r>
        <w:t xml:space="preserve"> or other regulatory checks applicable to certain roles in the ACTPS.</w:t>
      </w:r>
    </w:p>
    <w:p w:rsidR="00A52E47" w:rsidRDefault="00A52E47" w:rsidP="00A52E47">
      <w:r>
        <w:t>The Public Sector Management Group is available to provide support and assistance in the application of this policy and can be contacted via email: psm@act.gov.au.</w:t>
      </w:r>
    </w:p>
    <w:p w:rsidR="00A52E47" w:rsidRDefault="00A52E47" w:rsidP="00A52E47"/>
    <w:p w:rsidR="00632F54" w:rsidRPr="000F339B" w:rsidRDefault="00632F54" w:rsidP="000F339B">
      <w:pPr>
        <w:tabs>
          <w:tab w:val="left" w:pos="3388"/>
        </w:tabs>
        <w:spacing w:after="0" w:line="240" w:lineRule="auto"/>
        <w:rPr>
          <w:rFonts w:ascii="Times New Roman" w:eastAsia="Times New Roman" w:hAnsi="Times New Roman"/>
          <w:sz w:val="24"/>
          <w:szCs w:val="24"/>
        </w:rPr>
      </w:pPr>
      <w:bookmarkStart w:id="1" w:name="_Toc457377884"/>
      <w:bookmarkEnd w:id="1"/>
    </w:p>
    <w:sectPr w:rsidR="00632F54" w:rsidRPr="000F339B" w:rsidSect="00954A0C">
      <w:type w:val="continuous"/>
      <w:pgSz w:w="11906" w:h="16838" w:code="9"/>
      <w:pgMar w:top="2268" w:right="1418" w:bottom="1701"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DD" w:rsidRDefault="008B4EDD" w:rsidP="00665B9F">
      <w:pPr>
        <w:spacing w:after="0" w:line="240" w:lineRule="auto"/>
      </w:pPr>
      <w:r>
        <w:separator/>
      </w:r>
    </w:p>
  </w:endnote>
  <w:endnote w:type="continuationSeparator" w:id="0">
    <w:p w:rsidR="008B4EDD" w:rsidRDefault="008B4EDD"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ource Sans Pro Semibold">
    <w:panose1 w:val="020B06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47" w:rsidRDefault="00A52E47" w:rsidP="00A52E47">
    <w:pPr>
      <w:pStyle w:val="Footer"/>
      <w:jc w:val="right"/>
      <w:rPr>
        <w:color w:val="00B0F0"/>
      </w:rPr>
    </w:pPr>
    <w:r w:rsidRPr="00A52E47">
      <w:rPr>
        <w:color w:val="00B0F0"/>
      </w:rPr>
      <w:t xml:space="preserve">Public Sector Management Group </w:t>
    </w:r>
    <w:r w:rsidRPr="00A52E47">
      <w:rPr>
        <w:color w:val="00B0F0"/>
      </w:rPr>
      <w:br/>
      <w:t xml:space="preserve">Chief Ministers, Treasury, and </w:t>
    </w:r>
  </w:p>
  <w:p w:rsidR="00A52E47" w:rsidRDefault="00A52E47" w:rsidP="00A52E47">
    <w:pPr>
      <w:pStyle w:val="Footer"/>
      <w:jc w:val="right"/>
      <w:rPr>
        <w:color w:val="00B0F0"/>
      </w:rPr>
    </w:pPr>
    <w:r w:rsidRPr="00A52E47">
      <w:rPr>
        <w:color w:val="00B0F0"/>
      </w:rPr>
      <w:t>Economic Development Directorate</w:t>
    </w:r>
  </w:p>
  <w:p w:rsidR="00F12F2B" w:rsidRPr="00A52E47" w:rsidRDefault="00A52E47" w:rsidP="00A52E47">
    <w:pPr>
      <w:pStyle w:val="Footer"/>
      <w:jc w:val="right"/>
      <w:rPr>
        <w:color w:val="00B0F0"/>
      </w:rPr>
    </w:pPr>
    <w:r>
      <w:rPr>
        <w:color w:val="00B0F0"/>
      </w:rPr>
      <w:tab/>
      <w:t>May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47" w:rsidRPr="00A52E47" w:rsidRDefault="00A52E47" w:rsidP="00A52E47">
    <w:pPr>
      <w:pStyle w:val="Footer"/>
      <w:jc w:val="right"/>
      <w:rPr>
        <w:color w:val="00B0F0"/>
      </w:rPr>
    </w:pPr>
    <w:r>
      <w:tab/>
    </w:r>
    <w:r w:rsidRPr="00A52E47">
      <w:rPr>
        <w:color w:val="00B0F0"/>
      </w:rPr>
      <w:t xml:space="preserve">Public Sector Management Group </w:t>
    </w:r>
    <w:r w:rsidRPr="00A52E47">
      <w:rPr>
        <w:color w:val="00B0F0"/>
      </w:rPr>
      <w:br/>
      <w:t xml:space="preserve">Chief Ministers, Treasury, and </w:t>
    </w:r>
  </w:p>
  <w:p w:rsidR="00A52E47" w:rsidRDefault="00A52E47" w:rsidP="00A52E47">
    <w:pPr>
      <w:tabs>
        <w:tab w:val="center" w:pos="4513"/>
        <w:tab w:val="right" w:pos="9026"/>
      </w:tabs>
      <w:spacing w:after="0" w:line="240" w:lineRule="auto"/>
      <w:jc w:val="right"/>
      <w:rPr>
        <w:b/>
        <w:color w:val="00B0F0"/>
      </w:rPr>
    </w:pPr>
    <w:r w:rsidRPr="00A52E47">
      <w:rPr>
        <w:b/>
        <w:color w:val="00B0F0"/>
      </w:rPr>
      <w:t>Economic Development Directorate</w:t>
    </w:r>
  </w:p>
  <w:p w:rsidR="000E35B3" w:rsidRPr="00A52E47" w:rsidRDefault="00A52E47" w:rsidP="00A52E47">
    <w:pPr>
      <w:tabs>
        <w:tab w:val="center" w:pos="4513"/>
        <w:tab w:val="right" w:pos="9026"/>
      </w:tabs>
      <w:spacing w:after="0" w:line="240" w:lineRule="auto"/>
      <w:jc w:val="right"/>
      <w:rPr>
        <w:b/>
        <w:color w:val="00B0F0"/>
      </w:rPr>
    </w:pPr>
    <w:r w:rsidRPr="00A52E47">
      <w:rPr>
        <w:b/>
        <w:color w:val="00B0F0"/>
      </w:rPr>
      <w:tab/>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DD" w:rsidRDefault="008B4EDD" w:rsidP="00665B9F">
      <w:pPr>
        <w:spacing w:after="0" w:line="240" w:lineRule="auto"/>
      </w:pPr>
      <w:r>
        <w:separator/>
      </w:r>
    </w:p>
  </w:footnote>
  <w:footnote w:type="continuationSeparator" w:id="0">
    <w:p w:rsidR="008B4EDD" w:rsidRDefault="008B4EDD"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B" w:rsidRPr="00A52E47" w:rsidRDefault="000E35B3" w:rsidP="0079447B">
    <w:pPr>
      <w:pStyle w:val="Heading1"/>
      <w:rPr>
        <w:b/>
        <w:color w:val="00B0F0"/>
      </w:rPr>
    </w:pPr>
    <w:r>
      <w:rPr>
        <w:noProof/>
      </w:rPr>
      <w:drawing>
        <wp:anchor distT="0" distB="0" distL="114300" distR="114300" simplePos="0" relativeHeight="251667456" behindDoc="1" locked="0" layoutInCell="1" allowOverlap="1" wp14:anchorId="04201D54" wp14:editId="5F11CCEC">
          <wp:simplePos x="0" y="0"/>
          <wp:positionH relativeFrom="page">
            <wp:posOffset>0</wp:posOffset>
          </wp:positionH>
          <wp:positionV relativeFrom="paragraph">
            <wp:posOffset>-250141</wp:posOffset>
          </wp:positionV>
          <wp:extent cx="7556967" cy="10689771"/>
          <wp:effectExtent l="0" t="0" r="6350" b="0"/>
          <wp:wrapNone/>
          <wp:docPr id="6" name="Picture 6"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r w:rsidR="0079447B">
      <w:rPr>
        <w:b/>
        <w:color w:val="FFFFFF" w:themeColor="background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53" w:rsidRDefault="000E35B3">
    <w:pPr>
      <w:pStyle w:val="Header"/>
    </w:pPr>
    <w:r>
      <w:rPr>
        <w:noProof/>
      </w:rPr>
      <w:drawing>
        <wp:anchor distT="0" distB="0" distL="114300" distR="114300" simplePos="0" relativeHeight="251665408" behindDoc="1" locked="0" layoutInCell="1" allowOverlap="1">
          <wp:simplePos x="0" y="0"/>
          <wp:positionH relativeFrom="page">
            <wp:posOffset>0</wp:posOffset>
          </wp:positionH>
          <wp:positionV relativeFrom="paragraph">
            <wp:posOffset>-216730</wp:posOffset>
          </wp:positionV>
          <wp:extent cx="7556967" cy="10689771"/>
          <wp:effectExtent l="0" t="0" r="6350" b="0"/>
          <wp:wrapNone/>
          <wp:docPr id="5" name="Picture 5"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67" cy="10689771"/>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D66353">
      <w:rPr>
        <w:b/>
        <w:noProof/>
        <w:color w:val="FFFFFF" w:themeColor="background1"/>
      </w:rPr>
      <w:drawing>
        <wp:anchor distT="0" distB="0" distL="114300" distR="114300" simplePos="0" relativeHeight="251664384" behindDoc="0" locked="0" layoutInCell="1" allowOverlap="1" wp14:anchorId="38E5B47E" wp14:editId="5F4A29BA">
          <wp:simplePos x="0" y="0"/>
          <wp:positionH relativeFrom="margin">
            <wp:posOffset>-644434</wp:posOffset>
          </wp:positionH>
          <wp:positionV relativeFrom="paragraph">
            <wp:posOffset>-512445</wp:posOffset>
          </wp:positionV>
          <wp:extent cx="7833360" cy="2084940"/>
          <wp:effectExtent l="0" t="0" r="0" b="0"/>
          <wp:wrapNone/>
          <wp:docPr id="1" name="Pictur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Gov_factsheet-header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33360" cy="208494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B4C5C2B"/>
    <w:multiLevelType w:val="hybridMultilevel"/>
    <w:tmpl w:val="2E78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num>
  <w:num w:numId="4">
    <w:abstractNumId w:val="26"/>
  </w:num>
  <w:num w:numId="5">
    <w:abstractNumId w:val="20"/>
  </w:num>
  <w:num w:numId="6">
    <w:abstractNumId w:val="15"/>
  </w:num>
  <w:num w:numId="7">
    <w:abstractNumId w:val="30"/>
  </w:num>
  <w:num w:numId="8">
    <w:abstractNumId w:val="18"/>
  </w:num>
  <w:num w:numId="9">
    <w:abstractNumId w:val="11"/>
  </w:num>
  <w:num w:numId="10">
    <w:abstractNumId w:val="21"/>
  </w:num>
  <w:num w:numId="11">
    <w:abstractNumId w:val="16"/>
  </w:num>
  <w:num w:numId="12">
    <w:abstractNumId w:val="27"/>
  </w:num>
  <w:num w:numId="13">
    <w:abstractNumId w:val="13"/>
  </w:num>
  <w:num w:numId="14">
    <w:abstractNumId w:val="17"/>
  </w:num>
  <w:num w:numId="15">
    <w:abstractNumId w:val="19"/>
  </w:num>
  <w:num w:numId="16">
    <w:abstractNumId w:val="12"/>
  </w:num>
  <w:num w:numId="17">
    <w:abstractNumId w:val="14"/>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5"/>
    <w:rsid w:val="000016B9"/>
    <w:rsid w:val="000068D5"/>
    <w:rsid w:val="00030569"/>
    <w:rsid w:val="00030790"/>
    <w:rsid w:val="00030CC1"/>
    <w:rsid w:val="00034546"/>
    <w:rsid w:val="00036B92"/>
    <w:rsid w:val="000419C1"/>
    <w:rsid w:val="00043B50"/>
    <w:rsid w:val="0005196D"/>
    <w:rsid w:val="00064C45"/>
    <w:rsid w:val="000650AF"/>
    <w:rsid w:val="00065CEA"/>
    <w:rsid w:val="00067FFD"/>
    <w:rsid w:val="00070067"/>
    <w:rsid w:val="00076803"/>
    <w:rsid w:val="00090A83"/>
    <w:rsid w:val="000A2FFC"/>
    <w:rsid w:val="000A6B63"/>
    <w:rsid w:val="000B13CB"/>
    <w:rsid w:val="000C3F1E"/>
    <w:rsid w:val="000C6C34"/>
    <w:rsid w:val="000E35B3"/>
    <w:rsid w:val="000F339B"/>
    <w:rsid w:val="000F3ACB"/>
    <w:rsid w:val="000F5CCD"/>
    <w:rsid w:val="000F5D86"/>
    <w:rsid w:val="0011798B"/>
    <w:rsid w:val="00145027"/>
    <w:rsid w:val="0015010B"/>
    <w:rsid w:val="001501D9"/>
    <w:rsid w:val="00152EB7"/>
    <w:rsid w:val="0016080C"/>
    <w:rsid w:val="001623DE"/>
    <w:rsid w:val="001912A2"/>
    <w:rsid w:val="001966FA"/>
    <w:rsid w:val="00197666"/>
    <w:rsid w:val="001A0139"/>
    <w:rsid w:val="001A0956"/>
    <w:rsid w:val="001A4D20"/>
    <w:rsid w:val="001C08B0"/>
    <w:rsid w:val="001C1FF2"/>
    <w:rsid w:val="001E7690"/>
    <w:rsid w:val="001E76BA"/>
    <w:rsid w:val="002009BA"/>
    <w:rsid w:val="00214A8E"/>
    <w:rsid w:val="00215465"/>
    <w:rsid w:val="00251255"/>
    <w:rsid w:val="00266A8F"/>
    <w:rsid w:val="002846D8"/>
    <w:rsid w:val="00287C96"/>
    <w:rsid w:val="002A0832"/>
    <w:rsid w:val="002A5458"/>
    <w:rsid w:val="002C6B74"/>
    <w:rsid w:val="002C7615"/>
    <w:rsid w:val="002D33BC"/>
    <w:rsid w:val="002E7655"/>
    <w:rsid w:val="003238CE"/>
    <w:rsid w:val="0033315E"/>
    <w:rsid w:val="00341831"/>
    <w:rsid w:val="00342925"/>
    <w:rsid w:val="003439ED"/>
    <w:rsid w:val="00354F6D"/>
    <w:rsid w:val="003633F5"/>
    <w:rsid w:val="00376A58"/>
    <w:rsid w:val="0037744F"/>
    <w:rsid w:val="003A641C"/>
    <w:rsid w:val="003B13F4"/>
    <w:rsid w:val="003C0111"/>
    <w:rsid w:val="003D4DBC"/>
    <w:rsid w:val="00411A3D"/>
    <w:rsid w:val="004439BD"/>
    <w:rsid w:val="004502A1"/>
    <w:rsid w:val="00452B15"/>
    <w:rsid w:val="004563B4"/>
    <w:rsid w:val="00456560"/>
    <w:rsid w:val="00464775"/>
    <w:rsid w:val="00481CE3"/>
    <w:rsid w:val="00482E0B"/>
    <w:rsid w:val="00496C0F"/>
    <w:rsid w:val="00496CD4"/>
    <w:rsid w:val="004B4981"/>
    <w:rsid w:val="004C10AE"/>
    <w:rsid w:val="004C1925"/>
    <w:rsid w:val="004D332D"/>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97EAD"/>
    <w:rsid w:val="005A60DB"/>
    <w:rsid w:val="005B369E"/>
    <w:rsid w:val="005C54B5"/>
    <w:rsid w:val="005C72CC"/>
    <w:rsid w:val="005E5305"/>
    <w:rsid w:val="006046FF"/>
    <w:rsid w:val="00604F69"/>
    <w:rsid w:val="00622565"/>
    <w:rsid w:val="0063036E"/>
    <w:rsid w:val="00632F54"/>
    <w:rsid w:val="00633AF4"/>
    <w:rsid w:val="00635C80"/>
    <w:rsid w:val="006515F5"/>
    <w:rsid w:val="006610FF"/>
    <w:rsid w:val="00664411"/>
    <w:rsid w:val="00665B9F"/>
    <w:rsid w:val="00680C6F"/>
    <w:rsid w:val="00685229"/>
    <w:rsid w:val="0069624A"/>
    <w:rsid w:val="006A2843"/>
    <w:rsid w:val="006A6360"/>
    <w:rsid w:val="006C1037"/>
    <w:rsid w:val="006D2273"/>
    <w:rsid w:val="006D5CDC"/>
    <w:rsid w:val="006F7929"/>
    <w:rsid w:val="0073089A"/>
    <w:rsid w:val="00744530"/>
    <w:rsid w:val="0076392F"/>
    <w:rsid w:val="0078138D"/>
    <w:rsid w:val="007903B1"/>
    <w:rsid w:val="0079069F"/>
    <w:rsid w:val="0079447B"/>
    <w:rsid w:val="007D1FEC"/>
    <w:rsid w:val="007D26DC"/>
    <w:rsid w:val="007D5985"/>
    <w:rsid w:val="007E76A2"/>
    <w:rsid w:val="00810221"/>
    <w:rsid w:val="00810457"/>
    <w:rsid w:val="00815AAF"/>
    <w:rsid w:val="008266EE"/>
    <w:rsid w:val="00826FDC"/>
    <w:rsid w:val="00832B4A"/>
    <w:rsid w:val="008459DC"/>
    <w:rsid w:val="0086024E"/>
    <w:rsid w:val="00860B3E"/>
    <w:rsid w:val="00875C35"/>
    <w:rsid w:val="00877FA8"/>
    <w:rsid w:val="00886A94"/>
    <w:rsid w:val="00886E14"/>
    <w:rsid w:val="0089332C"/>
    <w:rsid w:val="008A2D11"/>
    <w:rsid w:val="008A5095"/>
    <w:rsid w:val="008A593B"/>
    <w:rsid w:val="008B4EDD"/>
    <w:rsid w:val="008D2D94"/>
    <w:rsid w:val="008E4CD0"/>
    <w:rsid w:val="00913147"/>
    <w:rsid w:val="00917703"/>
    <w:rsid w:val="0092592D"/>
    <w:rsid w:val="00936F16"/>
    <w:rsid w:val="00937B2B"/>
    <w:rsid w:val="00941A30"/>
    <w:rsid w:val="00947539"/>
    <w:rsid w:val="00954A0C"/>
    <w:rsid w:val="0096313F"/>
    <w:rsid w:val="00966ABA"/>
    <w:rsid w:val="00975520"/>
    <w:rsid w:val="009972DF"/>
    <w:rsid w:val="009B7419"/>
    <w:rsid w:val="009C2EED"/>
    <w:rsid w:val="009E391E"/>
    <w:rsid w:val="009E4EC4"/>
    <w:rsid w:val="009F7A67"/>
    <w:rsid w:val="00A52E47"/>
    <w:rsid w:val="00A53F9C"/>
    <w:rsid w:val="00A56436"/>
    <w:rsid w:val="00A7771C"/>
    <w:rsid w:val="00A80C2F"/>
    <w:rsid w:val="00A9477E"/>
    <w:rsid w:val="00AA618D"/>
    <w:rsid w:val="00AA6E5F"/>
    <w:rsid w:val="00AB1FAF"/>
    <w:rsid w:val="00AB33D4"/>
    <w:rsid w:val="00AB3779"/>
    <w:rsid w:val="00AB6DED"/>
    <w:rsid w:val="00AB7D32"/>
    <w:rsid w:val="00AC5820"/>
    <w:rsid w:val="00AD09B3"/>
    <w:rsid w:val="00AD606C"/>
    <w:rsid w:val="00AE2693"/>
    <w:rsid w:val="00AE3E57"/>
    <w:rsid w:val="00AE6BD7"/>
    <w:rsid w:val="00AF112C"/>
    <w:rsid w:val="00AF1CC1"/>
    <w:rsid w:val="00AF2B44"/>
    <w:rsid w:val="00AF4E7F"/>
    <w:rsid w:val="00B02277"/>
    <w:rsid w:val="00B02AD2"/>
    <w:rsid w:val="00B23196"/>
    <w:rsid w:val="00B51C5D"/>
    <w:rsid w:val="00B525C2"/>
    <w:rsid w:val="00B52648"/>
    <w:rsid w:val="00B6508B"/>
    <w:rsid w:val="00B70320"/>
    <w:rsid w:val="00B70B52"/>
    <w:rsid w:val="00B71D00"/>
    <w:rsid w:val="00BA2F3B"/>
    <w:rsid w:val="00BB3989"/>
    <w:rsid w:val="00BC21E9"/>
    <w:rsid w:val="00BC6211"/>
    <w:rsid w:val="00C140C2"/>
    <w:rsid w:val="00C17AE1"/>
    <w:rsid w:val="00C34A60"/>
    <w:rsid w:val="00C34F4D"/>
    <w:rsid w:val="00C46E8A"/>
    <w:rsid w:val="00C47FCD"/>
    <w:rsid w:val="00C545DC"/>
    <w:rsid w:val="00C74C6D"/>
    <w:rsid w:val="00C777B3"/>
    <w:rsid w:val="00C82173"/>
    <w:rsid w:val="00C837F2"/>
    <w:rsid w:val="00C85938"/>
    <w:rsid w:val="00C973B7"/>
    <w:rsid w:val="00CB5B48"/>
    <w:rsid w:val="00CB7CEE"/>
    <w:rsid w:val="00CC521C"/>
    <w:rsid w:val="00CE5298"/>
    <w:rsid w:val="00CF5A26"/>
    <w:rsid w:val="00D05E52"/>
    <w:rsid w:val="00D2026C"/>
    <w:rsid w:val="00D249CA"/>
    <w:rsid w:val="00D24F1A"/>
    <w:rsid w:val="00D4548E"/>
    <w:rsid w:val="00D51B7A"/>
    <w:rsid w:val="00D5471F"/>
    <w:rsid w:val="00D63564"/>
    <w:rsid w:val="00D66353"/>
    <w:rsid w:val="00D72E45"/>
    <w:rsid w:val="00D760F0"/>
    <w:rsid w:val="00D770F0"/>
    <w:rsid w:val="00DA78C9"/>
    <w:rsid w:val="00DB04F9"/>
    <w:rsid w:val="00DB064A"/>
    <w:rsid w:val="00DB76EC"/>
    <w:rsid w:val="00DD1627"/>
    <w:rsid w:val="00DD35A4"/>
    <w:rsid w:val="00DD6496"/>
    <w:rsid w:val="00DE3AF3"/>
    <w:rsid w:val="00E020B6"/>
    <w:rsid w:val="00E20794"/>
    <w:rsid w:val="00E25F01"/>
    <w:rsid w:val="00E27E63"/>
    <w:rsid w:val="00E30105"/>
    <w:rsid w:val="00E40295"/>
    <w:rsid w:val="00E40A57"/>
    <w:rsid w:val="00E43F8B"/>
    <w:rsid w:val="00E561E7"/>
    <w:rsid w:val="00E60467"/>
    <w:rsid w:val="00E670FD"/>
    <w:rsid w:val="00E73B61"/>
    <w:rsid w:val="00E817B2"/>
    <w:rsid w:val="00E93F07"/>
    <w:rsid w:val="00EC594D"/>
    <w:rsid w:val="00EC7585"/>
    <w:rsid w:val="00F04053"/>
    <w:rsid w:val="00F05E53"/>
    <w:rsid w:val="00F11E01"/>
    <w:rsid w:val="00F12F2B"/>
    <w:rsid w:val="00F141C9"/>
    <w:rsid w:val="00F15362"/>
    <w:rsid w:val="00F2005D"/>
    <w:rsid w:val="00F53B5C"/>
    <w:rsid w:val="00F53D3C"/>
    <w:rsid w:val="00F65D04"/>
    <w:rsid w:val="00F875BD"/>
    <w:rsid w:val="00FA6C39"/>
    <w:rsid w:val="00FB1226"/>
    <w:rsid w:val="00FB3938"/>
    <w:rsid w:val="00FC5A22"/>
    <w:rsid w:val="00FE0459"/>
    <w:rsid w:val="00FE631C"/>
    <w:rsid w:val="00FF0A9E"/>
    <w:rsid w:val="00FF3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47"/>
    <w:pPr>
      <w:spacing w:line="250" w:lineRule="exact"/>
    </w:pPr>
    <w:rPr>
      <w:rFonts w:cs="Times New Roman"/>
      <w:sz w:val="21"/>
      <w:szCs w:val="21"/>
      <w:lang w:eastAsia="en-AU"/>
    </w:rPr>
  </w:style>
  <w:style w:type="paragraph" w:styleId="Heading1">
    <w:name w:val="heading 1"/>
    <w:next w:val="Heading2"/>
    <w:link w:val="Heading1Char"/>
    <w:uiPriority w:val="9"/>
    <w:qFormat/>
    <w:rsid w:val="0033315E"/>
    <w:pPr>
      <w:keepNext/>
      <w:suppressAutoHyphens/>
      <w:spacing w:before="360" w:after="0" w:line="600" w:lineRule="exact"/>
      <w:outlineLvl w:val="0"/>
    </w:pPr>
    <w:rPr>
      <w:rFonts w:ascii="Montserrat" w:eastAsiaTheme="majorEastAsia" w:hAnsi="Montserrat" w:cstheme="majorBidi"/>
      <w:bCs/>
      <w:caps/>
      <w:color w:val="7030A0"/>
      <w:w w:val="92"/>
      <w:kern w:val="36"/>
      <w:sz w:val="64"/>
      <w:szCs w:val="48"/>
      <w:lang w:eastAsia="en-AU"/>
    </w:rPr>
  </w:style>
  <w:style w:type="paragraph" w:styleId="Heading2">
    <w:name w:val="heading 2"/>
    <w:basedOn w:val="Normal"/>
    <w:next w:val="Heading3"/>
    <w:link w:val="Heading2Char"/>
    <w:uiPriority w:val="9"/>
    <w:unhideWhenUsed/>
    <w:qFormat/>
    <w:rsid w:val="003C0111"/>
    <w:pPr>
      <w:keepNext/>
      <w:suppressAutoHyphens/>
      <w:spacing w:before="240" w:after="60" w:line="300" w:lineRule="exact"/>
      <w:outlineLvl w:val="1"/>
    </w:pPr>
    <w:rPr>
      <w:rFonts w:ascii="Montserrat" w:hAnsi="Montserrat"/>
      <w:b/>
      <w:color w:val="7030A0"/>
      <w:sz w:val="36"/>
      <w:szCs w:val="36"/>
    </w:rPr>
  </w:style>
  <w:style w:type="paragraph" w:styleId="Heading3">
    <w:name w:val="heading 3"/>
    <w:basedOn w:val="Normal"/>
    <w:next w:val="Normal"/>
    <w:link w:val="Heading3Char"/>
    <w:uiPriority w:val="9"/>
    <w:unhideWhenUsed/>
    <w:qFormat/>
    <w:rsid w:val="0033315E"/>
    <w:pPr>
      <w:keepNext/>
      <w:suppressAutoHyphens/>
      <w:spacing w:before="100" w:beforeAutospacing="1" w:after="60" w:line="240" w:lineRule="exact"/>
      <w:outlineLvl w:val="2"/>
    </w:pPr>
    <w:rPr>
      <w:rFonts w:ascii="Montserrat" w:eastAsia="Times New Roman" w:hAnsi="Montserrat"/>
      <w:b/>
      <w:color w:val="323232" w:themeColor="accent1"/>
      <w:sz w:val="26"/>
      <w:szCs w:val="28"/>
    </w:rPr>
  </w:style>
  <w:style w:type="paragraph" w:styleId="Heading4">
    <w:name w:val="heading 4"/>
    <w:basedOn w:val="Normal"/>
    <w:link w:val="Heading4Char"/>
    <w:uiPriority w:val="9"/>
    <w:unhideWhenUsed/>
    <w:qFormat/>
    <w:rsid w:val="0079447B"/>
    <w:pPr>
      <w:keepNext/>
      <w:spacing w:before="200" w:after="60" w:line="240" w:lineRule="exact"/>
      <w:outlineLvl w:val="3"/>
    </w:pPr>
    <w:rPr>
      <w:rFonts w:ascii="Montserrat" w:hAnsi="Montserrat"/>
      <w:b/>
      <w:bCs/>
      <w:color w:val="00B0F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15E"/>
    <w:rPr>
      <w:rFonts w:ascii="Montserrat" w:eastAsiaTheme="majorEastAsia" w:hAnsi="Montserrat" w:cstheme="majorBidi"/>
      <w:bCs/>
      <w:caps/>
      <w:color w:val="7030A0"/>
      <w:w w:val="92"/>
      <w:kern w:val="36"/>
      <w:sz w:val="64"/>
      <w:szCs w:val="48"/>
      <w:lang w:eastAsia="en-AU"/>
    </w:rPr>
  </w:style>
  <w:style w:type="character" w:customStyle="1" w:styleId="Heading2Char">
    <w:name w:val="Heading 2 Char"/>
    <w:basedOn w:val="DefaultParagraphFont"/>
    <w:link w:val="Heading2"/>
    <w:uiPriority w:val="9"/>
    <w:rsid w:val="003C0111"/>
    <w:rPr>
      <w:rFonts w:ascii="Montserrat" w:hAnsi="Montserrat" w:cs="Times New Roman"/>
      <w:b/>
      <w:color w:val="7030A0"/>
      <w:sz w:val="36"/>
      <w:szCs w:val="36"/>
      <w:lang w:eastAsia="en-AU"/>
    </w:rPr>
  </w:style>
  <w:style w:type="character" w:customStyle="1" w:styleId="Heading3Char">
    <w:name w:val="Heading 3 Char"/>
    <w:basedOn w:val="DefaultParagraphFont"/>
    <w:link w:val="Heading3"/>
    <w:uiPriority w:val="9"/>
    <w:rsid w:val="0033315E"/>
    <w:rPr>
      <w:rFonts w:ascii="Montserrat" w:eastAsia="Times New Roman" w:hAnsi="Montserrat" w:cs="Times New Roman"/>
      <w:b/>
      <w:color w:val="323232" w:themeColor="accent1"/>
      <w:sz w:val="26"/>
      <w:szCs w:val="28"/>
      <w:lang w:eastAsia="en-AU"/>
    </w:rPr>
  </w:style>
  <w:style w:type="character" w:customStyle="1" w:styleId="Heading4Char">
    <w:name w:val="Heading 4 Char"/>
    <w:basedOn w:val="DefaultParagraphFont"/>
    <w:link w:val="Heading4"/>
    <w:uiPriority w:val="9"/>
    <w:rsid w:val="0079447B"/>
    <w:rPr>
      <w:rFonts w:ascii="Montserrat" w:hAnsi="Montserrat" w:cs="Times New Roman"/>
      <w:b/>
      <w:bCs/>
      <w:color w:val="00B0F0"/>
      <w:szCs w:val="28"/>
      <w:lang w:eastAsia="en-AU"/>
    </w:rPr>
  </w:style>
  <w:style w:type="character" w:styleId="Hyperlink">
    <w:name w:val="Hyperlink"/>
    <w:basedOn w:val="DefaultParagraphFont"/>
    <w:uiPriority w:val="99"/>
    <w:unhideWhenUsed/>
    <w:rsid w:val="0079447B"/>
    <w:rPr>
      <w:rFonts w:asciiTheme="minorHAnsi" w:hAnsiTheme="minorHAnsi"/>
      <w:color w:val="7030A0"/>
      <w:u w:val="non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79447B"/>
    <w:pPr>
      <w:spacing w:line="300" w:lineRule="exact"/>
    </w:pPr>
    <w:rPr>
      <w:rFonts w:ascii="Montserrat" w:hAnsi="Montserrat"/>
      <w:color w:val="7030A0"/>
      <w:sz w:val="22"/>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AF2B44"/>
    <w:pPr>
      <w:tabs>
        <w:tab w:val="center" w:pos="4513"/>
        <w:tab w:val="right" w:pos="9026"/>
      </w:tabs>
      <w:spacing w:after="0" w:line="240" w:lineRule="auto"/>
    </w:pPr>
    <w:rPr>
      <w:b/>
      <w:color w:val="FFFFFF" w:themeColor="background1"/>
    </w:rPr>
  </w:style>
  <w:style w:type="character" w:customStyle="1" w:styleId="FooterChar">
    <w:name w:val="Footer Char"/>
    <w:basedOn w:val="DefaultParagraphFont"/>
    <w:link w:val="Footer"/>
    <w:uiPriority w:val="99"/>
    <w:rsid w:val="00AF2B44"/>
    <w:rPr>
      <w:rFonts w:cs="Times New Roman"/>
      <w:b/>
      <w:color w:val="FFFFFF" w:themeColor="background1"/>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Folio">
    <w:name w:val="Folio"/>
    <w:basedOn w:val="Normal"/>
    <w:uiPriority w:val="99"/>
    <w:rsid w:val="00AF2B44"/>
    <w:pPr>
      <w:suppressAutoHyphens/>
      <w:autoSpaceDE w:val="0"/>
      <w:autoSpaceDN w:val="0"/>
      <w:adjustRightInd w:val="0"/>
      <w:spacing w:after="142" w:line="260" w:lineRule="atLeast"/>
      <w:textAlignment w:val="center"/>
    </w:pPr>
    <w:rPr>
      <w:rFonts w:ascii="Source Sans Pro Semibold" w:hAnsi="Source Sans Pro Semibold" w:cs="Source Sans Pro Semibold"/>
      <w:color w:val="00ADEF"/>
      <w:lang w:val="en-GB" w:eastAsia="en-US"/>
    </w:rPr>
  </w:style>
  <w:style w:type="character" w:customStyle="1" w:styleId="BOLD">
    <w:name w:val="BOLD"/>
    <w:uiPriority w:val="99"/>
    <w:rsid w:val="00AF2B44"/>
    <w:rPr>
      <w:rFonts w:ascii="Source Sans Pro Semibold" w:hAnsi="Source Sans Pro Semibold" w:cs="Source Sans Pro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6256E6-7C90-4646-86B2-994E88FD7933}">
  <ds:schemaRefs>
    <ds:schemaRef ds:uri="http://schemas.openxmlformats.org/officeDocument/2006/bibliography"/>
  </ds:schemaRefs>
</ds:datastoreItem>
</file>

<file path=customXml/itemProps2.xml><?xml version="1.0" encoding="utf-8"?>
<ds:datastoreItem xmlns:ds="http://schemas.openxmlformats.org/officeDocument/2006/customXml" ds:itemID="{C8B9D02A-E02F-4FD6-AF26-B2EB5841DE7A}"/>
</file>

<file path=customXml/itemProps3.xml><?xml version="1.0" encoding="utf-8"?>
<ds:datastoreItem xmlns:ds="http://schemas.openxmlformats.org/officeDocument/2006/customXml" ds:itemID="{FEC686ED-1707-43F3-8EB4-0FC474D4F6C4}"/>
</file>

<file path=customXml/itemProps4.xml><?xml version="1.0" encoding="utf-8"?>
<ds:datastoreItem xmlns:ds="http://schemas.openxmlformats.org/officeDocument/2006/customXml" ds:itemID="{16807396-EA33-495C-A78B-D68F428412FB}"/>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Guidance on the Employment of People who are Ex-Detainees, Parolees or Others with Serious or Extensive Criminal Histories</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Employment of People who are Ex-Detainees, Parolees or Others with Serious or Extensive Criminal Histories</dc:title>
  <dc:creator/>
  <cp:lastModifiedBy/>
  <cp:revision>1</cp:revision>
  <dcterms:created xsi:type="dcterms:W3CDTF">2018-07-19T04:40:00Z</dcterms:created>
  <dcterms:modified xsi:type="dcterms:W3CDTF">2018-07-19T04:40:00Z</dcterms:modified>
</cp:coreProperties>
</file>