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BA4734" w14:textId="46D87C63" w:rsidR="00342925" w:rsidRPr="00655C65" w:rsidRDefault="00FB37F3" w:rsidP="002C7615">
      <w:pPr>
        <w:rPr>
          <w:rFonts w:asciiTheme="majorHAnsi" w:eastAsia="Times New Roman" w:hAnsiTheme="majorHAnsi"/>
          <w:caps/>
          <w:noProof/>
          <w:color w:val="482D8C" w:themeColor="background2"/>
          <w:sz w:val="36"/>
          <w:szCs w:val="40"/>
        </w:rPr>
      </w:pPr>
      <w:r w:rsidRPr="00655C65">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5BF0C74" wp14:editId="481B60DD">
                <wp:simplePos x="0" y="0"/>
                <wp:positionH relativeFrom="margin">
                  <wp:posOffset>-130810</wp:posOffset>
                </wp:positionH>
                <wp:positionV relativeFrom="margin">
                  <wp:posOffset>-436880</wp:posOffset>
                </wp:positionV>
                <wp:extent cx="5029200" cy="2047875"/>
                <wp:effectExtent l="0" t="0" r="0"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60ED" w14:textId="069FB6D6" w:rsidR="00D675CB" w:rsidRPr="00970BFA" w:rsidRDefault="00D675CB" w:rsidP="0033315E">
                            <w:pPr>
                              <w:pStyle w:val="Heading1"/>
                              <w:rPr>
                                <w:rFonts w:eastAsia="Times New Roman"/>
                                <w:b/>
                                <w:bCs w:val="0"/>
                                <w:sz w:val="52"/>
                                <w:szCs w:val="40"/>
                              </w:rPr>
                            </w:pPr>
                            <w:r w:rsidRPr="00C45F4B">
                              <w:rPr>
                                <w:b/>
                                <w:bCs w:val="0"/>
                                <w:sz w:val="40"/>
                                <w:szCs w:val="28"/>
                              </w:rPr>
                              <w:t xml:space="preserve">advice relating to </w:t>
                            </w:r>
                            <w:r w:rsidR="00400797">
                              <w:rPr>
                                <w:b/>
                                <w:bCs w:val="0"/>
                                <w:sz w:val="40"/>
                                <w:szCs w:val="28"/>
                              </w:rPr>
                              <w:t>TEMPORARY EMPLOYMENT</w:t>
                            </w:r>
                            <w:r w:rsidRPr="00C45F4B">
                              <w:rPr>
                                <w:b/>
                                <w:bCs w:val="0"/>
                                <w:sz w:val="40"/>
                                <w:szCs w:val="28"/>
                              </w:rPr>
                              <w:t xml:space="preserve"> durin</w:t>
                            </w:r>
                            <w:r>
                              <w:rPr>
                                <w:b/>
                                <w:bCs w:val="0"/>
                                <w:sz w:val="40"/>
                                <w:szCs w:val="28"/>
                              </w:rPr>
                              <w:t xml:space="preserve">g THE </w:t>
                            </w:r>
                            <w:r w:rsidRPr="00C45F4B">
                              <w:rPr>
                                <w:b/>
                                <w:bCs w:val="0"/>
                                <w:sz w:val="40"/>
                                <w:szCs w:val="28"/>
                              </w:rPr>
                              <w:t xml:space="preserve">covid-19 </w:t>
                            </w:r>
                            <w:r w:rsidR="00400797">
                              <w:rPr>
                                <w:b/>
                                <w:bCs w:val="0"/>
                                <w:sz w:val="40"/>
                                <w:szCs w:val="28"/>
                              </w:rPr>
                              <w:t xml:space="preserve">PANDEMIC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C74" id="_x0000_t202" coordsize="21600,21600" o:spt="202" path="m,l,21600r21600,l21600,xe">
                <v:stroke joinstyle="miter"/>
                <v:path gradientshapeok="t" o:connecttype="rect"/>
              </v:shapetype>
              <v:shape id="Text Box 9" o:spid="_x0000_s1026" type="#_x0000_t202" style="position:absolute;margin-left:-10.3pt;margin-top:-34.4pt;width:396pt;height:16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" filled="f" stroked="f">
                <v:textbox>
                  <w:txbxContent>
                    <w:p w14:paraId="351F60ED" w14:textId="069FB6D6" w:rsidR="00D675CB" w:rsidRPr="00970BFA" w:rsidRDefault="00D675CB" w:rsidP="0033315E">
                      <w:pPr>
                        <w:pStyle w:val="Heading1"/>
                        <w:rPr>
                          <w:rFonts w:eastAsia="Times New Roman"/>
                          <w:b/>
                          <w:bCs w:val="0"/>
                          <w:sz w:val="52"/>
                          <w:szCs w:val="40"/>
                        </w:rPr>
                      </w:pPr>
                      <w:r w:rsidRPr="00C45F4B">
                        <w:rPr>
                          <w:b/>
                          <w:bCs w:val="0"/>
                          <w:sz w:val="40"/>
                          <w:szCs w:val="28"/>
                        </w:rPr>
                        <w:t xml:space="preserve">advice relating to </w:t>
                      </w:r>
                      <w:r w:rsidR="00400797">
                        <w:rPr>
                          <w:b/>
                          <w:bCs w:val="0"/>
                          <w:sz w:val="40"/>
                          <w:szCs w:val="28"/>
                        </w:rPr>
                        <w:t>TEMPORARY EMPLOYMENT</w:t>
                      </w:r>
                      <w:r w:rsidRPr="00C45F4B">
                        <w:rPr>
                          <w:b/>
                          <w:bCs w:val="0"/>
                          <w:sz w:val="40"/>
                          <w:szCs w:val="28"/>
                        </w:rPr>
                        <w:t xml:space="preserve"> durin</w:t>
                      </w:r>
                      <w:r>
                        <w:rPr>
                          <w:b/>
                          <w:bCs w:val="0"/>
                          <w:sz w:val="40"/>
                          <w:szCs w:val="28"/>
                        </w:rPr>
                        <w:t xml:space="preserve">g THE </w:t>
                      </w:r>
                      <w:r w:rsidRPr="00C45F4B">
                        <w:rPr>
                          <w:b/>
                          <w:bCs w:val="0"/>
                          <w:sz w:val="40"/>
                          <w:szCs w:val="28"/>
                        </w:rPr>
                        <w:t xml:space="preserve">covid-19 </w:t>
                      </w:r>
                      <w:r w:rsidR="00400797">
                        <w:rPr>
                          <w:b/>
                          <w:bCs w:val="0"/>
                          <w:sz w:val="40"/>
                          <w:szCs w:val="28"/>
                        </w:rPr>
                        <w:t xml:space="preserve">PANDEMIC </w:t>
                      </w:r>
                    </w:p>
                  </w:txbxContent>
                </v:textbox>
                <w10:wrap anchorx="margin" anchory="margin"/>
              </v:shape>
            </w:pict>
          </mc:Fallback>
        </mc:AlternateContent>
      </w:r>
      <w:r w:rsidRPr="00655C65">
        <w:rPr>
          <w:b/>
          <w:noProof/>
          <w:color w:val="FFFFFF" w:themeColor="background1"/>
        </w:rPr>
        <w:drawing>
          <wp:anchor distT="0" distB="0" distL="114300" distR="114300" simplePos="0" relativeHeight="251665407" behindDoc="0" locked="0" layoutInCell="1" allowOverlap="1" wp14:anchorId="21A9991B" wp14:editId="074CB378">
            <wp:simplePos x="0" y="0"/>
            <wp:positionH relativeFrom="page">
              <wp:align>center</wp:align>
            </wp:positionH>
            <wp:positionV relativeFrom="paragraph">
              <wp:posOffset>-519430</wp:posOffset>
            </wp:positionV>
            <wp:extent cx="7833360" cy="22669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0" cy="2266950"/>
                    </a:xfrm>
                    <a:prstGeom prst="rect">
                      <a:avLst/>
                    </a:prstGeom>
                  </pic:spPr>
                </pic:pic>
              </a:graphicData>
            </a:graphic>
            <wp14:sizeRelH relativeFrom="margin">
              <wp14:pctWidth>0</wp14:pctWidth>
            </wp14:sizeRelH>
            <wp14:sizeRelV relativeFrom="margin">
              <wp14:pctHeight>0</wp14:pctHeight>
            </wp14:sizeRelV>
          </wp:anchor>
        </w:drawing>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sidRPr="00655C65">
            <w:rPr>
              <w:rFonts w:asciiTheme="majorHAnsi" w:eastAsia="Times New Roman" w:hAnsiTheme="majorHAnsi"/>
              <w:caps/>
              <w:noProof/>
              <w:color w:val="482D8C" w:themeColor="background2"/>
              <w:sz w:val="36"/>
              <w:szCs w:val="40"/>
            </w:rPr>
            <w:t xml:space="preserve"> </w:t>
          </w:r>
        </w:sdtContent>
      </w:sdt>
    </w:p>
    <w:p w14:paraId="02FF61CB" w14:textId="1AF17020" w:rsidR="009A5810" w:rsidRPr="00655C65" w:rsidRDefault="009A5810" w:rsidP="00970BFA">
      <w:pPr>
        <w:pStyle w:val="Heading2"/>
        <w:rPr>
          <w:rFonts w:eastAsia="Times New Roman"/>
          <w:color w:val="323232" w:themeColor="accent1"/>
          <w:sz w:val="26"/>
          <w:szCs w:val="28"/>
        </w:rPr>
      </w:pPr>
    </w:p>
    <w:p w14:paraId="2337D6DE" w14:textId="77777777" w:rsidR="009A5810" w:rsidRPr="00655C65" w:rsidRDefault="009A5810" w:rsidP="00970BFA">
      <w:pPr>
        <w:pStyle w:val="Heading2"/>
        <w:rPr>
          <w:rFonts w:eastAsia="Times New Roman"/>
          <w:color w:val="323232" w:themeColor="accent1"/>
          <w:sz w:val="26"/>
          <w:szCs w:val="28"/>
        </w:rPr>
      </w:pPr>
    </w:p>
    <w:p w14:paraId="70855EA4" w14:textId="77777777" w:rsidR="003360FA" w:rsidRPr="00655C65" w:rsidRDefault="003360FA" w:rsidP="00730D6A">
      <w:pPr>
        <w:pStyle w:val="Heading2"/>
        <w:spacing w:before="0"/>
        <w:rPr>
          <w:rFonts w:eastAsia="Times New Roman"/>
          <w:color w:val="323232" w:themeColor="accent1"/>
          <w:sz w:val="26"/>
          <w:szCs w:val="28"/>
        </w:rPr>
      </w:pPr>
    </w:p>
    <w:p w14:paraId="53ED12F9" w14:textId="77777777" w:rsidR="00050533" w:rsidRPr="00655C65" w:rsidRDefault="00050533" w:rsidP="00050533">
      <w:pPr>
        <w:pStyle w:val="Heading2"/>
        <w:rPr>
          <w:rFonts w:eastAsia="Times New Roman"/>
          <w:color w:val="323232" w:themeColor="accent1"/>
          <w:sz w:val="26"/>
          <w:szCs w:val="28"/>
        </w:rPr>
      </w:pPr>
    </w:p>
    <w:p w14:paraId="042B13A3" w14:textId="5C0ACC71" w:rsidR="00970BFA" w:rsidRPr="00655C65" w:rsidRDefault="00C45F4B" w:rsidP="00050533">
      <w:pPr>
        <w:pStyle w:val="Heading2"/>
        <w:rPr>
          <w:rFonts w:eastAsia="Times New Roman"/>
          <w:color w:val="323232" w:themeColor="accent1"/>
          <w:sz w:val="26"/>
          <w:szCs w:val="28"/>
        </w:rPr>
      </w:pPr>
      <w:r w:rsidRPr="00655C65">
        <w:rPr>
          <w:rFonts w:eastAsia="Times New Roman"/>
          <w:color w:val="323232" w:themeColor="accent1"/>
          <w:sz w:val="26"/>
          <w:szCs w:val="28"/>
        </w:rPr>
        <w:t>Purpose</w:t>
      </w:r>
    </w:p>
    <w:p w14:paraId="54903017" w14:textId="52C75A1D" w:rsidR="00811503" w:rsidRPr="005D442A" w:rsidRDefault="00811503" w:rsidP="00811503">
      <w:pPr>
        <w:pStyle w:val="Heading2"/>
        <w:rPr>
          <w:rFonts w:eastAsia="Times New Roman"/>
          <w:color w:val="323232" w:themeColor="accent1"/>
          <w:sz w:val="26"/>
          <w:szCs w:val="28"/>
        </w:rPr>
      </w:pPr>
      <w:r>
        <w:rPr>
          <w:rFonts w:eastAsia="Times New Roman"/>
          <w:color w:val="323232" w:themeColor="accent1"/>
          <w:sz w:val="26"/>
          <w:szCs w:val="28"/>
        </w:rPr>
        <w:t>Purpose</w:t>
      </w:r>
      <w:r w:rsidR="00C7675F">
        <w:rPr>
          <w:rFonts w:eastAsia="Times New Roman"/>
          <w:color w:val="323232" w:themeColor="accent1"/>
          <w:sz w:val="26"/>
          <w:szCs w:val="28"/>
        </w:rPr>
        <w:t xml:space="preserve"> </w:t>
      </w:r>
    </w:p>
    <w:p w14:paraId="346F8D2E" w14:textId="57E19E37" w:rsidR="00811503" w:rsidRDefault="00C45F4B" w:rsidP="00811503">
      <w:pPr>
        <w:pStyle w:val="Heading2"/>
        <w:spacing w:before="100"/>
        <w:rPr>
          <w:rFonts w:asciiTheme="minorHAnsi" w:hAnsiTheme="minorHAnsi"/>
          <w:b w:val="0"/>
          <w:color w:val="auto"/>
          <w:sz w:val="22"/>
          <w:szCs w:val="22"/>
        </w:rPr>
      </w:pPr>
      <w:r w:rsidRPr="00655C65">
        <w:rPr>
          <w:rFonts w:asciiTheme="minorHAnsi" w:hAnsiTheme="minorHAnsi"/>
          <w:b w:val="0"/>
          <w:color w:val="auto"/>
          <w:sz w:val="22"/>
          <w:szCs w:val="22"/>
        </w:rPr>
        <w:t xml:space="preserve">The purpose of this document is to </w:t>
      </w:r>
      <w:r w:rsidR="00400797">
        <w:rPr>
          <w:rFonts w:asciiTheme="minorHAnsi" w:hAnsiTheme="minorHAnsi"/>
          <w:b w:val="0"/>
          <w:color w:val="auto"/>
          <w:sz w:val="22"/>
          <w:szCs w:val="22"/>
        </w:rPr>
        <w:t xml:space="preserve">provide advice on the Government’s commitment to maintain temporary employment across the ACT Public </w:t>
      </w:r>
      <w:r w:rsidR="00225988">
        <w:rPr>
          <w:rFonts w:asciiTheme="minorHAnsi" w:hAnsiTheme="minorHAnsi"/>
          <w:b w:val="0"/>
          <w:color w:val="auto"/>
          <w:sz w:val="22"/>
          <w:szCs w:val="22"/>
        </w:rPr>
        <w:t xml:space="preserve">Sector </w:t>
      </w:r>
      <w:r w:rsidR="00400797">
        <w:rPr>
          <w:rFonts w:asciiTheme="minorHAnsi" w:hAnsiTheme="minorHAnsi"/>
          <w:b w:val="0"/>
          <w:color w:val="auto"/>
          <w:sz w:val="22"/>
          <w:szCs w:val="22"/>
        </w:rPr>
        <w:t>(ACTPS)</w:t>
      </w:r>
      <w:r w:rsidRPr="00655C65">
        <w:rPr>
          <w:rFonts w:asciiTheme="minorHAnsi" w:hAnsiTheme="minorHAnsi"/>
          <w:b w:val="0"/>
          <w:color w:val="auto"/>
          <w:sz w:val="22"/>
          <w:szCs w:val="22"/>
        </w:rPr>
        <w:t xml:space="preserve"> </w:t>
      </w:r>
      <w:r w:rsidR="00400797">
        <w:rPr>
          <w:rFonts w:asciiTheme="minorHAnsi" w:hAnsiTheme="minorHAnsi"/>
          <w:b w:val="0"/>
          <w:color w:val="auto"/>
          <w:sz w:val="22"/>
          <w:szCs w:val="22"/>
        </w:rPr>
        <w:t>during</w:t>
      </w:r>
      <w:r w:rsidRPr="00655C65">
        <w:rPr>
          <w:rFonts w:asciiTheme="minorHAnsi" w:hAnsiTheme="minorHAnsi"/>
          <w:b w:val="0"/>
          <w:color w:val="auto"/>
          <w:sz w:val="22"/>
          <w:szCs w:val="22"/>
        </w:rPr>
        <w:t xml:space="preserve"> the </w:t>
      </w:r>
      <w:r w:rsidR="00400797">
        <w:rPr>
          <w:rFonts w:asciiTheme="minorHAnsi" w:hAnsiTheme="minorHAnsi"/>
          <w:b w:val="0"/>
          <w:color w:val="auto"/>
          <w:sz w:val="22"/>
          <w:szCs w:val="22"/>
        </w:rPr>
        <w:t xml:space="preserve">current </w:t>
      </w:r>
      <w:r w:rsidRPr="00655C65">
        <w:rPr>
          <w:rFonts w:asciiTheme="minorHAnsi" w:hAnsiTheme="minorHAnsi"/>
          <w:b w:val="0"/>
          <w:color w:val="auto"/>
          <w:sz w:val="22"/>
          <w:szCs w:val="22"/>
        </w:rPr>
        <w:t xml:space="preserve">novel coronavirus (‘COVID-19’) </w:t>
      </w:r>
      <w:r w:rsidR="00400797">
        <w:rPr>
          <w:rFonts w:asciiTheme="minorHAnsi" w:hAnsiTheme="minorHAnsi"/>
          <w:b w:val="0"/>
          <w:color w:val="auto"/>
          <w:sz w:val="22"/>
          <w:szCs w:val="22"/>
        </w:rPr>
        <w:t>pandemic</w:t>
      </w:r>
      <w:r w:rsidR="00920911">
        <w:rPr>
          <w:rFonts w:asciiTheme="minorHAnsi" w:hAnsiTheme="minorHAnsi"/>
          <w:b w:val="0"/>
          <w:color w:val="auto"/>
          <w:sz w:val="22"/>
          <w:szCs w:val="22"/>
        </w:rPr>
        <w:t>.</w:t>
      </w:r>
      <w:r w:rsidR="00FC62BF">
        <w:rPr>
          <w:rFonts w:asciiTheme="minorHAnsi" w:hAnsiTheme="minorHAnsi"/>
          <w:b w:val="0"/>
          <w:color w:val="auto"/>
          <w:sz w:val="22"/>
          <w:szCs w:val="22"/>
        </w:rPr>
        <w:t xml:space="preserve"> </w:t>
      </w:r>
    </w:p>
    <w:p w14:paraId="3FBC29E0" w14:textId="77777777" w:rsidR="00811503" w:rsidRPr="00655C65" w:rsidRDefault="00811503" w:rsidP="00811503">
      <w:pPr>
        <w:pStyle w:val="Heading2"/>
        <w:rPr>
          <w:rFonts w:asciiTheme="minorHAnsi" w:hAnsiTheme="minorHAnsi"/>
          <w:b w:val="0"/>
          <w:color w:val="auto"/>
          <w:sz w:val="22"/>
          <w:szCs w:val="22"/>
        </w:rPr>
      </w:pPr>
      <w:r w:rsidRPr="00655C65">
        <w:rPr>
          <w:rFonts w:asciiTheme="minorHAnsi" w:hAnsiTheme="minorHAnsi"/>
          <w:b w:val="0"/>
          <w:color w:val="auto"/>
          <w:sz w:val="22"/>
          <w:szCs w:val="22"/>
        </w:rPr>
        <w:t xml:space="preserve">This advice should be read in conjunction with the latest communications from the Head of Service and </w:t>
      </w:r>
      <w:r>
        <w:rPr>
          <w:rFonts w:asciiTheme="minorHAnsi" w:hAnsiTheme="minorHAnsi"/>
          <w:b w:val="0"/>
          <w:color w:val="auto"/>
          <w:sz w:val="22"/>
          <w:szCs w:val="22"/>
        </w:rPr>
        <w:t>the Government in relation to temporary employment arrangements across the ACTPS</w:t>
      </w:r>
      <w:r w:rsidRPr="00655C65">
        <w:rPr>
          <w:rFonts w:asciiTheme="minorHAnsi" w:hAnsiTheme="minorHAnsi"/>
          <w:b w:val="0"/>
          <w:color w:val="auto"/>
          <w:sz w:val="22"/>
          <w:szCs w:val="22"/>
        </w:rPr>
        <w:t xml:space="preserve">. </w:t>
      </w:r>
    </w:p>
    <w:p w14:paraId="2CF05F75" w14:textId="4699FFBE" w:rsidR="00811503" w:rsidRPr="005D442A" w:rsidRDefault="00811503" w:rsidP="00811503">
      <w:pPr>
        <w:pStyle w:val="Heading2"/>
        <w:rPr>
          <w:rFonts w:eastAsia="Times New Roman"/>
          <w:color w:val="323232" w:themeColor="accent1"/>
          <w:sz w:val="26"/>
          <w:szCs w:val="28"/>
        </w:rPr>
      </w:pPr>
      <w:r>
        <w:rPr>
          <w:rFonts w:eastAsia="Times New Roman"/>
          <w:color w:val="323232" w:themeColor="accent1"/>
          <w:sz w:val="26"/>
          <w:szCs w:val="28"/>
        </w:rPr>
        <w:t>Application</w:t>
      </w:r>
    </w:p>
    <w:p w14:paraId="6B233BFF" w14:textId="3687FFB8" w:rsidR="00C45F4B" w:rsidRPr="00655C65" w:rsidRDefault="00C45F4B" w:rsidP="00811503">
      <w:pPr>
        <w:pStyle w:val="Heading2"/>
        <w:spacing w:before="100"/>
        <w:rPr>
          <w:rFonts w:asciiTheme="minorHAnsi" w:hAnsiTheme="minorHAnsi"/>
          <w:b w:val="0"/>
          <w:color w:val="auto"/>
          <w:sz w:val="22"/>
          <w:szCs w:val="22"/>
        </w:rPr>
      </w:pPr>
      <w:r w:rsidRPr="00655C65">
        <w:rPr>
          <w:rFonts w:asciiTheme="minorHAnsi" w:hAnsiTheme="minorHAnsi"/>
          <w:b w:val="0"/>
          <w:color w:val="auto"/>
          <w:sz w:val="22"/>
          <w:szCs w:val="22"/>
        </w:rPr>
        <w:t xml:space="preserve">This advice applies to </w:t>
      </w:r>
      <w:r w:rsidR="00400797">
        <w:rPr>
          <w:rFonts w:asciiTheme="minorHAnsi" w:hAnsiTheme="minorHAnsi"/>
          <w:b w:val="0"/>
          <w:color w:val="auto"/>
          <w:sz w:val="22"/>
          <w:szCs w:val="22"/>
        </w:rPr>
        <w:t xml:space="preserve">temporary </w:t>
      </w:r>
      <w:r w:rsidRPr="00655C65">
        <w:rPr>
          <w:rFonts w:asciiTheme="minorHAnsi" w:hAnsiTheme="minorHAnsi"/>
          <w:b w:val="0"/>
          <w:color w:val="auto"/>
          <w:sz w:val="22"/>
          <w:szCs w:val="22"/>
        </w:rPr>
        <w:t>employees employed in the ACTPS under the Public Sector Management Act 1994.</w:t>
      </w:r>
    </w:p>
    <w:p w14:paraId="4B2C7C46" w14:textId="79E2FA92" w:rsidR="00CA2251" w:rsidRPr="005D442A" w:rsidRDefault="00CA2251" w:rsidP="00CA2251">
      <w:pPr>
        <w:pStyle w:val="Heading2"/>
        <w:rPr>
          <w:rFonts w:eastAsia="Times New Roman"/>
          <w:color w:val="323232" w:themeColor="accent1"/>
          <w:sz w:val="26"/>
          <w:szCs w:val="28"/>
        </w:rPr>
      </w:pPr>
      <w:r>
        <w:rPr>
          <w:rFonts w:eastAsia="Times New Roman"/>
          <w:color w:val="323232" w:themeColor="accent1"/>
          <w:sz w:val="26"/>
          <w:szCs w:val="28"/>
        </w:rPr>
        <w:t>Background</w:t>
      </w:r>
    </w:p>
    <w:p w14:paraId="04A878C8" w14:textId="35310BF9" w:rsidR="00CA2251" w:rsidRDefault="00CA2251" w:rsidP="00CA2251">
      <w:pPr>
        <w:pStyle w:val="Heading2"/>
        <w:spacing w:before="100"/>
        <w:rPr>
          <w:rFonts w:asciiTheme="minorHAnsi" w:hAnsiTheme="minorHAnsi"/>
          <w:b w:val="0"/>
          <w:color w:val="auto"/>
          <w:sz w:val="22"/>
          <w:szCs w:val="22"/>
        </w:rPr>
      </w:pPr>
      <w:bookmarkStart w:id="1" w:name="_Hlk39140219"/>
      <w:r w:rsidRPr="00CA2251">
        <w:rPr>
          <w:rFonts w:asciiTheme="minorHAnsi" w:hAnsiTheme="minorHAnsi"/>
          <w:b w:val="0"/>
          <w:color w:val="auto"/>
          <w:sz w:val="22"/>
          <w:szCs w:val="22"/>
          <w:u w:val="single"/>
        </w:rPr>
        <w:t>Attachment 1</w:t>
      </w:r>
      <w:r>
        <w:rPr>
          <w:rFonts w:asciiTheme="minorHAnsi" w:hAnsiTheme="minorHAnsi"/>
          <w:b w:val="0"/>
          <w:color w:val="auto"/>
          <w:sz w:val="22"/>
          <w:szCs w:val="22"/>
        </w:rPr>
        <w:t xml:space="preserve"> summar</w:t>
      </w:r>
      <w:r w:rsidR="00AA78A7">
        <w:rPr>
          <w:rFonts w:asciiTheme="minorHAnsi" w:hAnsiTheme="minorHAnsi"/>
          <w:b w:val="0"/>
          <w:color w:val="auto"/>
          <w:sz w:val="22"/>
          <w:szCs w:val="22"/>
        </w:rPr>
        <w:t>ises</w:t>
      </w:r>
      <w:r>
        <w:rPr>
          <w:rFonts w:asciiTheme="minorHAnsi" w:hAnsiTheme="minorHAnsi"/>
          <w:b w:val="0"/>
          <w:color w:val="auto"/>
          <w:sz w:val="22"/>
          <w:szCs w:val="22"/>
        </w:rPr>
        <w:t xml:space="preserve"> </w:t>
      </w:r>
      <w:bookmarkEnd w:id="1"/>
      <w:r w:rsidRPr="00CA2251">
        <w:rPr>
          <w:rFonts w:asciiTheme="minorHAnsi" w:hAnsiTheme="minorHAnsi"/>
          <w:b w:val="0"/>
          <w:color w:val="auto"/>
          <w:sz w:val="22"/>
          <w:szCs w:val="22"/>
        </w:rPr>
        <w:t>the relevant provisions under</w:t>
      </w:r>
      <w:r>
        <w:rPr>
          <w:rFonts w:asciiTheme="minorHAnsi" w:hAnsiTheme="minorHAnsi"/>
          <w:b w:val="0"/>
          <w:color w:val="auto"/>
          <w:sz w:val="22"/>
          <w:szCs w:val="22"/>
        </w:rPr>
        <w:t xml:space="preserve"> the Public Sector Management Act 1994, the Public Sector Management Standards 2016 and the Enterprise Agreements</w:t>
      </w:r>
      <w:r w:rsidRPr="00655C65">
        <w:rPr>
          <w:rFonts w:asciiTheme="minorHAnsi" w:hAnsiTheme="minorHAnsi"/>
          <w:b w:val="0"/>
          <w:color w:val="auto"/>
          <w:sz w:val="22"/>
          <w:szCs w:val="22"/>
        </w:rPr>
        <w:t>.</w:t>
      </w:r>
    </w:p>
    <w:p w14:paraId="430AFFFA" w14:textId="32B20C0A" w:rsidR="00C70619" w:rsidRPr="00C70619" w:rsidRDefault="00C70619" w:rsidP="00C70619">
      <w:pPr>
        <w:pStyle w:val="Heading3"/>
      </w:pPr>
      <w:r w:rsidRPr="00CA2251">
        <w:rPr>
          <w:rFonts w:asciiTheme="minorHAnsi" w:hAnsiTheme="minorHAnsi"/>
          <w:b w:val="0"/>
          <w:color w:val="auto"/>
          <w:sz w:val="22"/>
          <w:szCs w:val="22"/>
          <w:u w:val="single"/>
        </w:rPr>
        <w:t xml:space="preserve">Attachment </w:t>
      </w:r>
      <w:r>
        <w:rPr>
          <w:rFonts w:asciiTheme="minorHAnsi" w:hAnsiTheme="minorHAnsi"/>
          <w:b w:val="0"/>
          <w:color w:val="auto"/>
          <w:sz w:val="22"/>
          <w:szCs w:val="22"/>
          <w:u w:val="single"/>
        </w:rPr>
        <w:t>2</w:t>
      </w:r>
      <w:r>
        <w:rPr>
          <w:rFonts w:asciiTheme="minorHAnsi" w:hAnsiTheme="minorHAnsi"/>
          <w:b w:val="0"/>
          <w:color w:val="auto"/>
          <w:sz w:val="22"/>
          <w:szCs w:val="22"/>
        </w:rPr>
        <w:t xml:space="preserve"> provides examples of </w:t>
      </w:r>
      <w:r w:rsidR="00C60145">
        <w:rPr>
          <w:rFonts w:asciiTheme="minorHAnsi" w:hAnsiTheme="minorHAnsi"/>
          <w:b w:val="0"/>
          <w:color w:val="auto"/>
          <w:sz w:val="22"/>
          <w:szCs w:val="22"/>
        </w:rPr>
        <w:t>T</w:t>
      </w:r>
      <w:r>
        <w:rPr>
          <w:rFonts w:asciiTheme="minorHAnsi" w:hAnsiTheme="minorHAnsi"/>
          <w:b w:val="0"/>
          <w:color w:val="auto"/>
          <w:sz w:val="22"/>
          <w:szCs w:val="22"/>
        </w:rPr>
        <w:t xml:space="preserve">emporary </w:t>
      </w:r>
      <w:r w:rsidR="00C60145">
        <w:rPr>
          <w:rFonts w:asciiTheme="minorHAnsi" w:hAnsiTheme="minorHAnsi"/>
          <w:b w:val="0"/>
          <w:color w:val="auto"/>
          <w:sz w:val="22"/>
          <w:szCs w:val="22"/>
        </w:rPr>
        <w:t>E</w:t>
      </w:r>
      <w:r>
        <w:rPr>
          <w:rFonts w:asciiTheme="minorHAnsi" w:hAnsiTheme="minorHAnsi"/>
          <w:b w:val="0"/>
          <w:color w:val="auto"/>
          <w:sz w:val="22"/>
          <w:szCs w:val="22"/>
        </w:rPr>
        <w:t xml:space="preserve">mployment </w:t>
      </w:r>
      <w:r w:rsidR="00C60145">
        <w:rPr>
          <w:rFonts w:asciiTheme="minorHAnsi" w:hAnsiTheme="minorHAnsi"/>
          <w:b w:val="0"/>
          <w:color w:val="auto"/>
          <w:sz w:val="22"/>
          <w:szCs w:val="22"/>
        </w:rPr>
        <w:t>S</w:t>
      </w:r>
      <w:r>
        <w:rPr>
          <w:rFonts w:asciiTheme="minorHAnsi" w:hAnsiTheme="minorHAnsi"/>
          <w:b w:val="0"/>
          <w:color w:val="auto"/>
          <w:sz w:val="22"/>
          <w:szCs w:val="22"/>
        </w:rPr>
        <w:t>cenarios</w:t>
      </w:r>
      <w:r w:rsidR="00C60145">
        <w:rPr>
          <w:rFonts w:asciiTheme="minorHAnsi" w:hAnsiTheme="minorHAnsi"/>
          <w:b w:val="0"/>
          <w:color w:val="auto"/>
          <w:sz w:val="22"/>
          <w:szCs w:val="22"/>
        </w:rPr>
        <w:t xml:space="preserve"> to support the application of the advice in this document.</w:t>
      </w:r>
    </w:p>
    <w:p w14:paraId="53581EFF" w14:textId="5C97BC2F" w:rsidR="00005611" w:rsidRPr="005D442A" w:rsidRDefault="00811503" w:rsidP="00005611">
      <w:pPr>
        <w:pStyle w:val="Heading2"/>
        <w:rPr>
          <w:rFonts w:eastAsia="Times New Roman"/>
          <w:color w:val="323232" w:themeColor="accent1"/>
          <w:sz w:val="26"/>
          <w:szCs w:val="28"/>
        </w:rPr>
      </w:pPr>
      <w:r>
        <w:rPr>
          <w:rFonts w:eastAsia="Times New Roman"/>
          <w:color w:val="323232" w:themeColor="accent1"/>
          <w:sz w:val="26"/>
          <w:szCs w:val="28"/>
        </w:rPr>
        <w:t>Principles</w:t>
      </w:r>
    </w:p>
    <w:p w14:paraId="24A51E5D" w14:textId="43F0D190" w:rsidR="00CA2251" w:rsidRPr="00CA2251" w:rsidRDefault="00CA2251" w:rsidP="00CA2251">
      <w:pPr>
        <w:pStyle w:val="ListNumber"/>
        <w:numPr>
          <w:ilvl w:val="0"/>
          <w:numId w:val="0"/>
        </w:numPr>
        <w:spacing w:line="240" w:lineRule="auto"/>
        <w:rPr>
          <w:rFonts w:eastAsiaTheme="minorHAnsi" w:cs="Times New Roman"/>
          <w:sz w:val="22"/>
          <w:szCs w:val="22"/>
        </w:rPr>
      </w:pPr>
      <w:r w:rsidRPr="00811503">
        <w:rPr>
          <w:rFonts w:eastAsiaTheme="minorHAnsi" w:cs="Times New Roman"/>
          <w:sz w:val="22"/>
          <w:szCs w:val="22"/>
        </w:rPr>
        <w:t xml:space="preserve">The Government is committed to </w:t>
      </w:r>
      <w:r>
        <w:rPr>
          <w:rFonts w:eastAsiaTheme="minorHAnsi" w:cs="Times New Roman"/>
          <w:sz w:val="22"/>
          <w:szCs w:val="22"/>
        </w:rPr>
        <w:t>providing secure employment and maintaining the size of</w:t>
      </w:r>
      <w:r w:rsidR="00550247">
        <w:rPr>
          <w:rFonts w:eastAsiaTheme="minorHAnsi" w:cs="Times New Roman"/>
          <w:sz w:val="22"/>
          <w:szCs w:val="22"/>
        </w:rPr>
        <w:t xml:space="preserve"> the</w:t>
      </w:r>
      <w:r>
        <w:rPr>
          <w:rFonts w:eastAsiaTheme="minorHAnsi" w:cs="Times New Roman"/>
          <w:sz w:val="22"/>
          <w:szCs w:val="22"/>
        </w:rPr>
        <w:t xml:space="preserve"> ACT</w:t>
      </w:r>
      <w:r w:rsidR="00550247">
        <w:rPr>
          <w:rFonts w:eastAsiaTheme="minorHAnsi" w:cs="Times New Roman"/>
          <w:sz w:val="22"/>
          <w:szCs w:val="22"/>
        </w:rPr>
        <w:t>PS</w:t>
      </w:r>
      <w:r>
        <w:rPr>
          <w:rFonts w:eastAsiaTheme="minorHAnsi" w:cs="Times New Roman"/>
          <w:sz w:val="22"/>
          <w:szCs w:val="22"/>
        </w:rPr>
        <w:t xml:space="preserve">. The </w:t>
      </w:r>
      <w:r w:rsidRPr="00CA2251">
        <w:rPr>
          <w:rFonts w:eastAsiaTheme="minorHAnsi" w:cs="Times New Roman"/>
          <w:sz w:val="22"/>
          <w:szCs w:val="22"/>
        </w:rPr>
        <w:t>Government acknowledges that it has a responsibility to introduce measures to minimise the unemployment rate within the ACT during the COVID-1</w:t>
      </w:r>
      <w:r w:rsidR="00FD0E80">
        <w:rPr>
          <w:rFonts w:eastAsiaTheme="minorHAnsi" w:cs="Times New Roman"/>
          <w:sz w:val="22"/>
          <w:szCs w:val="22"/>
        </w:rPr>
        <w:t>9</w:t>
      </w:r>
      <w:r w:rsidRPr="00CA2251">
        <w:rPr>
          <w:rFonts w:eastAsiaTheme="minorHAnsi" w:cs="Times New Roman"/>
          <w:sz w:val="22"/>
          <w:szCs w:val="22"/>
        </w:rPr>
        <w:t xml:space="preserve"> pandemic.</w:t>
      </w:r>
    </w:p>
    <w:p w14:paraId="2FA564BE" w14:textId="37D37250" w:rsidR="009B7517" w:rsidRPr="001F1077" w:rsidRDefault="00CA2251" w:rsidP="00005611">
      <w:pPr>
        <w:pStyle w:val="ListNumber"/>
        <w:numPr>
          <w:ilvl w:val="0"/>
          <w:numId w:val="0"/>
        </w:numPr>
        <w:spacing w:line="240" w:lineRule="auto"/>
        <w:rPr>
          <w:rFonts w:eastAsiaTheme="minorHAnsi" w:cs="Times New Roman"/>
          <w:sz w:val="22"/>
          <w:szCs w:val="22"/>
        </w:rPr>
      </w:pPr>
      <w:r w:rsidRPr="00CA2251">
        <w:rPr>
          <w:rFonts w:eastAsiaTheme="minorHAnsi" w:cs="Times New Roman"/>
          <w:sz w:val="22"/>
          <w:szCs w:val="22"/>
        </w:rPr>
        <w:t>As a result,</w:t>
      </w:r>
      <w:r w:rsidR="00550247">
        <w:rPr>
          <w:rFonts w:eastAsiaTheme="minorHAnsi" w:cs="Times New Roman"/>
          <w:sz w:val="22"/>
          <w:szCs w:val="22"/>
        </w:rPr>
        <w:t xml:space="preserve"> </w:t>
      </w:r>
      <w:r w:rsidR="00014AC1">
        <w:rPr>
          <w:rFonts w:eastAsiaTheme="minorHAnsi" w:cs="Times New Roman"/>
          <w:color w:val="000000" w:themeColor="text1"/>
          <w:sz w:val="22"/>
          <w:szCs w:val="22"/>
        </w:rPr>
        <w:t>t</w:t>
      </w:r>
      <w:r w:rsidR="009B7517" w:rsidRPr="00530717">
        <w:rPr>
          <w:rFonts w:eastAsiaTheme="minorHAnsi" w:cs="Times New Roman"/>
          <w:color w:val="000000" w:themeColor="text1"/>
          <w:sz w:val="22"/>
          <w:szCs w:val="22"/>
        </w:rPr>
        <w:t>he Government has made a</w:t>
      </w:r>
      <w:r w:rsidR="00811503" w:rsidRPr="00530717">
        <w:rPr>
          <w:rFonts w:eastAsiaTheme="minorHAnsi" w:cs="Times New Roman"/>
          <w:color w:val="000000" w:themeColor="text1"/>
          <w:sz w:val="22"/>
          <w:szCs w:val="22"/>
        </w:rPr>
        <w:t xml:space="preserve"> policy</w:t>
      </w:r>
      <w:r w:rsidR="009B7517" w:rsidRPr="00530717">
        <w:rPr>
          <w:rFonts w:eastAsiaTheme="minorHAnsi" w:cs="Times New Roman"/>
          <w:color w:val="000000" w:themeColor="text1"/>
          <w:sz w:val="22"/>
          <w:szCs w:val="22"/>
        </w:rPr>
        <w:t xml:space="preserve"> decision to extend</w:t>
      </w:r>
      <w:r w:rsidR="00811503" w:rsidRPr="00530717">
        <w:rPr>
          <w:rFonts w:eastAsiaTheme="minorHAnsi" w:cs="Times New Roman"/>
          <w:color w:val="000000" w:themeColor="text1"/>
          <w:sz w:val="22"/>
          <w:szCs w:val="22"/>
        </w:rPr>
        <w:t xml:space="preserve"> any</w:t>
      </w:r>
      <w:r w:rsidR="009B7517" w:rsidRPr="00530717">
        <w:rPr>
          <w:rFonts w:eastAsiaTheme="minorHAnsi" w:cs="Times New Roman"/>
          <w:color w:val="000000" w:themeColor="text1"/>
          <w:sz w:val="22"/>
          <w:szCs w:val="22"/>
        </w:rPr>
        <w:t xml:space="preserve"> existing</w:t>
      </w:r>
      <w:r w:rsidR="00811503" w:rsidRPr="00530717">
        <w:rPr>
          <w:rFonts w:eastAsiaTheme="minorHAnsi" w:cs="Times New Roman"/>
          <w:color w:val="000000" w:themeColor="text1"/>
          <w:sz w:val="22"/>
          <w:szCs w:val="22"/>
        </w:rPr>
        <w:t xml:space="preserve"> temporary </w:t>
      </w:r>
      <w:r w:rsidR="009B7517" w:rsidRPr="00530717">
        <w:rPr>
          <w:rFonts w:eastAsiaTheme="minorHAnsi" w:cs="Times New Roman"/>
          <w:color w:val="000000" w:themeColor="text1"/>
          <w:sz w:val="22"/>
          <w:szCs w:val="22"/>
        </w:rPr>
        <w:t xml:space="preserve">employment contracts for a </w:t>
      </w:r>
      <w:r w:rsidR="009B7517" w:rsidRPr="001F1077">
        <w:rPr>
          <w:rFonts w:eastAsiaTheme="minorHAnsi" w:cs="Times New Roman"/>
          <w:sz w:val="22"/>
          <w:szCs w:val="22"/>
        </w:rPr>
        <w:t>further 3 months</w:t>
      </w:r>
      <w:r w:rsidR="00550247">
        <w:rPr>
          <w:rFonts w:eastAsiaTheme="minorHAnsi" w:cs="Times New Roman"/>
          <w:sz w:val="22"/>
          <w:szCs w:val="22"/>
        </w:rPr>
        <w:t xml:space="preserve">. </w:t>
      </w:r>
      <w:r w:rsidR="009B7517" w:rsidRPr="001F1077">
        <w:rPr>
          <w:rFonts w:eastAsiaTheme="minorHAnsi" w:cs="Times New Roman"/>
          <w:sz w:val="22"/>
          <w:szCs w:val="22"/>
        </w:rPr>
        <w:t>The Government may consider further temporary employment contract extensions</w:t>
      </w:r>
      <w:r w:rsidR="00EE5E62" w:rsidRPr="001F1077">
        <w:rPr>
          <w:rFonts w:eastAsiaTheme="minorHAnsi" w:cs="Times New Roman"/>
          <w:sz w:val="22"/>
          <w:szCs w:val="22"/>
        </w:rPr>
        <w:t xml:space="preserve"> throughout the COVID-19 pandemic</w:t>
      </w:r>
      <w:r w:rsidR="009B7517" w:rsidRPr="001F1077">
        <w:rPr>
          <w:rFonts w:eastAsiaTheme="minorHAnsi" w:cs="Times New Roman"/>
          <w:sz w:val="22"/>
          <w:szCs w:val="22"/>
        </w:rPr>
        <w:t>.</w:t>
      </w:r>
    </w:p>
    <w:p w14:paraId="125CB809" w14:textId="45D528B3" w:rsidR="00CA2251" w:rsidRPr="001F1077" w:rsidRDefault="00EE5E62" w:rsidP="00CA2251">
      <w:pPr>
        <w:rPr>
          <w:sz w:val="22"/>
          <w:szCs w:val="22"/>
        </w:rPr>
      </w:pPr>
      <w:r w:rsidRPr="001F1077">
        <w:rPr>
          <w:sz w:val="22"/>
          <w:szCs w:val="22"/>
        </w:rPr>
        <w:t xml:space="preserve">This commitment will apply to any temporary employment contract which is </w:t>
      </w:r>
      <w:r w:rsidR="00530717" w:rsidRPr="001F1077">
        <w:rPr>
          <w:sz w:val="22"/>
          <w:szCs w:val="22"/>
        </w:rPr>
        <w:t>due to finish</w:t>
      </w:r>
      <w:r w:rsidRPr="001F1077">
        <w:rPr>
          <w:sz w:val="22"/>
          <w:szCs w:val="22"/>
        </w:rPr>
        <w:t xml:space="preserve"> </w:t>
      </w:r>
      <w:r w:rsidR="00CA2251" w:rsidRPr="001F1077">
        <w:rPr>
          <w:sz w:val="22"/>
          <w:szCs w:val="22"/>
        </w:rPr>
        <w:t xml:space="preserve">from April 2020 </w:t>
      </w:r>
      <w:r w:rsidRPr="001F1077">
        <w:rPr>
          <w:sz w:val="22"/>
          <w:szCs w:val="22"/>
        </w:rPr>
        <w:t>to September 2020</w:t>
      </w:r>
      <w:r w:rsidR="00811503" w:rsidRPr="001F1077">
        <w:rPr>
          <w:sz w:val="22"/>
          <w:szCs w:val="22"/>
        </w:rPr>
        <w:t xml:space="preserve">. </w:t>
      </w:r>
      <w:r w:rsidR="00CA2251" w:rsidRPr="001F1077">
        <w:rPr>
          <w:sz w:val="22"/>
          <w:szCs w:val="22"/>
        </w:rPr>
        <w:t>For example</w:t>
      </w:r>
      <w:r w:rsidR="00550247">
        <w:rPr>
          <w:sz w:val="22"/>
          <w:szCs w:val="22"/>
        </w:rPr>
        <w:t>:</w:t>
      </w:r>
      <w:r w:rsidR="00CA2251" w:rsidRPr="001F1077">
        <w:rPr>
          <w:sz w:val="22"/>
          <w:szCs w:val="22"/>
        </w:rPr>
        <w:t xml:space="preserve"> </w:t>
      </w:r>
    </w:p>
    <w:p w14:paraId="0A0CDB88" w14:textId="77777777" w:rsidR="00CA2251" w:rsidRPr="00F74EF0" w:rsidRDefault="00CA2251" w:rsidP="00CA2251">
      <w:pPr>
        <w:pStyle w:val="ListParagraph"/>
        <w:numPr>
          <w:ilvl w:val="0"/>
          <w:numId w:val="13"/>
        </w:numPr>
        <w:rPr>
          <w:sz w:val="22"/>
          <w:szCs w:val="22"/>
        </w:rPr>
      </w:pPr>
      <w:r w:rsidRPr="00F74EF0">
        <w:rPr>
          <w:sz w:val="22"/>
          <w:szCs w:val="22"/>
        </w:rPr>
        <w:t xml:space="preserve">if a temporary employee has a contract expiring in April 2020, the Government would offer an extension to July 2020; </w:t>
      </w:r>
    </w:p>
    <w:p w14:paraId="2A4EB4F8" w14:textId="4608444F" w:rsidR="00CA2251" w:rsidRDefault="00CA2251" w:rsidP="00CA2251">
      <w:pPr>
        <w:pStyle w:val="ListParagraph"/>
        <w:numPr>
          <w:ilvl w:val="0"/>
          <w:numId w:val="13"/>
        </w:numPr>
        <w:rPr>
          <w:sz w:val="22"/>
          <w:szCs w:val="22"/>
        </w:rPr>
      </w:pPr>
      <w:r w:rsidRPr="00F74EF0">
        <w:rPr>
          <w:sz w:val="22"/>
          <w:szCs w:val="22"/>
        </w:rPr>
        <w:t xml:space="preserve">if a temporary employee has a contract expiring in July 2020, the Government would offer an extension to October 2020; </w:t>
      </w:r>
    </w:p>
    <w:p w14:paraId="66A3F232" w14:textId="77777777" w:rsidR="00A559E4" w:rsidRPr="001A093B" w:rsidRDefault="00A559E4" w:rsidP="00A559E4">
      <w:pPr>
        <w:pStyle w:val="ListParagraph"/>
        <w:numPr>
          <w:ilvl w:val="0"/>
          <w:numId w:val="13"/>
        </w:numPr>
        <w:rPr>
          <w:color w:val="FF0000"/>
          <w:sz w:val="22"/>
          <w:szCs w:val="22"/>
        </w:rPr>
      </w:pPr>
      <w:r w:rsidRPr="00550247">
        <w:rPr>
          <w:sz w:val="22"/>
          <w:szCs w:val="22"/>
        </w:rPr>
        <w:t>if a temporary employee has a contract expiring in September 2020, the Government would offer an extension to December 2020.</w:t>
      </w:r>
    </w:p>
    <w:p w14:paraId="761218D1" w14:textId="73C6518A" w:rsidR="00D80D2A" w:rsidRDefault="00D80D2A" w:rsidP="00005611">
      <w:pPr>
        <w:pStyle w:val="ListNumber"/>
        <w:numPr>
          <w:ilvl w:val="0"/>
          <w:numId w:val="0"/>
        </w:numPr>
        <w:spacing w:line="240" w:lineRule="auto"/>
        <w:rPr>
          <w:rFonts w:eastAsiaTheme="minorHAnsi" w:cs="Times New Roman"/>
          <w:color w:val="000000" w:themeColor="text1"/>
          <w:sz w:val="22"/>
          <w:szCs w:val="22"/>
        </w:rPr>
      </w:pPr>
      <w:r w:rsidRPr="00C70619">
        <w:rPr>
          <w:rFonts w:eastAsiaTheme="minorHAnsi" w:cs="Times New Roman"/>
          <w:sz w:val="22"/>
          <w:szCs w:val="22"/>
        </w:rPr>
        <w:t xml:space="preserve">The Territory would have considered whether existing temporary employees meet the requirements of an ‘eligible person’ under the PSM Act for the period of their existing contract. Where contracts are extended for temporary employees, an assessment will be undertaken to confirm that the </w:t>
      </w:r>
      <w:r w:rsidRPr="00C70619">
        <w:rPr>
          <w:rFonts w:eastAsiaTheme="minorHAnsi" w:cs="Times New Roman"/>
          <w:color w:val="000000" w:themeColor="text1"/>
          <w:sz w:val="22"/>
          <w:szCs w:val="22"/>
        </w:rPr>
        <w:t xml:space="preserve">requirements of an </w:t>
      </w:r>
      <w:r w:rsidRPr="00C70619">
        <w:rPr>
          <w:rFonts w:eastAsiaTheme="minorHAnsi" w:cs="Times New Roman"/>
          <w:color w:val="000000" w:themeColor="text1"/>
          <w:sz w:val="22"/>
          <w:szCs w:val="22"/>
        </w:rPr>
        <w:lastRenderedPageBreak/>
        <w:t xml:space="preserve">‘eligible person’ are still met. For further information on the requirements of an ‘eligible person’ please see </w:t>
      </w:r>
      <w:r w:rsidRPr="00C70619">
        <w:rPr>
          <w:rFonts w:eastAsiaTheme="minorHAnsi" w:cs="Times New Roman"/>
          <w:color w:val="000000" w:themeColor="text1"/>
          <w:sz w:val="22"/>
          <w:szCs w:val="22"/>
          <w:u w:val="single"/>
        </w:rPr>
        <w:t>Attachment 1</w:t>
      </w:r>
      <w:r w:rsidRPr="00C70619">
        <w:rPr>
          <w:rFonts w:eastAsiaTheme="minorHAnsi" w:cs="Times New Roman"/>
          <w:color w:val="000000" w:themeColor="text1"/>
          <w:sz w:val="22"/>
          <w:szCs w:val="22"/>
        </w:rPr>
        <w:t>.</w:t>
      </w:r>
    </w:p>
    <w:p w14:paraId="2452FA53" w14:textId="2F4EFBAB" w:rsidR="00811503" w:rsidRPr="001F1077" w:rsidRDefault="00550247" w:rsidP="00005611">
      <w:pPr>
        <w:pStyle w:val="ListNumber"/>
        <w:numPr>
          <w:ilvl w:val="0"/>
          <w:numId w:val="0"/>
        </w:numPr>
        <w:spacing w:line="240" w:lineRule="auto"/>
        <w:rPr>
          <w:rFonts w:eastAsiaTheme="minorHAnsi" w:cs="Times New Roman"/>
          <w:sz w:val="22"/>
          <w:szCs w:val="22"/>
        </w:rPr>
      </w:pPr>
      <w:r>
        <w:rPr>
          <w:rFonts w:eastAsiaTheme="minorHAnsi" w:cs="Times New Roman"/>
          <w:sz w:val="22"/>
          <w:szCs w:val="22"/>
        </w:rPr>
        <w:t>The contract extensions can be implemented under the current legislative framework and i</w:t>
      </w:r>
      <w:r w:rsidR="00CA2251" w:rsidRPr="001F1077">
        <w:rPr>
          <w:rFonts w:eastAsiaTheme="minorHAnsi" w:cs="Times New Roman"/>
          <w:sz w:val="22"/>
          <w:szCs w:val="22"/>
        </w:rPr>
        <w:t>t is the intention that t</w:t>
      </w:r>
      <w:r w:rsidR="00530717" w:rsidRPr="001F1077">
        <w:rPr>
          <w:rFonts w:eastAsiaTheme="minorHAnsi" w:cs="Times New Roman"/>
          <w:sz w:val="22"/>
          <w:szCs w:val="22"/>
        </w:rPr>
        <w:t xml:space="preserve">his policy </w:t>
      </w:r>
      <w:r w:rsidR="00CA2251" w:rsidRPr="001F1077">
        <w:rPr>
          <w:rFonts w:eastAsiaTheme="minorHAnsi" w:cs="Times New Roman"/>
          <w:sz w:val="22"/>
          <w:szCs w:val="22"/>
        </w:rPr>
        <w:t>will streamline the contract extensions across the ACTPS and ensure consistency in approach.</w:t>
      </w:r>
    </w:p>
    <w:p w14:paraId="4C5E25D1" w14:textId="77777777" w:rsidR="00F90C47" w:rsidRDefault="00F90C47" w:rsidP="00251581">
      <w:pPr>
        <w:pStyle w:val="Heading4"/>
      </w:pPr>
      <w:r>
        <w:t>Temporary employees</w:t>
      </w:r>
    </w:p>
    <w:p w14:paraId="1EE16E2F" w14:textId="5E2C95E0" w:rsidR="00251581" w:rsidRPr="00F74EF0" w:rsidRDefault="00F90C47" w:rsidP="00F90C47">
      <w:pPr>
        <w:rPr>
          <w:sz w:val="22"/>
          <w:szCs w:val="22"/>
        </w:rPr>
      </w:pPr>
      <w:r w:rsidRPr="00F74EF0">
        <w:rPr>
          <w:sz w:val="22"/>
          <w:szCs w:val="22"/>
        </w:rPr>
        <w:t xml:space="preserve">Section 25 of the Public Sector Management Act 1994 (PSM Act) provides that a person may be employed to exercise the functions of an office on a temporary basis. Section 110 provides that the </w:t>
      </w:r>
      <w:r w:rsidR="00831A11">
        <w:rPr>
          <w:sz w:val="22"/>
          <w:szCs w:val="22"/>
        </w:rPr>
        <w:t>head of s</w:t>
      </w:r>
      <w:r w:rsidRPr="00F74EF0">
        <w:rPr>
          <w:sz w:val="22"/>
          <w:szCs w:val="22"/>
        </w:rPr>
        <w:t>ervice may employ the person for a fixed term of</w:t>
      </w:r>
      <w:r w:rsidR="001F1077" w:rsidRPr="00F74EF0">
        <w:rPr>
          <w:sz w:val="22"/>
          <w:szCs w:val="22"/>
        </w:rPr>
        <w:t>:</w:t>
      </w:r>
      <w:r w:rsidRPr="00F74EF0">
        <w:rPr>
          <w:sz w:val="22"/>
          <w:szCs w:val="22"/>
        </w:rPr>
        <w:t xml:space="preserve"> </w:t>
      </w:r>
    </w:p>
    <w:p w14:paraId="1F47106E" w14:textId="6DEA1BC2" w:rsidR="00251581" w:rsidRPr="00F74EF0" w:rsidRDefault="00F90C47" w:rsidP="002534FC">
      <w:pPr>
        <w:tabs>
          <w:tab w:val="left" w:pos="851"/>
        </w:tabs>
        <w:ind w:left="426"/>
        <w:rPr>
          <w:sz w:val="22"/>
          <w:szCs w:val="22"/>
        </w:rPr>
      </w:pPr>
      <w:r w:rsidRPr="00F74EF0">
        <w:rPr>
          <w:sz w:val="22"/>
          <w:szCs w:val="22"/>
        </w:rPr>
        <w:t xml:space="preserve">a) </w:t>
      </w:r>
      <w:r w:rsidR="002534FC">
        <w:rPr>
          <w:sz w:val="22"/>
          <w:szCs w:val="22"/>
        </w:rPr>
        <w:tab/>
      </w:r>
      <w:r w:rsidRPr="00F74EF0">
        <w:rPr>
          <w:sz w:val="22"/>
          <w:szCs w:val="22"/>
        </w:rPr>
        <w:t xml:space="preserve">less than 12 months; or </w:t>
      </w:r>
    </w:p>
    <w:p w14:paraId="52DDB14B" w14:textId="4937D072" w:rsidR="00F90C47" w:rsidRPr="00F74EF0" w:rsidRDefault="00F90C47" w:rsidP="002534FC">
      <w:pPr>
        <w:tabs>
          <w:tab w:val="left" w:pos="851"/>
        </w:tabs>
        <w:ind w:left="851" w:hanging="425"/>
        <w:rPr>
          <w:sz w:val="22"/>
          <w:szCs w:val="22"/>
        </w:rPr>
      </w:pPr>
      <w:r w:rsidRPr="00F74EF0">
        <w:rPr>
          <w:sz w:val="22"/>
          <w:szCs w:val="22"/>
        </w:rPr>
        <w:t xml:space="preserve">b) </w:t>
      </w:r>
      <w:r w:rsidR="002534FC">
        <w:rPr>
          <w:sz w:val="22"/>
          <w:szCs w:val="22"/>
        </w:rPr>
        <w:tab/>
      </w:r>
      <w:r w:rsidR="00251581" w:rsidRPr="00F74EF0">
        <w:rPr>
          <w:sz w:val="22"/>
          <w:szCs w:val="22"/>
        </w:rPr>
        <w:t xml:space="preserve">less than 5 years, </w:t>
      </w:r>
      <w:r w:rsidRPr="00F74EF0">
        <w:rPr>
          <w:sz w:val="22"/>
          <w:szCs w:val="22"/>
        </w:rPr>
        <w:t>if the head of service consults the principal union about the need for the temporary employment.</w:t>
      </w:r>
    </w:p>
    <w:p w14:paraId="6F7401B5" w14:textId="5C7DAED3" w:rsidR="007B1947" w:rsidRPr="00251581" w:rsidRDefault="007B1947" w:rsidP="00251581">
      <w:pPr>
        <w:pStyle w:val="Heading4"/>
      </w:pPr>
      <w:r w:rsidRPr="00251581">
        <w:t xml:space="preserve">How to extend a </w:t>
      </w:r>
      <w:r w:rsidR="00251581">
        <w:t xml:space="preserve">temporary </w:t>
      </w:r>
      <w:r w:rsidRPr="00251581">
        <w:t xml:space="preserve">contract </w:t>
      </w:r>
      <w:r w:rsidR="00251581">
        <w:t xml:space="preserve">at this time to give effect to the Government policy decision to provide </w:t>
      </w:r>
      <w:r w:rsidR="00550247">
        <w:t xml:space="preserve">additional </w:t>
      </w:r>
      <w:r w:rsidR="00251581">
        <w:t>j</w:t>
      </w:r>
      <w:r w:rsidR="00251581" w:rsidRPr="00251581">
        <w:t xml:space="preserve">ob security to </w:t>
      </w:r>
      <w:r w:rsidR="00251581">
        <w:t xml:space="preserve">its current temporary </w:t>
      </w:r>
      <w:r w:rsidR="00251581" w:rsidRPr="00251581">
        <w:t>workforce</w:t>
      </w:r>
      <w:r w:rsidR="00A50586">
        <w:t>:</w:t>
      </w:r>
    </w:p>
    <w:p w14:paraId="7B5D5576" w14:textId="5CA39A15" w:rsidR="00D05F1D" w:rsidRPr="00520F2D" w:rsidRDefault="00530717" w:rsidP="00D05F1D">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 xml:space="preserve">Directorates and agencies will be required to undertake </w:t>
      </w:r>
      <w:r w:rsidR="00014AC1">
        <w:rPr>
          <w:rFonts w:eastAsiaTheme="minorHAnsi" w:cs="Times New Roman"/>
          <w:sz w:val="22"/>
          <w:szCs w:val="22"/>
        </w:rPr>
        <w:t>an</w:t>
      </w:r>
      <w:r w:rsidRPr="00520F2D">
        <w:rPr>
          <w:rFonts w:eastAsiaTheme="minorHAnsi" w:cs="Times New Roman"/>
          <w:sz w:val="22"/>
          <w:szCs w:val="22"/>
        </w:rPr>
        <w:t xml:space="preserve"> assessment </w:t>
      </w:r>
      <w:r w:rsidR="00C46ADC" w:rsidRPr="00520F2D">
        <w:rPr>
          <w:rFonts w:eastAsiaTheme="minorHAnsi" w:cs="Times New Roman"/>
          <w:sz w:val="22"/>
          <w:szCs w:val="22"/>
        </w:rPr>
        <w:t xml:space="preserve">of </w:t>
      </w:r>
      <w:r w:rsidRPr="00520F2D">
        <w:rPr>
          <w:rFonts w:eastAsiaTheme="minorHAnsi" w:cs="Times New Roman"/>
          <w:sz w:val="22"/>
          <w:szCs w:val="22"/>
        </w:rPr>
        <w:t>their temporary employees</w:t>
      </w:r>
      <w:r w:rsidR="00CA2251" w:rsidRPr="00520F2D">
        <w:rPr>
          <w:rFonts w:eastAsiaTheme="minorHAnsi" w:cs="Times New Roman"/>
          <w:sz w:val="22"/>
          <w:szCs w:val="22"/>
        </w:rPr>
        <w:t xml:space="preserve"> to determine how existing contracts can be extended to meet the Government’s policy objective o</w:t>
      </w:r>
      <w:r w:rsidR="006D7410">
        <w:rPr>
          <w:rFonts w:eastAsiaTheme="minorHAnsi" w:cs="Times New Roman"/>
          <w:sz w:val="22"/>
          <w:szCs w:val="22"/>
        </w:rPr>
        <w:t>f</w:t>
      </w:r>
      <w:r w:rsidR="00CA2251" w:rsidRPr="00520F2D">
        <w:rPr>
          <w:rFonts w:eastAsiaTheme="minorHAnsi" w:cs="Times New Roman"/>
          <w:sz w:val="22"/>
          <w:szCs w:val="22"/>
        </w:rPr>
        <w:t xml:space="preserve"> providing further job security to its temporary workforce throughout the COVID-1</w:t>
      </w:r>
      <w:r w:rsidR="00FD0E80">
        <w:rPr>
          <w:rFonts w:eastAsiaTheme="minorHAnsi" w:cs="Times New Roman"/>
          <w:sz w:val="22"/>
          <w:szCs w:val="22"/>
        </w:rPr>
        <w:t>9</w:t>
      </w:r>
      <w:r w:rsidR="00CA2251" w:rsidRPr="00520F2D">
        <w:rPr>
          <w:rFonts w:eastAsiaTheme="minorHAnsi" w:cs="Times New Roman"/>
          <w:sz w:val="22"/>
          <w:szCs w:val="22"/>
        </w:rPr>
        <w:t xml:space="preserve"> pandemic</w:t>
      </w:r>
      <w:r w:rsidRPr="00520F2D">
        <w:rPr>
          <w:rFonts w:eastAsiaTheme="minorHAnsi" w:cs="Times New Roman"/>
          <w:sz w:val="22"/>
          <w:szCs w:val="22"/>
        </w:rPr>
        <w:t>.</w:t>
      </w:r>
      <w:r w:rsidR="00B31C6D" w:rsidRPr="00520F2D">
        <w:rPr>
          <w:rFonts w:eastAsiaTheme="minorHAnsi" w:cs="Times New Roman"/>
          <w:sz w:val="22"/>
          <w:szCs w:val="22"/>
        </w:rPr>
        <w:t xml:space="preserve"> </w:t>
      </w:r>
    </w:p>
    <w:p w14:paraId="46A47C23" w14:textId="7CC485FF" w:rsidR="00D05F1D" w:rsidRPr="00520F2D" w:rsidRDefault="00D05F1D" w:rsidP="00D05F1D">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If the temporary employee has been employed under section 110 for a period of less than 9 months</w:t>
      </w:r>
      <w:r w:rsidR="001F1077" w:rsidRPr="00520F2D">
        <w:rPr>
          <w:rFonts w:eastAsiaTheme="minorHAnsi" w:cs="Times New Roman"/>
          <w:sz w:val="22"/>
          <w:szCs w:val="22"/>
        </w:rPr>
        <w:t xml:space="preserve"> (with an expiry date of April 2020 to September 2020)</w:t>
      </w:r>
      <w:r w:rsidRPr="00520F2D">
        <w:rPr>
          <w:rFonts w:eastAsiaTheme="minorHAnsi" w:cs="Times New Roman"/>
          <w:sz w:val="22"/>
          <w:szCs w:val="22"/>
        </w:rPr>
        <w:t xml:space="preserve">, their contract may be extended by three months with no merit process. </w:t>
      </w:r>
      <w:r w:rsidR="001F1077" w:rsidRPr="00520F2D">
        <w:rPr>
          <w:rFonts w:eastAsiaTheme="minorHAnsi" w:cs="Times New Roman"/>
          <w:sz w:val="22"/>
          <w:szCs w:val="22"/>
        </w:rPr>
        <w:t>The cumulative period of the temporary contract will not exceed 12 months.</w:t>
      </w:r>
    </w:p>
    <w:p w14:paraId="2CDA148E" w14:textId="12F4E5C9" w:rsidR="00D05F1D" w:rsidRPr="00520F2D" w:rsidRDefault="00D05F1D" w:rsidP="00005611">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If the temporary employee has been employed under section 110 for a period of more than 9 months</w:t>
      </w:r>
      <w:r w:rsidR="001F1077" w:rsidRPr="00520F2D">
        <w:rPr>
          <w:rFonts w:eastAsiaTheme="minorHAnsi" w:cs="Times New Roman"/>
          <w:sz w:val="22"/>
          <w:szCs w:val="22"/>
        </w:rPr>
        <w:t xml:space="preserve"> (with </w:t>
      </w:r>
      <w:r w:rsidR="00520F2D" w:rsidRPr="00520F2D">
        <w:rPr>
          <w:rFonts w:eastAsiaTheme="minorHAnsi" w:cs="Times New Roman"/>
          <w:sz w:val="22"/>
          <w:szCs w:val="22"/>
        </w:rPr>
        <w:t xml:space="preserve">an expiry date of </w:t>
      </w:r>
      <w:r w:rsidR="001F1077" w:rsidRPr="00520F2D">
        <w:rPr>
          <w:rFonts w:eastAsiaTheme="minorHAnsi" w:cs="Times New Roman"/>
          <w:sz w:val="22"/>
          <w:szCs w:val="22"/>
        </w:rPr>
        <w:t>April 2020 to September 2020)</w:t>
      </w:r>
      <w:r w:rsidRPr="00520F2D">
        <w:rPr>
          <w:rFonts w:eastAsiaTheme="minorHAnsi" w:cs="Times New Roman"/>
          <w:sz w:val="22"/>
          <w:szCs w:val="22"/>
        </w:rPr>
        <w:t>, their contract may be</w:t>
      </w:r>
      <w:r w:rsidR="00282893">
        <w:rPr>
          <w:rFonts w:eastAsiaTheme="minorHAnsi" w:cs="Times New Roman"/>
          <w:sz w:val="22"/>
          <w:szCs w:val="22"/>
        </w:rPr>
        <w:t xml:space="preserve"> extended </w:t>
      </w:r>
      <w:r w:rsidRPr="00520F2D">
        <w:rPr>
          <w:rFonts w:eastAsiaTheme="minorHAnsi" w:cs="Times New Roman"/>
          <w:sz w:val="22"/>
          <w:szCs w:val="22"/>
        </w:rPr>
        <w:t xml:space="preserve">by three months. </w:t>
      </w:r>
      <w:r w:rsidR="00520F2D" w:rsidRPr="00520F2D">
        <w:rPr>
          <w:rFonts w:eastAsiaTheme="minorHAnsi" w:cs="Times New Roman"/>
          <w:sz w:val="22"/>
          <w:szCs w:val="22"/>
        </w:rPr>
        <w:t>The cumulative period of the temporary contract will not exceed 5 years.</w:t>
      </w:r>
    </w:p>
    <w:p w14:paraId="0328A9FD" w14:textId="5F42342E" w:rsidR="00175E0C" w:rsidRDefault="00175E0C" w:rsidP="00175E0C">
      <w:pPr>
        <w:pStyle w:val="ListNumber"/>
        <w:numPr>
          <w:ilvl w:val="0"/>
          <w:numId w:val="0"/>
        </w:numPr>
        <w:spacing w:line="240" w:lineRule="auto"/>
        <w:rPr>
          <w:rFonts w:eastAsiaTheme="minorHAnsi" w:cs="Times New Roman"/>
          <w:color w:val="FF0000"/>
          <w:sz w:val="22"/>
          <w:szCs w:val="22"/>
        </w:rPr>
      </w:pPr>
      <w:r w:rsidRPr="00C70619">
        <w:rPr>
          <w:rFonts w:eastAsiaTheme="minorHAnsi" w:cs="Times New Roman"/>
          <w:sz w:val="22"/>
          <w:szCs w:val="22"/>
        </w:rPr>
        <w:t xml:space="preserve">For further information, please see the Temporary Employment Scenarios </w:t>
      </w:r>
      <w:r w:rsidR="00C70619" w:rsidRPr="00C70619">
        <w:rPr>
          <w:rFonts w:eastAsiaTheme="minorHAnsi" w:cs="Times New Roman"/>
          <w:sz w:val="22"/>
          <w:szCs w:val="22"/>
        </w:rPr>
        <w:t>information at Attachment 2.</w:t>
      </w:r>
    </w:p>
    <w:p w14:paraId="746FC245" w14:textId="510C68FC" w:rsidR="007B1947" w:rsidRPr="00251581" w:rsidRDefault="007B1947" w:rsidP="00251581">
      <w:pPr>
        <w:pStyle w:val="Heading4"/>
      </w:pPr>
      <w:r w:rsidRPr="00251581">
        <w:t xml:space="preserve">How </w:t>
      </w:r>
      <w:r w:rsidR="0021012E">
        <w:t xml:space="preserve">will temporary </w:t>
      </w:r>
      <w:r w:rsidRPr="00251581">
        <w:t>employees be uti</w:t>
      </w:r>
      <w:r w:rsidR="00776EA5" w:rsidRPr="00251581">
        <w:t>li</w:t>
      </w:r>
      <w:r w:rsidRPr="00251581">
        <w:t>sed</w:t>
      </w:r>
      <w:r w:rsidR="001F1077">
        <w:t>?</w:t>
      </w:r>
      <w:r w:rsidRPr="00251581">
        <w:t xml:space="preserve"> </w:t>
      </w:r>
    </w:p>
    <w:p w14:paraId="21A8CB79" w14:textId="3DA6F8D9" w:rsidR="008267E1" w:rsidRPr="00520F2D" w:rsidRDefault="008267E1" w:rsidP="008267E1">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The extension of</w:t>
      </w:r>
      <w:r w:rsidR="00550247">
        <w:rPr>
          <w:rFonts w:eastAsiaTheme="minorHAnsi" w:cs="Times New Roman"/>
          <w:sz w:val="22"/>
          <w:szCs w:val="22"/>
        </w:rPr>
        <w:t xml:space="preserve"> contracts for</w:t>
      </w:r>
      <w:r w:rsidRPr="00520F2D">
        <w:rPr>
          <w:rFonts w:eastAsiaTheme="minorHAnsi" w:cs="Times New Roman"/>
          <w:sz w:val="22"/>
          <w:szCs w:val="22"/>
        </w:rPr>
        <w:t xml:space="preserve"> temporary employees </w:t>
      </w:r>
      <w:r w:rsidR="00CA2251" w:rsidRPr="00520F2D">
        <w:rPr>
          <w:rFonts w:eastAsiaTheme="minorHAnsi" w:cs="Times New Roman"/>
          <w:sz w:val="22"/>
          <w:szCs w:val="22"/>
        </w:rPr>
        <w:t xml:space="preserve">during this pandemic </w:t>
      </w:r>
      <w:r w:rsidRPr="00520F2D">
        <w:rPr>
          <w:rFonts w:eastAsiaTheme="minorHAnsi" w:cs="Times New Roman"/>
          <w:sz w:val="22"/>
          <w:szCs w:val="22"/>
        </w:rPr>
        <w:t xml:space="preserve">provides greater capability </w:t>
      </w:r>
      <w:r w:rsidR="00CA2251" w:rsidRPr="00520F2D">
        <w:rPr>
          <w:rFonts w:eastAsiaTheme="minorHAnsi" w:cs="Times New Roman"/>
          <w:sz w:val="22"/>
          <w:szCs w:val="22"/>
        </w:rPr>
        <w:t xml:space="preserve">for directorates </w:t>
      </w:r>
      <w:r w:rsidR="006D7410">
        <w:rPr>
          <w:rFonts w:eastAsiaTheme="minorHAnsi" w:cs="Times New Roman"/>
          <w:sz w:val="22"/>
          <w:szCs w:val="22"/>
        </w:rPr>
        <w:t xml:space="preserve">and agencies </w:t>
      </w:r>
      <w:r w:rsidR="00CA2251" w:rsidRPr="00520F2D">
        <w:rPr>
          <w:rFonts w:eastAsiaTheme="minorHAnsi" w:cs="Times New Roman"/>
          <w:sz w:val="22"/>
          <w:szCs w:val="22"/>
        </w:rPr>
        <w:t xml:space="preserve">and more broadly </w:t>
      </w:r>
      <w:r w:rsidRPr="00520F2D">
        <w:rPr>
          <w:rFonts w:eastAsiaTheme="minorHAnsi" w:cs="Times New Roman"/>
          <w:sz w:val="22"/>
          <w:szCs w:val="22"/>
        </w:rPr>
        <w:t xml:space="preserve">across the ACTPS.  </w:t>
      </w:r>
    </w:p>
    <w:p w14:paraId="7E12D7CF" w14:textId="093B1ABB" w:rsidR="007318FB" w:rsidRPr="00520F2D" w:rsidRDefault="00643026" w:rsidP="00005611">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If directorates</w:t>
      </w:r>
      <w:r w:rsidR="006D7410">
        <w:rPr>
          <w:rFonts w:eastAsiaTheme="minorHAnsi" w:cs="Times New Roman"/>
          <w:sz w:val="22"/>
          <w:szCs w:val="22"/>
        </w:rPr>
        <w:t xml:space="preserve"> and agencies</w:t>
      </w:r>
      <w:r w:rsidRPr="00520F2D">
        <w:rPr>
          <w:rFonts w:eastAsiaTheme="minorHAnsi" w:cs="Times New Roman"/>
          <w:sz w:val="22"/>
          <w:szCs w:val="22"/>
        </w:rPr>
        <w:t xml:space="preserve"> are unable to </w:t>
      </w:r>
      <w:r w:rsidR="002960A0">
        <w:rPr>
          <w:rFonts w:eastAsiaTheme="minorHAnsi" w:cs="Times New Roman"/>
          <w:sz w:val="22"/>
          <w:szCs w:val="22"/>
        </w:rPr>
        <w:t xml:space="preserve">utilise </w:t>
      </w:r>
      <w:r w:rsidRPr="00520F2D">
        <w:rPr>
          <w:rFonts w:eastAsiaTheme="minorHAnsi" w:cs="Times New Roman"/>
          <w:sz w:val="22"/>
          <w:szCs w:val="22"/>
        </w:rPr>
        <w:t xml:space="preserve">a temporary employee in the same position, consideration will initially be given to </w:t>
      </w:r>
      <w:r w:rsidR="000E5A20">
        <w:rPr>
          <w:rFonts w:eastAsiaTheme="minorHAnsi" w:cs="Times New Roman"/>
          <w:sz w:val="22"/>
          <w:szCs w:val="22"/>
        </w:rPr>
        <w:t>reassigning</w:t>
      </w:r>
      <w:r w:rsidR="000E5A20" w:rsidRPr="00520F2D">
        <w:rPr>
          <w:rFonts w:eastAsiaTheme="minorHAnsi" w:cs="Times New Roman"/>
          <w:sz w:val="22"/>
          <w:szCs w:val="22"/>
        </w:rPr>
        <w:t xml:space="preserve"> </w:t>
      </w:r>
      <w:r w:rsidRPr="00520F2D">
        <w:rPr>
          <w:rFonts w:eastAsiaTheme="minorHAnsi" w:cs="Times New Roman"/>
          <w:sz w:val="22"/>
          <w:szCs w:val="22"/>
        </w:rPr>
        <w:t>the employee within the directorate</w:t>
      </w:r>
      <w:r w:rsidR="006D7410">
        <w:rPr>
          <w:rFonts w:eastAsiaTheme="minorHAnsi" w:cs="Times New Roman"/>
          <w:sz w:val="22"/>
          <w:szCs w:val="22"/>
        </w:rPr>
        <w:t>/agency</w:t>
      </w:r>
      <w:r w:rsidR="002960A0">
        <w:rPr>
          <w:rFonts w:eastAsiaTheme="minorHAnsi" w:cs="Times New Roman"/>
          <w:sz w:val="22"/>
          <w:szCs w:val="22"/>
        </w:rPr>
        <w:t xml:space="preserve"> in accordance with the ACTPS guidance: </w:t>
      </w:r>
      <w:hyperlink r:id="rId12" w:history="1">
        <w:r w:rsidR="002960A0" w:rsidRPr="002960A0">
          <w:rPr>
            <w:rStyle w:val="Hyperlink"/>
            <w:rFonts w:eastAsiaTheme="minorHAnsi" w:cs="Times New Roman"/>
            <w:sz w:val="22"/>
            <w:szCs w:val="22"/>
          </w:rPr>
          <w:t>Emergency-Response-ACTPS-Staff-Entitlements-During-Novel-Coronavirus-COVID-19</w:t>
        </w:r>
      </w:hyperlink>
      <w:r w:rsidRPr="00520F2D">
        <w:rPr>
          <w:rFonts w:eastAsiaTheme="minorHAnsi" w:cs="Times New Roman"/>
          <w:sz w:val="22"/>
          <w:szCs w:val="22"/>
        </w:rPr>
        <w:t xml:space="preserve">. </w:t>
      </w:r>
      <w:r w:rsidRPr="00C60145">
        <w:rPr>
          <w:rFonts w:eastAsiaTheme="minorHAnsi" w:cs="Times New Roman"/>
          <w:sz w:val="22"/>
          <w:szCs w:val="22"/>
        </w:rPr>
        <w:t xml:space="preserve">After attempts have been made to </w:t>
      </w:r>
      <w:r w:rsidR="007318FB" w:rsidRPr="00C60145">
        <w:rPr>
          <w:rFonts w:eastAsiaTheme="minorHAnsi" w:cs="Times New Roman"/>
          <w:sz w:val="22"/>
          <w:szCs w:val="22"/>
        </w:rPr>
        <w:t xml:space="preserve">find the employee another position </w:t>
      </w:r>
      <w:r w:rsidR="00863743" w:rsidRPr="00C60145">
        <w:rPr>
          <w:rFonts w:eastAsiaTheme="minorHAnsi" w:cs="Times New Roman"/>
          <w:sz w:val="22"/>
          <w:szCs w:val="22"/>
        </w:rPr>
        <w:t xml:space="preserve">at the same classification (as the classification level of their previous temporary contract) </w:t>
      </w:r>
      <w:r w:rsidR="007318FB" w:rsidRPr="00C60145">
        <w:rPr>
          <w:rFonts w:eastAsiaTheme="minorHAnsi" w:cs="Times New Roman"/>
          <w:sz w:val="22"/>
          <w:szCs w:val="22"/>
        </w:rPr>
        <w:t>in which to place the employee within the directorate</w:t>
      </w:r>
      <w:r w:rsidR="006D7410" w:rsidRPr="00C60145">
        <w:rPr>
          <w:rFonts w:eastAsiaTheme="minorHAnsi" w:cs="Times New Roman"/>
          <w:sz w:val="22"/>
          <w:szCs w:val="22"/>
        </w:rPr>
        <w:t>/agency</w:t>
      </w:r>
      <w:r w:rsidR="007318FB" w:rsidRPr="00C60145">
        <w:rPr>
          <w:rFonts w:eastAsiaTheme="minorHAnsi" w:cs="Times New Roman"/>
          <w:sz w:val="22"/>
          <w:szCs w:val="22"/>
        </w:rPr>
        <w:t>, opportunities will be considered outside of the directorate</w:t>
      </w:r>
      <w:r w:rsidR="006D7410" w:rsidRPr="00C60145">
        <w:rPr>
          <w:rFonts w:eastAsiaTheme="minorHAnsi" w:cs="Times New Roman"/>
          <w:sz w:val="22"/>
          <w:szCs w:val="22"/>
        </w:rPr>
        <w:t>/agency</w:t>
      </w:r>
      <w:r w:rsidR="007318FB" w:rsidRPr="00C60145">
        <w:rPr>
          <w:rFonts w:eastAsiaTheme="minorHAnsi" w:cs="Times New Roman"/>
          <w:sz w:val="22"/>
          <w:szCs w:val="22"/>
        </w:rPr>
        <w:t>.</w:t>
      </w:r>
      <w:r w:rsidR="007318FB" w:rsidRPr="00520F2D">
        <w:rPr>
          <w:rFonts w:eastAsiaTheme="minorHAnsi" w:cs="Times New Roman"/>
          <w:sz w:val="22"/>
          <w:szCs w:val="22"/>
        </w:rPr>
        <w:t xml:space="preserve"> </w:t>
      </w:r>
    </w:p>
    <w:p w14:paraId="173F5B36" w14:textId="1D4CA030" w:rsidR="007318FB" w:rsidRDefault="007318FB" w:rsidP="00005611">
      <w:pPr>
        <w:pStyle w:val="ListNumber"/>
        <w:numPr>
          <w:ilvl w:val="0"/>
          <w:numId w:val="0"/>
        </w:numPr>
        <w:spacing w:line="240" w:lineRule="auto"/>
        <w:rPr>
          <w:rFonts w:eastAsiaTheme="minorHAnsi" w:cs="Times New Roman"/>
          <w:sz w:val="22"/>
          <w:szCs w:val="22"/>
        </w:rPr>
      </w:pPr>
      <w:r w:rsidRPr="00520F2D">
        <w:rPr>
          <w:rFonts w:eastAsiaTheme="minorHAnsi" w:cs="Times New Roman"/>
          <w:sz w:val="22"/>
          <w:szCs w:val="22"/>
        </w:rPr>
        <w:t xml:space="preserve">A process will be established through HR Council to identify temporary employees </w:t>
      </w:r>
      <w:r w:rsidR="00CA2251" w:rsidRPr="00520F2D">
        <w:rPr>
          <w:rFonts w:eastAsiaTheme="minorHAnsi" w:cs="Times New Roman"/>
          <w:sz w:val="22"/>
          <w:szCs w:val="22"/>
        </w:rPr>
        <w:t xml:space="preserve">which need </w:t>
      </w:r>
      <w:r w:rsidRPr="00520F2D">
        <w:rPr>
          <w:rFonts w:eastAsiaTheme="minorHAnsi" w:cs="Times New Roman"/>
          <w:sz w:val="22"/>
          <w:szCs w:val="22"/>
        </w:rPr>
        <w:t xml:space="preserve">to be </w:t>
      </w:r>
      <w:r w:rsidR="00520F2D">
        <w:rPr>
          <w:rFonts w:eastAsiaTheme="minorHAnsi" w:cs="Times New Roman"/>
          <w:sz w:val="22"/>
          <w:szCs w:val="22"/>
        </w:rPr>
        <w:t>reassigned to exercise the functions of another office in</w:t>
      </w:r>
      <w:r w:rsidRPr="00520F2D">
        <w:rPr>
          <w:rFonts w:eastAsiaTheme="minorHAnsi" w:cs="Times New Roman"/>
          <w:sz w:val="22"/>
          <w:szCs w:val="22"/>
        </w:rPr>
        <w:t xml:space="preserve"> </w:t>
      </w:r>
      <w:r w:rsidR="00520F2D">
        <w:rPr>
          <w:rFonts w:eastAsiaTheme="minorHAnsi" w:cs="Times New Roman"/>
          <w:sz w:val="22"/>
          <w:szCs w:val="22"/>
        </w:rPr>
        <w:t xml:space="preserve">a </w:t>
      </w:r>
      <w:r w:rsidRPr="00520F2D">
        <w:rPr>
          <w:rFonts w:eastAsiaTheme="minorHAnsi" w:cs="Times New Roman"/>
          <w:sz w:val="22"/>
          <w:szCs w:val="22"/>
        </w:rPr>
        <w:t>priority area across the ACTPS.</w:t>
      </w:r>
    </w:p>
    <w:p w14:paraId="1FAA10E7" w14:textId="1B3FD9BC" w:rsidR="002960A0" w:rsidRPr="00520F2D" w:rsidRDefault="002960A0" w:rsidP="00005611">
      <w:pPr>
        <w:pStyle w:val="ListNumber"/>
        <w:numPr>
          <w:ilvl w:val="0"/>
          <w:numId w:val="0"/>
        </w:numPr>
        <w:spacing w:line="240" w:lineRule="auto"/>
        <w:rPr>
          <w:rFonts w:eastAsiaTheme="minorHAnsi" w:cs="Times New Roman"/>
          <w:sz w:val="22"/>
          <w:szCs w:val="22"/>
        </w:rPr>
      </w:pPr>
      <w:r>
        <w:rPr>
          <w:rFonts w:eastAsiaTheme="minorHAnsi" w:cs="Times New Roman"/>
          <w:sz w:val="22"/>
          <w:szCs w:val="22"/>
        </w:rPr>
        <w:t xml:space="preserve">In the event that an employee cannot be given suitable duties, they may be placed on COVID-19 leave in accordance with the ACTPS guidance: </w:t>
      </w:r>
      <w:hyperlink r:id="rId13" w:history="1">
        <w:r w:rsidRPr="002960A0">
          <w:rPr>
            <w:rStyle w:val="Hyperlink"/>
            <w:rFonts w:eastAsiaTheme="minorHAnsi" w:cs="Times New Roman"/>
            <w:sz w:val="22"/>
            <w:szCs w:val="22"/>
          </w:rPr>
          <w:t>Emergency-Response-ACTPS-Staff-Entitlements-During-Novel-Coronavirus-COVID-19</w:t>
        </w:r>
      </w:hyperlink>
      <w:r w:rsidR="00D80D2A" w:rsidRPr="00D80D2A">
        <w:rPr>
          <w:rStyle w:val="Hyperlink"/>
          <w:rFonts w:eastAsiaTheme="minorHAnsi" w:cs="Times New Roman"/>
          <w:color w:val="000000" w:themeColor="text1"/>
          <w:sz w:val="22"/>
          <w:szCs w:val="22"/>
        </w:rPr>
        <w:t>.</w:t>
      </w:r>
    </w:p>
    <w:p w14:paraId="4DEA7570" w14:textId="6377B6F4" w:rsidR="0021012E" w:rsidRPr="0021012E" w:rsidRDefault="00DF716E" w:rsidP="00CA2251">
      <w:pPr>
        <w:pStyle w:val="Heading4"/>
      </w:pPr>
      <w:r>
        <w:t>Does th</w:t>
      </w:r>
      <w:r w:rsidR="00251581">
        <w:t>e</w:t>
      </w:r>
      <w:r>
        <w:t xml:space="preserve"> </w:t>
      </w:r>
      <w:r w:rsidR="00251581">
        <w:t>Government’s policy position</w:t>
      </w:r>
      <w:r w:rsidR="00CA2251">
        <w:t xml:space="preserve"> to provide</w:t>
      </w:r>
      <w:r w:rsidR="0095708C">
        <w:t xml:space="preserve"> additional</w:t>
      </w:r>
      <w:r w:rsidR="00CA2251">
        <w:t xml:space="preserve"> job security to temporary employees also</w:t>
      </w:r>
      <w:r w:rsidR="00251581">
        <w:t xml:space="preserve"> </w:t>
      </w:r>
      <w:r>
        <w:t>apply to casual employees</w:t>
      </w:r>
      <w:r w:rsidR="001F1077">
        <w:t>?</w:t>
      </w:r>
    </w:p>
    <w:p w14:paraId="589166A1" w14:textId="37DEBA26" w:rsidR="0095708C" w:rsidRPr="002960A0" w:rsidRDefault="0021012E" w:rsidP="0095708C">
      <w:pPr>
        <w:pStyle w:val="ListNumber"/>
        <w:numPr>
          <w:ilvl w:val="0"/>
          <w:numId w:val="0"/>
        </w:numPr>
        <w:spacing w:before="120" w:after="0" w:line="240" w:lineRule="auto"/>
        <w:rPr>
          <w:rFonts w:eastAsiaTheme="minorHAnsi" w:cs="Times New Roman"/>
          <w:iCs/>
          <w:sz w:val="22"/>
          <w:szCs w:val="22"/>
        </w:rPr>
      </w:pPr>
      <w:r>
        <w:rPr>
          <w:rFonts w:eastAsiaTheme="minorHAnsi" w:cs="Times New Roman"/>
          <w:iCs/>
          <w:sz w:val="22"/>
          <w:szCs w:val="22"/>
        </w:rPr>
        <w:t xml:space="preserve">The Government has recently outlined its commitment to supporting its casual workforce during the COVID-19 pandemic. </w:t>
      </w:r>
      <w:r w:rsidR="0095708C">
        <w:rPr>
          <w:rFonts w:eastAsiaTheme="minorHAnsi" w:cs="Times New Roman"/>
          <w:iCs/>
          <w:sz w:val="22"/>
          <w:szCs w:val="22"/>
        </w:rPr>
        <w:t xml:space="preserve">Specific advice in relation to casuals can be accessed in the ACTPS guidance </w:t>
      </w:r>
      <w:hyperlink r:id="rId14" w:history="1">
        <w:r w:rsidR="0095708C" w:rsidRPr="0095708C">
          <w:rPr>
            <w:rStyle w:val="Hyperlink"/>
            <w:rFonts w:eastAsiaTheme="minorHAnsi" w:cs="Times New Roman"/>
            <w:iCs/>
            <w:sz w:val="22"/>
            <w:szCs w:val="22"/>
          </w:rPr>
          <w:t>Emergency-Response-ACTPS-Staff-Entitlements-During-Novel-Coronavirus-COVID-19</w:t>
        </w:r>
      </w:hyperlink>
      <w:r w:rsidR="00D80D2A" w:rsidRPr="00D80D2A">
        <w:rPr>
          <w:rStyle w:val="Hyperlink"/>
          <w:rFonts w:eastAsiaTheme="minorHAnsi" w:cs="Times New Roman"/>
          <w:color w:val="000000" w:themeColor="text1"/>
          <w:sz w:val="22"/>
          <w:szCs w:val="22"/>
        </w:rPr>
        <w:t>.</w:t>
      </w:r>
    </w:p>
    <w:p w14:paraId="02E0D953" w14:textId="77777777" w:rsidR="002960A0" w:rsidRDefault="002960A0" w:rsidP="00A15BC1">
      <w:pPr>
        <w:pStyle w:val="Heading2"/>
        <w:rPr>
          <w:rFonts w:eastAsia="Times New Roman"/>
          <w:color w:val="323232" w:themeColor="accent1"/>
          <w:sz w:val="26"/>
          <w:szCs w:val="28"/>
        </w:rPr>
      </w:pPr>
    </w:p>
    <w:p w14:paraId="492CC450" w14:textId="1991A12C" w:rsidR="002643A3" w:rsidRPr="005D442A" w:rsidRDefault="00811503" w:rsidP="00A15BC1">
      <w:pPr>
        <w:pStyle w:val="Heading2"/>
        <w:rPr>
          <w:rFonts w:eastAsia="Times New Roman"/>
          <w:color w:val="323232" w:themeColor="accent1"/>
          <w:sz w:val="26"/>
          <w:szCs w:val="28"/>
        </w:rPr>
      </w:pPr>
      <w:r>
        <w:rPr>
          <w:rFonts w:eastAsia="Times New Roman"/>
          <w:color w:val="323232" w:themeColor="accent1"/>
          <w:sz w:val="26"/>
          <w:szCs w:val="28"/>
        </w:rPr>
        <w:t>Responsibilities</w:t>
      </w:r>
    </w:p>
    <w:p w14:paraId="1505B9D6" w14:textId="0A1551D3" w:rsidR="00131315" w:rsidRDefault="00131315" w:rsidP="00C45F4B">
      <w:pPr>
        <w:pStyle w:val="ListNumber"/>
        <w:numPr>
          <w:ilvl w:val="0"/>
          <w:numId w:val="0"/>
        </w:numPr>
        <w:spacing w:line="240" w:lineRule="auto"/>
        <w:rPr>
          <w:rFonts w:eastAsiaTheme="minorHAnsi" w:cs="Times New Roman"/>
          <w:sz w:val="22"/>
          <w:szCs w:val="22"/>
        </w:rPr>
      </w:pPr>
      <w:r>
        <w:rPr>
          <w:rFonts w:eastAsiaTheme="minorHAnsi" w:cs="Times New Roman"/>
          <w:sz w:val="22"/>
          <w:szCs w:val="22"/>
        </w:rPr>
        <w:t xml:space="preserve">HR </w:t>
      </w:r>
      <w:r w:rsidR="00863743">
        <w:rPr>
          <w:rFonts w:eastAsiaTheme="minorHAnsi" w:cs="Times New Roman"/>
          <w:sz w:val="22"/>
          <w:szCs w:val="22"/>
        </w:rPr>
        <w:t xml:space="preserve">Executives </w:t>
      </w:r>
      <w:r w:rsidR="00CA2251">
        <w:rPr>
          <w:rFonts w:eastAsiaTheme="minorHAnsi" w:cs="Times New Roman"/>
          <w:sz w:val="22"/>
          <w:szCs w:val="22"/>
        </w:rPr>
        <w:t xml:space="preserve">will be </w:t>
      </w:r>
      <w:r>
        <w:rPr>
          <w:rFonts w:eastAsiaTheme="minorHAnsi" w:cs="Times New Roman"/>
          <w:sz w:val="22"/>
          <w:szCs w:val="22"/>
        </w:rPr>
        <w:t>responsible for implementing this policy within their directorate or agency.</w:t>
      </w:r>
    </w:p>
    <w:p w14:paraId="3D271379" w14:textId="2659B5B8" w:rsidR="00131315" w:rsidRDefault="00CA2251" w:rsidP="00C45F4B">
      <w:pPr>
        <w:pStyle w:val="ListNumber"/>
        <w:numPr>
          <w:ilvl w:val="0"/>
          <w:numId w:val="0"/>
        </w:numPr>
        <w:spacing w:line="240" w:lineRule="auto"/>
        <w:rPr>
          <w:rFonts w:eastAsiaTheme="minorHAnsi" w:cs="Times New Roman"/>
          <w:sz w:val="22"/>
          <w:szCs w:val="22"/>
        </w:rPr>
      </w:pPr>
      <w:r>
        <w:rPr>
          <w:rFonts w:eastAsiaTheme="minorHAnsi" w:cs="Times New Roman"/>
          <w:sz w:val="22"/>
          <w:szCs w:val="22"/>
        </w:rPr>
        <w:t xml:space="preserve">HR </w:t>
      </w:r>
      <w:r w:rsidR="00863743">
        <w:rPr>
          <w:rFonts w:eastAsiaTheme="minorHAnsi" w:cs="Times New Roman"/>
          <w:sz w:val="22"/>
          <w:szCs w:val="22"/>
        </w:rPr>
        <w:t xml:space="preserve">Executives </w:t>
      </w:r>
      <w:r>
        <w:rPr>
          <w:rFonts w:eastAsiaTheme="minorHAnsi" w:cs="Times New Roman"/>
          <w:sz w:val="22"/>
          <w:szCs w:val="22"/>
        </w:rPr>
        <w:t>will be required to provide r</w:t>
      </w:r>
      <w:r w:rsidR="00131315">
        <w:rPr>
          <w:rFonts w:eastAsiaTheme="minorHAnsi" w:cs="Times New Roman"/>
          <w:sz w:val="22"/>
          <w:szCs w:val="22"/>
        </w:rPr>
        <w:t xml:space="preserve">egular </w:t>
      </w:r>
      <w:r>
        <w:rPr>
          <w:rFonts w:eastAsiaTheme="minorHAnsi" w:cs="Times New Roman"/>
          <w:sz w:val="22"/>
          <w:szCs w:val="22"/>
        </w:rPr>
        <w:t xml:space="preserve">updates </w:t>
      </w:r>
      <w:r w:rsidR="00131315">
        <w:rPr>
          <w:rFonts w:eastAsiaTheme="minorHAnsi" w:cs="Times New Roman"/>
          <w:sz w:val="22"/>
          <w:szCs w:val="22"/>
        </w:rPr>
        <w:t>to CMTEDD on the implementation of this policy</w:t>
      </w:r>
      <w:r>
        <w:rPr>
          <w:rFonts w:eastAsiaTheme="minorHAnsi" w:cs="Times New Roman"/>
          <w:sz w:val="22"/>
          <w:szCs w:val="22"/>
        </w:rPr>
        <w:t xml:space="preserve"> through HR Council.</w:t>
      </w:r>
    </w:p>
    <w:p w14:paraId="0DDB6BDD" w14:textId="289363FB" w:rsidR="00BB117A" w:rsidRPr="005D442A" w:rsidRDefault="00811503" w:rsidP="00A15BC1">
      <w:pPr>
        <w:pStyle w:val="Heading2"/>
        <w:rPr>
          <w:rFonts w:eastAsia="Times New Roman"/>
          <w:color w:val="323232" w:themeColor="accent1"/>
          <w:sz w:val="26"/>
          <w:szCs w:val="28"/>
        </w:rPr>
      </w:pPr>
      <w:r>
        <w:rPr>
          <w:rFonts w:eastAsia="Times New Roman"/>
          <w:color w:val="323232" w:themeColor="accent1"/>
          <w:sz w:val="26"/>
          <w:szCs w:val="28"/>
        </w:rPr>
        <w:t>Legislative References</w:t>
      </w:r>
    </w:p>
    <w:p w14:paraId="4E68C4E7" w14:textId="77777777" w:rsidR="00811503" w:rsidRDefault="00811503" w:rsidP="00811503">
      <w:pPr>
        <w:pStyle w:val="NoSpacing"/>
      </w:pPr>
      <w:r w:rsidRPr="00617C8E">
        <w:t>Th</w:t>
      </w:r>
      <w:r>
        <w:t xml:space="preserve">e key principles of this Policy are aligned with the following </w:t>
      </w:r>
      <w:proofErr w:type="spellStart"/>
      <w:r>
        <w:t>authorised</w:t>
      </w:r>
      <w:proofErr w:type="spellEnd"/>
      <w:r>
        <w:t xml:space="preserve"> sources:</w:t>
      </w:r>
    </w:p>
    <w:p w14:paraId="2E77C716" w14:textId="77777777" w:rsidR="00811503" w:rsidRDefault="00811503" w:rsidP="00F41133">
      <w:pPr>
        <w:pStyle w:val="ListNumber"/>
        <w:numPr>
          <w:ilvl w:val="0"/>
          <w:numId w:val="8"/>
        </w:numPr>
        <w:spacing w:before="120" w:after="0" w:line="240" w:lineRule="auto"/>
        <w:ind w:left="567" w:hanging="567"/>
        <w:rPr>
          <w:sz w:val="22"/>
          <w:szCs w:val="22"/>
        </w:rPr>
      </w:pPr>
      <w:r w:rsidRPr="00617C8E">
        <w:rPr>
          <w:i/>
          <w:sz w:val="22"/>
          <w:szCs w:val="22"/>
        </w:rPr>
        <w:t>Public Sector Management Act 1994</w:t>
      </w:r>
      <w:r>
        <w:rPr>
          <w:sz w:val="22"/>
          <w:szCs w:val="22"/>
        </w:rPr>
        <w:t xml:space="preserve"> </w:t>
      </w:r>
    </w:p>
    <w:p w14:paraId="441D6478" w14:textId="3C306343" w:rsidR="00811503" w:rsidRDefault="00811503" w:rsidP="00F41133">
      <w:pPr>
        <w:pStyle w:val="ListNumber"/>
        <w:numPr>
          <w:ilvl w:val="0"/>
          <w:numId w:val="8"/>
        </w:numPr>
        <w:spacing w:before="120" w:after="0" w:line="240" w:lineRule="auto"/>
        <w:ind w:left="567" w:hanging="567"/>
        <w:rPr>
          <w:i/>
          <w:sz w:val="22"/>
          <w:szCs w:val="22"/>
        </w:rPr>
      </w:pPr>
      <w:r>
        <w:rPr>
          <w:i/>
          <w:sz w:val="22"/>
          <w:szCs w:val="22"/>
        </w:rPr>
        <w:t>Public Sector Management Standard 2016</w:t>
      </w:r>
    </w:p>
    <w:p w14:paraId="34B91A3D" w14:textId="2D1C73E7" w:rsidR="00811503" w:rsidRPr="00811503" w:rsidRDefault="003816CC" w:rsidP="00F41133">
      <w:pPr>
        <w:pStyle w:val="ListNumber"/>
        <w:numPr>
          <w:ilvl w:val="0"/>
          <w:numId w:val="8"/>
        </w:numPr>
        <w:spacing w:before="120" w:after="0" w:line="240" w:lineRule="auto"/>
        <w:ind w:left="567" w:hanging="567"/>
        <w:rPr>
          <w:sz w:val="22"/>
          <w:szCs w:val="22"/>
        </w:rPr>
      </w:pPr>
      <w:hyperlink r:id="rId15" w:history="1">
        <w:r w:rsidR="00811503" w:rsidRPr="00811503">
          <w:rPr>
            <w:rStyle w:val="Hyperlink"/>
            <w:sz w:val="22"/>
            <w:szCs w:val="22"/>
          </w:rPr>
          <w:t>ACTPS Enterprise Agreements</w:t>
        </w:r>
      </w:hyperlink>
      <w:r w:rsidR="00811503" w:rsidRPr="00811503">
        <w:rPr>
          <w:sz w:val="22"/>
          <w:szCs w:val="22"/>
        </w:rPr>
        <w:t>.</w:t>
      </w:r>
    </w:p>
    <w:p w14:paraId="4EC65319" w14:textId="2A9BD547" w:rsidR="00584DF7" w:rsidRPr="005D442A" w:rsidRDefault="003639D2" w:rsidP="00A15BC1">
      <w:pPr>
        <w:pStyle w:val="Heading2"/>
        <w:rPr>
          <w:rFonts w:eastAsia="Times New Roman"/>
          <w:color w:val="323232" w:themeColor="accent1"/>
          <w:sz w:val="26"/>
          <w:szCs w:val="28"/>
        </w:rPr>
      </w:pPr>
      <w:r w:rsidRPr="005D442A">
        <w:rPr>
          <w:rFonts w:eastAsia="Times New Roman"/>
          <w:color w:val="323232" w:themeColor="accent1"/>
          <w:sz w:val="26"/>
          <w:szCs w:val="28"/>
        </w:rPr>
        <w:t>Further Information</w:t>
      </w:r>
    </w:p>
    <w:p w14:paraId="296ED248" w14:textId="0EF8D428" w:rsidR="00584DF7" w:rsidRPr="005D442A" w:rsidRDefault="00584DF7" w:rsidP="00584DF7">
      <w:pPr>
        <w:pStyle w:val="ListNumber"/>
        <w:numPr>
          <w:ilvl w:val="0"/>
          <w:numId w:val="0"/>
        </w:numPr>
        <w:spacing w:line="240" w:lineRule="auto"/>
        <w:rPr>
          <w:sz w:val="22"/>
          <w:szCs w:val="22"/>
        </w:rPr>
      </w:pPr>
      <w:r w:rsidRPr="005D442A">
        <w:rPr>
          <w:sz w:val="22"/>
          <w:szCs w:val="22"/>
        </w:rPr>
        <w:t xml:space="preserve">HR areas that require further information can contact Public Sector </w:t>
      </w:r>
      <w:r w:rsidR="00811503">
        <w:rPr>
          <w:sz w:val="22"/>
          <w:szCs w:val="22"/>
        </w:rPr>
        <w:t>Management</w:t>
      </w:r>
      <w:r w:rsidRPr="005D442A">
        <w:rPr>
          <w:sz w:val="22"/>
          <w:szCs w:val="22"/>
        </w:rPr>
        <w:t xml:space="preserve"> on</w:t>
      </w:r>
      <w:r w:rsidR="00CA2251">
        <w:rPr>
          <w:sz w:val="22"/>
          <w:szCs w:val="22"/>
        </w:rPr>
        <w:t xml:space="preserve"> </w:t>
      </w:r>
      <w:hyperlink r:id="rId16" w:history="1">
        <w:r w:rsidR="00CA2251" w:rsidRPr="00F83128">
          <w:rPr>
            <w:rStyle w:val="Hyperlink"/>
            <w:sz w:val="22"/>
            <w:szCs w:val="22"/>
          </w:rPr>
          <w:t>psm@act.gov.au</w:t>
        </w:r>
      </w:hyperlink>
      <w:r w:rsidR="00CA2251">
        <w:rPr>
          <w:sz w:val="22"/>
          <w:szCs w:val="22"/>
        </w:rPr>
        <w:t xml:space="preserve">.  </w:t>
      </w:r>
    </w:p>
    <w:p w14:paraId="44FFD5D1" w14:textId="77777777" w:rsidR="00584DF7" w:rsidRDefault="00584DF7" w:rsidP="009E2090">
      <w:pPr>
        <w:pStyle w:val="ListNumber"/>
        <w:numPr>
          <w:ilvl w:val="0"/>
          <w:numId w:val="0"/>
        </w:numPr>
        <w:spacing w:line="240" w:lineRule="auto"/>
        <w:rPr>
          <w:sz w:val="22"/>
          <w:szCs w:val="22"/>
        </w:rPr>
      </w:pPr>
    </w:p>
    <w:p w14:paraId="5FE2BE41" w14:textId="77777777" w:rsidR="00225988" w:rsidRDefault="00225988" w:rsidP="00225988">
      <w:pPr>
        <w:spacing w:line="276" w:lineRule="auto"/>
        <w:rPr>
          <w:sz w:val="22"/>
          <w:szCs w:val="22"/>
        </w:rPr>
        <w:sectPr w:rsidR="00225988" w:rsidSect="003360FA">
          <w:footerReference w:type="default" r:id="rId17"/>
          <w:headerReference w:type="first" r:id="rId18"/>
          <w:footerReference w:type="first" r:id="rId19"/>
          <w:type w:val="continuous"/>
          <w:pgSz w:w="11906" w:h="16838" w:code="9"/>
          <w:pgMar w:top="708" w:right="1418" w:bottom="1418" w:left="851" w:header="567" w:footer="0" w:gutter="0"/>
          <w:cols w:space="708"/>
          <w:titlePg/>
          <w:docGrid w:linePitch="360"/>
        </w:sectPr>
      </w:pPr>
    </w:p>
    <w:p w14:paraId="0AA0F235" w14:textId="14B0DB88" w:rsidR="001D62EC" w:rsidRPr="009E2090" w:rsidRDefault="001D62EC" w:rsidP="00225988">
      <w:pPr>
        <w:spacing w:line="276" w:lineRule="auto"/>
        <w:rPr>
          <w:sz w:val="22"/>
          <w:szCs w:val="22"/>
        </w:rPr>
        <w:sectPr w:rsidR="001D62EC" w:rsidRPr="009E2090" w:rsidSect="00225988">
          <w:type w:val="oddPage"/>
          <w:pgSz w:w="11906" w:h="16838" w:code="9"/>
          <w:pgMar w:top="708" w:right="1418" w:bottom="1418" w:left="851" w:header="567" w:footer="0" w:gutter="0"/>
          <w:cols w:space="708"/>
          <w:titlePg/>
          <w:docGrid w:linePitch="360"/>
        </w:sectPr>
      </w:pPr>
    </w:p>
    <w:p w14:paraId="414B32D7" w14:textId="7ED7AF5B" w:rsidR="001D62EC" w:rsidRDefault="001D62EC" w:rsidP="00225988">
      <w:pPr>
        <w:pStyle w:val="Heading2"/>
        <w:jc w:val="right"/>
        <w:rPr>
          <w:rFonts w:eastAsia="Times New Roman"/>
          <w:color w:val="323232" w:themeColor="accent1"/>
          <w:sz w:val="26"/>
          <w:szCs w:val="28"/>
        </w:rPr>
      </w:pPr>
      <w:bookmarkStart w:id="2" w:name="_Hlk39141283"/>
      <w:r>
        <w:rPr>
          <w:rFonts w:eastAsia="Times New Roman"/>
          <w:color w:val="323232" w:themeColor="accent1"/>
          <w:sz w:val="26"/>
          <w:szCs w:val="28"/>
        </w:rPr>
        <w:t>Attachment 1</w:t>
      </w:r>
    </w:p>
    <w:p w14:paraId="4CA3ADD9" w14:textId="7A7096E0" w:rsidR="001D62EC" w:rsidRPr="005D442A" w:rsidRDefault="001D62EC" w:rsidP="001D62EC">
      <w:pPr>
        <w:pStyle w:val="Heading2"/>
        <w:rPr>
          <w:rFonts w:eastAsia="Times New Roman"/>
          <w:color w:val="323232" w:themeColor="accent1"/>
          <w:sz w:val="26"/>
          <w:szCs w:val="28"/>
        </w:rPr>
      </w:pPr>
      <w:r>
        <w:rPr>
          <w:rFonts w:eastAsia="Times New Roman"/>
          <w:color w:val="323232" w:themeColor="accent1"/>
          <w:sz w:val="26"/>
          <w:szCs w:val="28"/>
        </w:rPr>
        <w:t>Background</w:t>
      </w:r>
      <w:r w:rsidR="00CA2251">
        <w:rPr>
          <w:rFonts w:eastAsia="Times New Roman"/>
          <w:color w:val="323232" w:themeColor="accent1"/>
          <w:sz w:val="26"/>
          <w:szCs w:val="28"/>
        </w:rPr>
        <w:t xml:space="preserve"> – employment framework</w:t>
      </w:r>
    </w:p>
    <w:bookmarkEnd w:id="2"/>
    <w:p w14:paraId="3E512983" w14:textId="77777777" w:rsidR="001D62EC" w:rsidRPr="007318FB" w:rsidRDefault="001D62EC" w:rsidP="001D62EC">
      <w:pPr>
        <w:pStyle w:val="Heading2"/>
        <w:rPr>
          <w:rFonts w:asciiTheme="minorHAnsi" w:hAnsiTheme="minorHAnsi"/>
          <w:b w:val="0"/>
          <w:iCs/>
          <w:color w:val="auto"/>
          <w:sz w:val="22"/>
          <w:szCs w:val="22"/>
          <w:u w:val="single"/>
        </w:rPr>
      </w:pPr>
      <w:r w:rsidRPr="007318FB">
        <w:rPr>
          <w:rFonts w:asciiTheme="minorHAnsi" w:hAnsiTheme="minorHAnsi"/>
          <w:b w:val="0"/>
          <w:iCs/>
          <w:color w:val="auto"/>
          <w:sz w:val="22"/>
          <w:szCs w:val="22"/>
          <w:u w:val="single"/>
        </w:rPr>
        <w:t>Public Sector Management Act 1994</w:t>
      </w:r>
    </w:p>
    <w:p w14:paraId="5FEE52AB" w14:textId="16481DC7" w:rsidR="00175E0C" w:rsidRDefault="00175E0C" w:rsidP="001D62EC">
      <w:pPr>
        <w:pStyle w:val="Heading2"/>
        <w:rPr>
          <w:rFonts w:asciiTheme="minorHAnsi" w:hAnsiTheme="minorHAnsi"/>
          <w:b w:val="0"/>
          <w:iCs/>
          <w:color w:val="auto"/>
          <w:sz w:val="22"/>
          <w:szCs w:val="22"/>
        </w:rPr>
      </w:pPr>
      <w:r w:rsidRPr="00175E0C">
        <w:rPr>
          <w:rFonts w:asciiTheme="minorHAnsi" w:hAnsiTheme="minorHAnsi"/>
          <w:b w:val="0"/>
          <w:iCs/>
          <w:color w:val="auto"/>
          <w:sz w:val="22"/>
          <w:szCs w:val="22"/>
        </w:rPr>
        <w:t xml:space="preserve">The </w:t>
      </w:r>
      <w:r>
        <w:rPr>
          <w:rFonts w:asciiTheme="minorHAnsi" w:hAnsiTheme="minorHAnsi"/>
          <w:b w:val="0"/>
          <w:iCs/>
          <w:color w:val="auto"/>
          <w:sz w:val="22"/>
          <w:szCs w:val="22"/>
        </w:rPr>
        <w:t xml:space="preserve">Public Sector Management Act 1994 (PSM Act) </w:t>
      </w:r>
      <w:r w:rsidRPr="00175E0C">
        <w:rPr>
          <w:rFonts w:asciiTheme="minorHAnsi" w:hAnsiTheme="minorHAnsi"/>
          <w:b w:val="0"/>
          <w:iCs/>
          <w:color w:val="auto"/>
          <w:sz w:val="22"/>
          <w:szCs w:val="22"/>
        </w:rPr>
        <w:t xml:space="preserve">imposes obligations on the head of service, directors-general and executives to promote and uphold the public sector principles, which includes the merit and equity principle. </w:t>
      </w:r>
    </w:p>
    <w:p w14:paraId="4AB24B99" w14:textId="42DEA9D3" w:rsidR="001D62EC" w:rsidRDefault="001D62EC" w:rsidP="001D62EC">
      <w:pPr>
        <w:pStyle w:val="Heading2"/>
        <w:rPr>
          <w:rFonts w:asciiTheme="minorHAnsi" w:hAnsiTheme="minorHAnsi"/>
          <w:b w:val="0"/>
          <w:iCs/>
          <w:color w:val="auto"/>
          <w:sz w:val="22"/>
          <w:szCs w:val="22"/>
        </w:rPr>
      </w:pPr>
      <w:r>
        <w:rPr>
          <w:rFonts w:asciiTheme="minorHAnsi" w:hAnsiTheme="minorHAnsi"/>
          <w:b w:val="0"/>
          <w:iCs/>
          <w:color w:val="auto"/>
          <w:sz w:val="22"/>
          <w:szCs w:val="22"/>
        </w:rPr>
        <w:t xml:space="preserve">Under section 8 of the PSM Act, the public sector principles are: </w:t>
      </w:r>
    </w:p>
    <w:p w14:paraId="350B1196" w14:textId="77777777" w:rsidR="001D62EC" w:rsidRDefault="001D62EC" w:rsidP="00225988">
      <w:pPr>
        <w:pStyle w:val="Heading2"/>
        <w:numPr>
          <w:ilvl w:val="0"/>
          <w:numId w:val="11"/>
        </w:numPr>
        <w:spacing w:before="120"/>
        <w:ind w:left="714" w:hanging="357"/>
        <w:rPr>
          <w:rFonts w:asciiTheme="minorHAnsi" w:hAnsiTheme="minorHAnsi"/>
          <w:b w:val="0"/>
          <w:iCs/>
          <w:color w:val="auto"/>
          <w:sz w:val="22"/>
          <w:szCs w:val="22"/>
        </w:rPr>
      </w:pPr>
      <w:r>
        <w:rPr>
          <w:rFonts w:asciiTheme="minorHAnsi" w:hAnsiTheme="minorHAnsi"/>
          <w:b w:val="0"/>
          <w:iCs/>
          <w:color w:val="auto"/>
          <w:sz w:val="22"/>
          <w:szCs w:val="22"/>
        </w:rPr>
        <w:t>the best practice principle; and</w:t>
      </w:r>
    </w:p>
    <w:p w14:paraId="04AE7BA4" w14:textId="77777777" w:rsidR="001D62EC" w:rsidRPr="00CF099F" w:rsidRDefault="001D62EC" w:rsidP="00225988">
      <w:pPr>
        <w:pStyle w:val="Heading2"/>
        <w:numPr>
          <w:ilvl w:val="0"/>
          <w:numId w:val="11"/>
        </w:numPr>
        <w:spacing w:before="120"/>
        <w:ind w:left="714" w:hanging="357"/>
        <w:rPr>
          <w:rFonts w:asciiTheme="minorHAnsi" w:hAnsiTheme="minorHAnsi"/>
          <w:b w:val="0"/>
          <w:iCs/>
          <w:color w:val="auto"/>
          <w:sz w:val="22"/>
          <w:szCs w:val="22"/>
        </w:rPr>
      </w:pPr>
      <w:r>
        <w:rPr>
          <w:rFonts w:asciiTheme="minorHAnsi" w:hAnsiTheme="minorHAnsi"/>
          <w:b w:val="0"/>
          <w:iCs/>
          <w:color w:val="auto"/>
          <w:sz w:val="22"/>
          <w:szCs w:val="22"/>
        </w:rPr>
        <w:t>t</w:t>
      </w:r>
      <w:r w:rsidRPr="00CF099F">
        <w:rPr>
          <w:rFonts w:asciiTheme="minorHAnsi" w:hAnsiTheme="minorHAnsi"/>
          <w:b w:val="0"/>
          <w:iCs/>
          <w:color w:val="auto"/>
          <w:sz w:val="22"/>
          <w:szCs w:val="22"/>
        </w:rPr>
        <w:t>he merit and equity principle.</w:t>
      </w:r>
    </w:p>
    <w:p w14:paraId="34C9F561" w14:textId="2BC40CEC" w:rsidR="001D62EC" w:rsidRDefault="001D62EC" w:rsidP="001D62EC">
      <w:pPr>
        <w:pStyle w:val="Heading2"/>
        <w:rPr>
          <w:rFonts w:asciiTheme="minorHAnsi" w:hAnsiTheme="minorHAnsi"/>
          <w:b w:val="0"/>
          <w:iCs/>
          <w:color w:val="auto"/>
          <w:sz w:val="22"/>
          <w:szCs w:val="22"/>
        </w:rPr>
      </w:pPr>
      <w:r>
        <w:rPr>
          <w:rFonts w:asciiTheme="minorHAnsi" w:hAnsiTheme="minorHAnsi"/>
          <w:b w:val="0"/>
          <w:iCs/>
          <w:color w:val="auto"/>
          <w:sz w:val="22"/>
          <w:szCs w:val="22"/>
        </w:rPr>
        <w:t>Under section 17 of the PSM Act, the head of service has a number of leadership functions which includes promoting</w:t>
      </w:r>
      <w:r w:rsidRPr="00CF099F">
        <w:rPr>
          <w:rFonts w:asciiTheme="minorHAnsi" w:hAnsiTheme="minorHAnsi"/>
          <w:b w:val="0"/>
          <w:iCs/>
          <w:color w:val="auto"/>
          <w:sz w:val="22"/>
          <w:szCs w:val="22"/>
        </w:rPr>
        <w:t xml:space="preserve"> and uphold</w:t>
      </w:r>
      <w:r>
        <w:rPr>
          <w:rFonts w:asciiTheme="minorHAnsi" w:hAnsiTheme="minorHAnsi"/>
          <w:b w:val="0"/>
          <w:iCs/>
          <w:color w:val="auto"/>
          <w:sz w:val="22"/>
          <w:szCs w:val="22"/>
        </w:rPr>
        <w:t>ing</w:t>
      </w:r>
      <w:r w:rsidRPr="00CF099F">
        <w:rPr>
          <w:rFonts w:asciiTheme="minorHAnsi" w:hAnsiTheme="minorHAnsi"/>
          <w:b w:val="0"/>
          <w:iCs/>
          <w:color w:val="auto"/>
          <w:sz w:val="22"/>
          <w:szCs w:val="22"/>
        </w:rPr>
        <w:t xml:space="preserve"> in the service the public sector values, the public sector principles and the conduct required of a public servant, including by personal example</w:t>
      </w:r>
      <w:r>
        <w:rPr>
          <w:rFonts w:asciiTheme="minorHAnsi" w:hAnsiTheme="minorHAnsi"/>
          <w:b w:val="0"/>
          <w:iCs/>
          <w:color w:val="auto"/>
          <w:sz w:val="22"/>
          <w:szCs w:val="22"/>
        </w:rPr>
        <w:t>. Directors-General and executives also have the same legislative function</w:t>
      </w:r>
      <w:r w:rsidR="00831A11">
        <w:rPr>
          <w:rFonts w:asciiTheme="minorHAnsi" w:hAnsiTheme="minorHAnsi"/>
          <w:b w:val="0"/>
          <w:iCs/>
          <w:color w:val="auto"/>
          <w:sz w:val="22"/>
          <w:szCs w:val="22"/>
        </w:rPr>
        <w:t>s</w:t>
      </w:r>
      <w:r>
        <w:rPr>
          <w:rFonts w:asciiTheme="minorHAnsi" w:hAnsiTheme="minorHAnsi"/>
          <w:b w:val="0"/>
          <w:iCs/>
          <w:color w:val="auto"/>
          <w:sz w:val="22"/>
          <w:szCs w:val="22"/>
        </w:rPr>
        <w:t xml:space="preserve"> to </w:t>
      </w:r>
      <w:r w:rsidRPr="0090558A">
        <w:rPr>
          <w:rFonts w:asciiTheme="minorHAnsi" w:hAnsiTheme="minorHAnsi"/>
          <w:b w:val="0"/>
          <w:iCs/>
          <w:color w:val="auto"/>
          <w:sz w:val="22"/>
          <w:szCs w:val="22"/>
        </w:rPr>
        <w:t>promote and uphold in the service the public sector values, the public sector principles and the conduct required of a public servant, including by personal example</w:t>
      </w:r>
      <w:r>
        <w:rPr>
          <w:rFonts w:asciiTheme="minorHAnsi" w:hAnsiTheme="minorHAnsi"/>
          <w:b w:val="0"/>
          <w:iCs/>
          <w:color w:val="auto"/>
          <w:sz w:val="22"/>
          <w:szCs w:val="22"/>
        </w:rPr>
        <w:t>.</w:t>
      </w:r>
    </w:p>
    <w:p w14:paraId="42D769EC" w14:textId="77777777" w:rsidR="001D62EC" w:rsidRPr="0090558A" w:rsidRDefault="001D62EC" w:rsidP="001D62EC">
      <w:pPr>
        <w:pStyle w:val="Heading2"/>
        <w:rPr>
          <w:rFonts w:asciiTheme="minorHAnsi" w:hAnsiTheme="minorHAnsi"/>
          <w:b w:val="0"/>
          <w:iCs/>
          <w:color w:val="auto"/>
          <w:sz w:val="22"/>
          <w:szCs w:val="22"/>
        </w:rPr>
      </w:pPr>
      <w:r w:rsidRPr="0090558A">
        <w:rPr>
          <w:rFonts w:asciiTheme="minorHAnsi" w:hAnsiTheme="minorHAnsi"/>
          <w:b w:val="0"/>
          <w:iCs/>
          <w:color w:val="auto"/>
          <w:sz w:val="22"/>
          <w:szCs w:val="22"/>
        </w:rPr>
        <w:t xml:space="preserve">A public servant is required to </w:t>
      </w:r>
      <w:r>
        <w:rPr>
          <w:rFonts w:asciiTheme="minorHAnsi" w:hAnsiTheme="minorHAnsi"/>
          <w:b w:val="0"/>
          <w:iCs/>
          <w:color w:val="auto"/>
          <w:sz w:val="22"/>
          <w:szCs w:val="22"/>
        </w:rPr>
        <w:t xml:space="preserve">adhere to the best practice principle. </w:t>
      </w:r>
      <w:r w:rsidRPr="007318FB">
        <w:rPr>
          <w:rFonts w:asciiTheme="minorHAnsi" w:hAnsiTheme="minorHAnsi"/>
          <w:b w:val="0"/>
          <w:iCs/>
          <w:color w:val="auto"/>
          <w:sz w:val="22"/>
          <w:szCs w:val="22"/>
        </w:rPr>
        <w:t xml:space="preserve">Section 8 of the PSM Act defines the </w:t>
      </w:r>
      <w:r>
        <w:rPr>
          <w:rFonts w:asciiTheme="minorHAnsi" w:hAnsiTheme="minorHAnsi"/>
          <w:b w:val="0"/>
          <w:iCs/>
          <w:color w:val="auto"/>
          <w:sz w:val="22"/>
          <w:szCs w:val="22"/>
        </w:rPr>
        <w:t xml:space="preserve">best practice principle and the </w:t>
      </w:r>
      <w:r w:rsidRPr="007318FB">
        <w:rPr>
          <w:rFonts w:asciiTheme="minorHAnsi" w:hAnsiTheme="minorHAnsi"/>
          <w:b w:val="0"/>
          <w:iCs/>
          <w:color w:val="auto"/>
          <w:sz w:val="22"/>
          <w:szCs w:val="22"/>
        </w:rPr>
        <w:t xml:space="preserve">merit and equity principle. </w:t>
      </w:r>
      <w:r>
        <w:rPr>
          <w:rFonts w:asciiTheme="minorHAnsi" w:hAnsiTheme="minorHAnsi"/>
          <w:b w:val="0"/>
          <w:iCs/>
          <w:color w:val="auto"/>
          <w:sz w:val="22"/>
          <w:szCs w:val="22"/>
        </w:rPr>
        <w:t xml:space="preserve"> A</w:t>
      </w:r>
      <w:r w:rsidRPr="0090558A">
        <w:rPr>
          <w:rFonts w:asciiTheme="minorHAnsi" w:hAnsiTheme="minorHAnsi"/>
          <w:b w:val="0"/>
          <w:iCs/>
          <w:color w:val="auto"/>
          <w:sz w:val="22"/>
          <w:szCs w:val="22"/>
        </w:rPr>
        <w:t xml:space="preserve"> public servant does the public servant’s job in accordance with the best practice principle if the public servant—</w:t>
      </w:r>
    </w:p>
    <w:p w14:paraId="5D075AD9" w14:textId="3083B2C9" w:rsidR="001D62EC" w:rsidRPr="0090558A" w:rsidRDefault="001D62EC" w:rsidP="002534FC">
      <w:pPr>
        <w:pStyle w:val="Heading2"/>
        <w:tabs>
          <w:tab w:val="left" w:pos="709"/>
        </w:tabs>
        <w:spacing w:before="120"/>
        <w:ind w:left="284"/>
        <w:rPr>
          <w:rFonts w:asciiTheme="minorHAnsi" w:hAnsiTheme="minorHAnsi"/>
          <w:b w:val="0"/>
          <w:iCs/>
          <w:color w:val="auto"/>
          <w:sz w:val="22"/>
          <w:szCs w:val="22"/>
        </w:rPr>
      </w:pPr>
      <w:r w:rsidRPr="0090558A">
        <w:rPr>
          <w:rFonts w:asciiTheme="minorHAnsi" w:hAnsiTheme="minorHAnsi"/>
          <w:b w:val="0"/>
          <w:iCs/>
          <w:color w:val="auto"/>
          <w:sz w:val="22"/>
          <w:szCs w:val="22"/>
        </w:rPr>
        <w:t>a)</w:t>
      </w:r>
      <w:r w:rsidRPr="0090558A">
        <w:rPr>
          <w:rFonts w:asciiTheme="minorHAnsi" w:hAnsiTheme="minorHAnsi"/>
          <w:b w:val="0"/>
          <w:iCs/>
          <w:color w:val="auto"/>
          <w:sz w:val="22"/>
          <w:szCs w:val="22"/>
        </w:rPr>
        <w:tab/>
        <w:t>works efficiently, effectively and constructively; and</w:t>
      </w:r>
    </w:p>
    <w:p w14:paraId="7E35280C" w14:textId="476E9DEA" w:rsidR="001D62EC" w:rsidRPr="0090558A" w:rsidRDefault="001D62EC" w:rsidP="002534FC">
      <w:pPr>
        <w:pStyle w:val="Heading2"/>
        <w:tabs>
          <w:tab w:val="left" w:pos="709"/>
        </w:tabs>
        <w:spacing w:before="120"/>
        <w:ind w:left="284"/>
        <w:rPr>
          <w:rFonts w:asciiTheme="minorHAnsi" w:hAnsiTheme="minorHAnsi"/>
          <w:b w:val="0"/>
          <w:iCs/>
          <w:color w:val="auto"/>
          <w:sz w:val="22"/>
          <w:szCs w:val="22"/>
        </w:rPr>
      </w:pPr>
      <w:r w:rsidRPr="0090558A">
        <w:rPr>
          <w:rFonts w:asciiTheme="minorHAnsi" w:hAnsiTheme="minorHAnsi"/>
          <w:b w:val="0"/>
          <w:iCs/>
          <w:color w:val="auto"/>
          <w:sz w:val="22"/>
          <w:szCs w:val="22"/>
        </w:rPr>
        <w:t>b)</w:t>
      </w:r>
      <w:r w:rsidRPr="0090558A">
        <w:rPr>
          <w:rFonts w:asciiTheme="minorHAnsi" w:hAnsiTheme="minorHAnsi"/>
          <w:b w:val="0"/>
          <w:iCs/>
          <w:color w:val="auto"/>
          <w:sz w:val="22"/>
          <w:szCs w:val="22"/>
        </w:rPr>
        <w:tab/>
        <w:t>is responsive, collaborative and accountable; and</w:t>
      </w:r>
    </w:p>
    <w:p w14:paraId="584E3FCE" w14:textId="79ACEC20" w:rsidR="001D62EC" w:rsidRDefault="001D62EC" w:rsidP="002534FC">
      <w:pPr>
        <w:pStyle w:val="Heading2"/>
        <w:tabs>
          <w:tab w:val="left" w:pos="709"/>
        </w:tabs>
        <w:spacing w:before="120"/>
        <w:ind w:left="284"/>
        <w:rPr>
          <w:rFonts w:asciiTheme="minorHAnsi" w:hAnsiTheme="minorHAnsi"/>
          <w:b w:val="0"/>
          <w:iCs/>
          <w:color w:val="auto"/>
          <w:sz w:val="22"/>
          <w:szCs w:val="22"/>
        </w:rPr>
      </w:pPr>
      <w:r w:rsidRPr="0090558A">
        <w:rPr>
          <w:rFonts w:asciiTheme="minorHAnsi" w:hAnsiTheme="minorHAnsi"/>
          <w:b w:val="0"/>
          <w:iCs/>
          <w:color w:val="auto"/>
          <w:sz w:val="22"/>
          <w:szCs w:val="22"/>
        </w:rPr>
        <w:t>c)</w:t>
      </w:r>
      <w:r w:rsidRPr="0090558A">
        <w:rPr>
          <w:rFonts w:asciiTheme="minorHAnsi" w:hAnsiTheme="minorHAnsi"/>
          <w:b w:val="0"/>
          <w:iCs/>
          <w:color w:val="auto"/>
          <w:sz w:val="22"/>
          <w:szCs w:val="22"/>
        </w:rPr>
        <w:tab/>
        <w:t>makes fair and reasonable decisions.</w:t>
      </w:r>
    </w:p>
    <w:p w14:paraId="4CF2ADF5" w14:textId="77777777" w:rsidR="001D62EC" w:rsidRDefault="001D62EC" w:rsidP="001D62EC">
      <w:pPr>
        <w:pStyle w:val="Heading2"/>
        <w:rPr>
          <w:rFonts w:asciiTheme="minorHAnsi" w:hAnsiTheme="minorHAnsi"/>
          <w:b w:val="0"/>
          <w:iCs/>
          <w:color w:val="auto"/>
          <w:sz w:val="22"/>
          <w:szCs w:val="22"/>
        </w:rPr>
      </w:pPr>
      <w:r w:rsidRPr="007318FB">
        <w:rPr>
          <w:rFonts w:asciiTheme="minorHAnsi" w:hAnsiTheme="minorHAnsi"/>
          <w:b w:val="0"/>
          <w:iCs/>
          <w:color w:val="auto"/>
          <w:sz w:val="22"/>
          <w:szCs w:val="22"/>
        </w:rPr>
        <w:t xml:space="preserve">The head of service exercises a function under the PSM Act in accordance with the merit and equity principle if the head of service is an equitable employer and employs a person in a job who is best able to do the job in all the circumstances. </w:t>
      </w:r>
    </w:p>
    <w:p w14:paraId="15086DF8" w14:textId="7D15FF4F" w:rsidR="001D62EC" w:rsidRPr="0090558A" w:rsidRDefault="001D62EC" w:rsidP="001D62EC">
      <w:pPr>
        <w:pStyle w:val="Heading2"/>
        <w:rPr>
          <w:rFonts w:asciiTheme="minorHAnsi" w:hAnsiTheme="minorHAnsi"/>
          <w:b w:val="0"/>
          <w:iCs/>
          <w:color w:val="auto"/>
          <w:sz w:val="22"/>
          <w:szCs w:val="22"/>
        </w:rPr>
      </w:pPr>
      <w:r w:rsidRPr="0090558A">
        <w:rPr>
          <w:rFonts w:asciiTheme="minorHAnsi" w:hAnsiTheme="minorHAnsi"/>
          <w:b w:val="0"/>
          <w:iCs/>
          <w:color w:val="auto"/>
          <w:sz w:val="22"/>
          <w:szCs w:val="22"/>
        </w:rPr>
        <w:t xml:space="preserve">Section 17(3) </w:t>
      </w:r>
      <w:r>
        <w:rPr>
          <w:rFonts w:asciiTheme="minorHAnsi" w:hAnsiTheme="minorHAnsi"/>
          <w:b w:val="0"/>
          <w:iCs/>
          <w:color w:val="auto"/>
          <w:sz w:val="22"/>
          <w:szCs w:val="22"/>
        </w:rPr>
        <w:t xml:space="preserve">of the PSM Act </w:t>
      </w:r>
      <w:r w:rsidR="00831A11">
        <w:rPr>
          <w:rFonts w:asciiTheme="minorHAnsi" w:hAnsiTheme="minorHAnsi"/>
          <w:b w:val="0"/>
          <w:iCs/>
          <w:color w:val="auto"/>
          <w:sz w:val="22"/>
          <w:szCs w:val="22"/>
        </w:rPr>
        <w:t>provides the head of s</w:t>
      </w:r>
      <w:r w:rsidRPr="0090558A">
        <w:rPr>
          <w:rFonts w:asciiTheme="minorHAnsi" w:hAnsiTheme="minorHAnsi"/>
          <w:b w:val="0"/>
          <w:iCs/>
          <w:color w:val="auto"/>
          <w:sz w:val="22"/>
          <w:szCs w:val="22"/>
        </w:rPr>
        <w:t xml:space="preserve">ervice with the management function of engage, appoint or employ people </w:t>
      </w:r>
      <w:r>
        <w:rPr>
          <w:rFonts w:asciiTheme="minorHAnsi" w:hAnsiTheme="minorHAnsi"/>
          <w:b w:val="0"/>
          <w:iCs/>
          <w:color w:val="auto"/>
          <w:sz w:val="22"/>
          <w:szCs w:val="22"/>
        </w:rPr>
        <w:t xml:space="preserve">on behalf of the Territory </w:t>
      </w:r>
      <w:r w:rsidRPr="0090558A">
        <w:rPr>
          <w:rFonts w:asciiTheme="minorHAnsi" w:hAnsiTheme="minorHAnsi"/>
          <w:b w:val="0"/>
          <w:iCs/>
          <w:color w:val="auto"/>
          <w:sz w:val="22"/>
          <w:szCs w:val="22"/>
        </w:rPr>
        <w:t>in accordance with the merit and equity principle.</w:t>
      </w:r>
    </w:p>
    <w:p w14:paraId="36810BEB" w14:textId="77777777" w:rsidR="00175E0C" w:rsidRDefault="00175E0C" w:rsidP="001D62EC">
      <w:pPr>
        <w:pStyle w:val="Heading2"/>
        <w:rPr>
          <w:rFonts w:asciiTheme="minorHAnsi" w:hAnsiTheme="minorHAnsi"/>
          <w:b w:val="0"/>
          <w:iCs/>
          <w:color w:val="auto"/>
          <w:sz w:val="22"/>
          <w:szCs w:val="22"/>
        </w:rPr>
      </w:pPr>
      <w:r w:rsidRPr="00175E0C">
        <w:rPr>
          <w:rFonts w:asciiTheme="minorHAnsi" w:hAnsiTheme="minorHAnsi"/>
          <w:b w:val="0"/>
          <w:iCs/>
          <w:color w:val="auto"/>
          <w:sz w:val="22"/>
          <w:szCs w:val="22"/>
        </w:rPr>
        <w:t xml:space="preserve">The head of service must ensure all eligible people have, as far as practicable, a reasonable opportunity to apply for selection and that the selection of the most suitable applicant is made based on a comparative assessment of the applicant’s relevant behavioural capabilities, skills, knowledge, qualifications, experience, and the potential for development in relation to the duties and responsibilities of the position. </w:t>
      </w:r>
    </w:p>
    <w:p w14:paraId="7F6F6E06" w14:textId="09F1AA66" w:rsidR="001D62EC" w:rsidRDefault="001D62EC" w:rsidP="001D62EC">
      <w:pPr>
        <w:pStyle w:val="Heading2"/>
        <w:rPr>
          <w:rFonts w:asciiTheme="minorHAnsi" w:hAnsiTheme="minorHAnsi"/>
          <w:b w:val="0"/>
          <w:iCs/>
          <w:color w:val="auto"/>
          <w:sz w:val="22"/>
          <w:szCs w:val="22"/>
        </w:rPr>
      </w:pPr>
      <w:r w:rsidRPr="007318FB">
        <w:rPr>
          <w:rFonts w:asciiTheme="minorHAnsi" w:hAnsiTheme="minorHAnsi"/>
          <w:b w:val="0"/>
          <w:iCs/>
          <w:color w:val="auto"/>
          <w:sz w:val="22"/>
          <w:szCs w:val="22"/>
        </w:rPr>
        <w:t xml:space="preserve">Section 27 of the PSM Act sets out how the merit and equity principle </w:t>
      </w:r>
      <w:r>
        <w:rPr>
          <w:rFonts w:asciiTheme="minorHAnsi" w:hAnsiTheme="minorHAnsi"/>
          <w:b w:val="0"/>
          <w:iCs/>
          <w:color w:val="auto"/>
          <w:sz w:val="22"/>
          <w:szCs w:val="22"/>
        </w:rPr>
        <w:t>is applied</w:t>
      </w:r>
      <w:r w:rsidRPr="007318FB">
        <w:rPr>
          <w:rFonts w:asciiTheme="minorHAnsi" w:hAnsiTheme="minorHAnsi"/>
          <w:b w:val="0"/>
          <w:iCs/>
          <w:color w:val="auto"/>
          <w:sz w:val="22"/>
          <w:szCs w:val="22"/>
        </w:rPr>
        <w:t>.</w:t>
      </w:r>
      <w:r>
        <w:rPr>
          <w:rFonts w:asciiTheme="minorHAnsi" w:hAnsiTheme="minorHAnsi"/>
          <w:b w:val="0"/>
          <w:iCs/>
          <w:color w:val="auto"/>
          <w:sz w:val="22"/>
          <w:szCs w:val="22"/>
        </w:rPr>
        <w:t xml:space="preserve"> </w:t>
      </w:r>
      <w:r w:rsidR="00831A11">
        <w:rPr>
          <w:rFonts w:asciiTheme="minorHAnsi" w:hAnsiTheme="minorHAnsi"/>
          <w:b w:val="0"/>
          <w:iCs/>
          <w:color w:val="auto"/>
          <w:sz w:val="22"/>
          <w:szCs w:val="22"/>
        </w:rPr>
        <w:t>The h</w:t>
      </w:r>
      <w:r w:rsidRPr="007318FB">
        <w:rPr>
          <w:rFonts w:asciiTheme="minorHAnsi" w:hAnsiTheme="minorHAnsi"/>
          <w:b w:val="0"/>
          <w:iCs/>
          <w:color w:val="auto"/>
          <w:sz w:val="22"/>
          <w:szCs w:val="22"/>
        </w:rPr>
        <w:t xml:space="preserve">ead of </w:t>
      </w:r>
      <w:r w:rsidR="00831A11">
        <w:rPr>
          <w:rFonts w:asciiTheme="minorHAnsi" w:hAnsiTheme="minorHAnsi"/>
          <w:b w:val="0"/>
          <w:iCs/>
          <w:color w:val="auto"/>
          <w:sz w:val="22"/>
          <w:szCs w:val="22"/>
        </w:rPr>
        <w:t>s</w:t>
      </w:r>
      <w:r w:rsidRPr="007318FB">
        <w:rPr>
          <w:rFonts w:asciiTheme="minorHAnsi" w:hAnsiTheme="minorHAnsi"/>
          <w:b w:val="0"/>
          <w:iCs/>
          <w:color w:val="auto"/>
          <w:sz w:val="22"/>
          <w:szCs w:val="22"/>
        </w:rPr>
        <w:t>ervice must ensure all eligible people have, as far as practicable, a reasonable opportunity to apply for selection and that the selection of the most suitable applicant is made based on a comparative assessment of the</w:t>
      </w:r>
      <w:r w:rsidR="00863D64">
        <w:rPr>
          <w:rFonts w:asciiTheme="minorHAnsi" w:hAnsiTheme="minorHAnsi"/>
          <w:b w:val="0"/>
          <w:iCs/>
          <w:color w:val="auto"/>
          <w:sz w:val="22"/>
          <w:szCs w:val="22"/>
        </w:rPr>
        <w:t xml:space="preserve"> </w:t>
      </w:r>
      <w:r w:rsidRPr="007318FB">
        <w:rPr>
          <w:rFonts w:asciiTheme="minorHAnsi" w:hAnsiTheme="minorHAnsi"/>
          <w:b w:val="0"/>
          <w:iCs/>
          <w:color w:val="auto"/>
          <w:sz w:val="22"/>
          <w:szCs w:val="22"/>
        </w:rPr>
        <w:lastRenderedPageBreak/>
        <w:t>applican</w:t>
      </w:r>
      <w:r w:rsidR="00831A11">
        <w:rPr>
          <w:rFonts w:asciiTheme="minorHAnsi" w:hAnsiTheme="minorHAnsi"/>
          <w:b w:val="0"/>
          <w:iCs/>
          <w:color w:val="auto"/>
          <w:sz w:val="22"/>
          <w:szCs w:val="22"/>
        </w:rPr>
        <w:t>t’s</w:t>
      </w:r>
      <w:r w:rsidRPr="007318FB">
        <w:rPr>
          <w:rFonts w:asciiTheme="minorHAnsi" w:hAnsiTheme="minorHAnsi"/>
          <w:b w:val="0"/>
          <w:iCs/>
          <w:color w:val="auto"/>
          <w:sz w:val="22"/>
          <w:szCs w:val="22"/>
        </w:rPr>
        <w:t xml:space="preserve"> relevant behavioural capabilities, skills, knowledge, qualifications, experience, and the potential for development in relation to the duties and responsibilities of the position.</w:t>
      </w:r>
    </w:p>
    <w:p w14:paraId="12E6199F" w14:textId="77777777" w:rsidR="00863D64" w:rsidRDefault="00863D64" w:rsidP="00863D64">
      <w:pPr>
        <w:pStyle w:val="Heading2"/>
        <w:spacing w:before="0" w:after="0" w:line="20" w:lineRule="exact"/>
        <w:rPr>
          <w:rFonts w:asciiTheme="minorHAnsi" w:hAnsiTheme="minorHAnsi"/>
          <w:b w:val="0"/>
          <w:iCs/>
          <w:color w:val="auto"/>
          <w:sz w:val="22"/>
          <w:szCs w:val="22"/>
        </w:rPr>
      </w:pPr>
    </w:p>
    <w:p w14:paraId="70DCDF74" w14:textId="27340D11" w:rsidR="001D62EC" w:rsidRDefault="001D62EC" w:rsidP="00225988">
      <w:pPr>
        <w:pStyle w:val="Heading2"/>
        <w:spacing w:after="200"/>
        <w:rPr>
          <w:rFonts w:asciiTheme="minorHAnsi" w:hAnsiTheme="minorHAnsi"/>
          <w:b w:val="0"/>
          <w:iCs/>
          <w:color w:val="auto"/>
          <w:sz w:val="22"/>
          <w:szCs w:val="22"/>
        </w:rPr>
      </w:pPr>
      <w:r w:rsidRPr="00A57904">
        <w:rPr>
          <w:rFonts w:asciiTheme="minorHAnsi" w:hAnsiTheme="minorHAnsi"/>
          <w:b w:val="0"/>
          <w:iCs/>
          <w:color w:val="auto"/>
          <w:sz w:val="22"/>
          <w:szCs w:val="22"/>
        </w:rPr>
        <w:t>Under section 27</w:t>
      </w:r>
      <w:r w:rsidR="00831A11">
        <w:rPr>
          <w:rFonts w:asciiTheme="minorHAnsi" w:hAnsiTheme="minorHAnsi"/>
          <w:b w:val="0"/>
          <w:iCs/>
          <w:color w:val="auto"/>
          <w:sz w:val="22"/>
          <w:szCs w:val="22"/>
        </w:rPr>
        <w:t>(1)</w:t>
      </w:r>
      <w:r>
        <w:rPr>
          <w:rFonts w:asciiTheme="minorHAnsi" w:hAnsiTheme="minorHAnsi"/>
          <w:b w:val="0"/>
          <w:iCs/>
          <w:color w:val="auto"/>
          <w:sz w:val="22"/>
          <w:szCs w:val="22"/>
        </w:rPr>
        <w:t xml:space="preserve">(e) the merit and equity principle </w:t>
      </w:r>
      <w:proofErr w:type="gramStart"/>
      <w:r>
        <w:rPr>
          <w:rFonts w:asciiTheme="minorHAnsi" w:hAnsiTheme="minorHAnsi"/>
          <w:b w:val="0"/>
          <w:iCs/>
          <w:color w:val="auto"/>
          <w:sz w:val="22"/>
          <w:szCs w:val="22"/>
        </w:rPr>
        <w:t>applies</w:t>
      </w:r>
      <w:proofErr w:type="gramEnd"/>
      <w:r>
        <w:rPr>
          <w:rFonts w:asciiTheme="minorHAnsi" w:hAnsiTheme="minorHAnsi"/>
          <w:b w:val="0"/>
          <w:iCs/>
          <w:color w:val="auto"/>
          <w:sz w:val="22"/>
          <w:szCs w:val="22"/>
        </w:rPr>
        <w:t xml:space="preserve"> to a person to be employed as a fixed term employee for a period of more than 12 months. </w:t>
      </w:r>
      <w:r w:rsidR="00404E6C">
        <w:rPr>
          <w:rFonts w:asciiTheme="minorHAnsi" w:hAnsiTheme="minorHAnsi"/>
          <w:b w:val="0"/>
          <w:iCs/>
          <w:color w:val="auto"/>
          <w:sz w:val="22"/>
          <w:szCs w:val="22"/>
        </w:rPr>
        <w:t>Section 11(2) of the PSM Standards 2016 has a prescribed requirement that applications for short-term employment for 6 months or longer must be sought in the gazette. In summary, t</w:t>
      </w:r>
      <w:r>
        <w:rPr>
          <w:rFonts w:asciiTheme="minorHAnsi" w:hAnsiTheme="minorHAnsi"/>
          <w:b w:val="0"/>
          <w:iCs/>
          <w:color w:val="auto"/>
          <w:sz w:val="22"/>
          <w:szCs w:val="22"/>
        </w:rPr>
        <w:t xml:space="preserve">his means that the merit and equity principle </w:t>
      </w:r>
      <w:r w:rsidR="000002E0">
        <w:rPr>
          <w:rFonts w:asciiTheme="minorHAnsi" w:hAnsiTheme="minorHAnsi"/>
          <w:b w:val="0"/>
          <w:iCs/>
          <w:color w:val="auto"/>
          <w:sz w:val="22"/>
          <w:szCs w:val="22"/>
        </w:rPr>
        <w:t xml:space="preserve">requirements </w:t>
      </w:r>
      <w:r>
        <w:rPr>
          <w:rFonts w:asciiTheme="minorHAnsi" w:hAnsiTheme="minorHAnsi"/>
          <w:b w:val="0"/>
          <w:iCs/>
          <w:color w:val="auto"/>
          <w:sz w:val="22"/>
          <w:szCs w:val="22"/>
        </w:rPr>
        <w:t xml:space="preserve">in section 27 do not apply to a person to be employed on a temporary contract under </w:t>
      </w:r>
      <w:r w:rsidR="00404E6C">
        <w:rPr>
          <w:rFonts w:asciiTheme="minorHAnsi" w:hAnsiTheme="minorHAnsi"/>
          <w:b w:val="0"/>
          <w:iCs/>
          <w:color w:val="auto"/>
          <w:sz w:val="22"/>
          <w:szCs w:val="22"/>
        </w:rPr>
        <w:t xml:space="preserve">6 </w:t>
      </w:r>
      <w:r>
        <w:rPr>
          <w:rFonts w:asciiTheme="minorHAnsi" w:hAnsiTheme="minorHAnsi"/>
          <w:b w:val="0"/>
          <w:iCs/>
          <w:color w:val="auto"/>
          <w:sz w:val="22"/>
          <w:szCs w:val="22"/>
        </w:rPr>
        <w:t xml:space="preserve">months. </w:t>
      </w:r>
      <w:r w:rsidR="004D6336">
        <w:rPr>
          <w:rFonts w:asciiTheme="minorHAnsi" w:hAnsiTheme="minorHAnsi"/>
          <w:b w:val="0"/>
          <w:iCs/>
          <w:color w:val="auto"/>
          <w:sz w:val="22"/>
          <w:szCs w:val="22"/>
        </w:rPr>
        <w:t>This can be relied upon during an emergency situation (such as COVID-19) or where there is an urgen</w:t>
      </w:r>
      <w:r w:rsidR="00404E6C">
        <w:rPr>
          <w:rFonts w:asciiTheme="minorHAnsi" w:hAnsiTheme="minorHAnsi"/>
          <w:b w:val="0"/>
          <w:iCs/>
          <w:color w:val="auto"/>
          <w:sz w:val="22"/>
          <w:szCs w:val="22"/>
        </w:rPr>
        <w:t>t</w:t>
      </w:r>
      <w:r w:rsidR="004D6336">
        <w:rPr>
          <w:rFonts w:asciiTheme="minorHAnsi" w:hAnsiTheme="minorHAnsi"/>
          <w:b w:val="0"/>
          <w:iCs/>
          <w:color w:val="auto"/>
          <w:sz w:val="22"/>
          <w:szCs w:val="22"/>
        </w:rPr>
        <w:t xml:space="preserve"> need and there is not sufficient time to undertake a thorough selection process. Having said this, while there is no legislative requirement under section 27 to apply the merit and equity principle for a person to be employed on a temporary contract under </w:t>
      </w:r>
      <w:r w:rsidR="00404E6C">
        <w:rPr>
          <w:rFonts w:asciiTheme="minorHAnsi" w:hAnsiTheme="minorHAnsi"/>
          <w:b w:val="0"/>
          <w:iCs/>
          <w:color w:val="auto"/>
          <w:sz w:val="22"/>
          <w:szCs w:val="22"/>
        </w:rPr>
        <w:t xml:space="preserve">6 </w:t>
      </w:r>
      <w:r w:rsidR="004D6336">
        <w:rPr>
          <w:rFonts w:asciiTheme="minorHAnsi" w:hAnsiTheme="minorHAnsi"/>
          <w:b w:val="0"/>
          <w:iCs/>
          <w:color w:val="auto"/>
          <w:sz w:val="22"/>
          <w:szCs w:val="22"/>
        </w:rPr>
        <w:t xml:space="preserve">months, there are other obligations and requirements within the PSM Act and the </w:t>
      </w:r>
      <w:r w:rsidR="00F74EF0">
        <w:rPr>
          <w:rFonts w:asciiTheme="minorHAnsi" w:hAnsiTheme="minorHAnsi"/>
          <w:b w:val="0"/>
          <w:iCs/>
          <w:color w:val="auto"/>
          <w:sz w:val="22"/>
          <w:szCs w:val="22"/>
        </w:rPr>
        <w:br/>
      </w:r>
      <w:r w:rsidR="004D6336">
        <w:rPr>
          <w:rFonts w:asciiTheme="minorHAnsi" w:hAnsiTheme="minorHAnsi"/>
          <w:b w:val="0"/>
          <w:iCs/>
          <w:color w:val="auto"/>
          <w:sz w:val="22"/>
          <w:szCs w:val="22"/>
        </w:rPr>
        <w:t xml:space="preserve">PSM Standards which provide for the merit and equity principle to be observed. </w:t>
      </w:r>
      <w:r w:rsidR="00225988">
        <w:rPr>
          <w:rFonts w:asciiTheme="minorHAnsi" w:hAnsiTheme="minorHAnsi"/>
          <w:b w:val="0"/>
          <w:iCs/>
          <w:color w:val="auto"/>
          <w:sz w:val="22"/>
          <w:szCs w:val="22"/>
        </w:rPr>
        <w:br/>
      </w:r>
      <w:r w:rsidR="004D6336">
        <w:rPr>
          <w:rFonts w:asciiTheme="minorHAnsi" w:hAnsiTheme="minorHAnsi"/>
          <w:b w:val="0"/>
          <w:iCs/>
          <w:color w:val="auto"/>
          <w:sz w:val="22"/>
          <w:szCs w:val="22"/>
        </w:rPr>
        <w:t>It is clearly not the intention of section 27 of the PSM Act to provide that the merit and equity principle only be limited to those circumstances.</w:t>
      </w:r>
    </w:p>
    <w:p w14:paraId="647547F8" w14:textId="672312C7" w:rsidR="001D62EC" w:rsidRPr="00501CE2" w:rsidRDefault="001D62EC" w:rsidP="00225988">
      <w:pPr>
        <w:rPr>
          <w:sz w:val="22"/>
          <w:szCs w:val="22"/>
        </w:rPr>
      </w:pPr>
      <w:r w:rsidRPr="00501CE2">
        <w:rPr>
          <w:sz w:val="22"/>
          <w:szCs w:val="22"/>
        </w:rPr>
        <w:t xml:space="preserve">Under </w:t>
      </w:r>
      <w:r w:rsidR="004D6336" w:rsidRPr="00501CE2">
        <w:rPr>
          <w:sz w:val="22"/>
          <w:szCs w:val="22"/>
        </w:rPr>
        <w:t>s</w:t>
      </w:r>
      <w:r w:rsidRPr="00501CE2">
        <w:rPr>
          <w:sz w:val="22"/>
          <w:szCs w:val="22"/>
        </w:rPr>
        <w:t xml:space="preserve">ection 110 of the PSM Act the </w:t>
      </w:r>
      <w:r w:rsidR="00831A11">
        <w:rPr>
          <w:sz w:val="22"/>
          <w:szCs w:val="22"/>
        </w:rPr>
        <w:t>head of s</w:t>
      </w:r>
      <w:r w:rsidRPr="00501CE2">
        <w:rPr>
          <w:sz w:val="22"/>
          <w:szCs w:val="22"/>
        </w:rPr>
        <w:t xml:space="preserve">ervice can re-employ a person without a break in service if the cumulative period of employment does not exceed 12 months. </w:t>
      </w:r>
    </w:p>
    <w:p w14:paraId="0256E56A" w14:textId="6C19737F" w:rsidR="001D62EC" w:rsidRDefault="001D62EC" w:rsidP="001D62EC">
      <w:pPr>
        <w:rPr>
          <w:sz w:val="22"/>
          <w:szCs w:val="22"/>
        </w:rPr>
      </w:pPr>
      <w:r w:rsidRPr="00501CE2">
        <w:rPr>
          <w:sz w:val="22"/>
          <w:szCs w:val="22"/>
        </w:rPr>
        <w:t xml:space="preserve">For periods of employment exceeding 12 months, the </w:t>
      </w:r>
      <w:r w:rsidR="00831A11">
        <w:rPr>
          <w:sz w:val="22"/>
          <w:szCs w:val="22"/>
        </w:rPr>
        <w:t>h</w:t>
      </w:r>
      <w:r w:rsidRPr="00501CE2">
        <w:rPr>
          <w:sz w:val="22"/>
          <w:szCs w:val="22"/>
        </w:rPr>
        <w:t xml:space="preserve">ead of </w:t>
      </w:r>
      <w:r w:rsidR="00831A11">
        <w:rPr>
          <w:sz w:val="22"/>
          <w:szCs w:val="22"/>
        </w:rPr>
        <w:t>s</w:t>
      </w:r>
      <w:r w:rsidRPr="00501CE2">
        <w:rPr>
          <w:sz w:val="22"/>
          <w:szCs w:val="22"/>
        </w:rPr>
        <w:t xml:space="preserve">ervice can employ a person for a fixed term of up to 5 years after consultation with the principal union about the need for temporary employment. </w:t>
      </w:r>
    </w:p>
    <w:p w14:paraId="6DC1013D" w14:textId="21EACF78" w:rsidR="00D80D2A" w:rsidRPr="00D80D2A" w:rsidRDefault="00D80D2A" w:rsidP="00D80D2A">
      <w:pPr>
        <w:pStyle w:val="ListNumber"/>
        <w:numPr>
          <w:ilvl w:val="0"/>
          <w:numId w:val="0"/>
        </w:numPr>
        <w:spacing w:line="240" w:lineRule="auto"/>
        <w:rPr>
          <w:rFonts w:eastAsiaTheme="minorHAnsi" w:cs="Times New Roman"/>
          <w:color w:val="000000" w:themeColor="text1"/>
          <w:sz w:val="22"/>
          <w:szCs w:val="22"/>
        </w:rPr>
      </w:pPr>
      <w:r>
        <w:rPr>
          <w:rFonts w:eastAsiaTheme="minorHAnsi" w:cs="Times New Roman"/>
          <w:sz w:val="22"/>
          <w:szCs w:val="22"/>
        </w:rPr>
        <w:t>Where contracts are extended for t</w:t>
      </w:r>
      <w:r w:rsidRPr="00D80D2A">
        <w:rPr>
          <w:rFonts w:eastAsiaTheme="minorHAnsi" w:cs="Times New Roman"/>
          <w:sz w:val="22"/>
          <w:szCs w:val="22"/>
        </w:rPr>
        <w:t>emporary employees</w:t>
      </w:r>
      <w:r>
        <w:rPr>
          <w:rFonts w:eastAsiaTheme="minorHAnsi" w:cs="Times New Roman"/>
          <w:sz w:val="22"/>
          <w:szCs w:val="22"/>
        </w:rPr>
        <w:t>, an assessment will be undertaken to confirm that</w:t>
      </w:r>
      <w:r w:rsidRPr="00D80D2A">
        <w:rPr>
          <w:rFonts w:eastAsiaTheme="minorHAnsi" w:cs="Times New Roman"/>
          <w:sz w:val="22"/>
          <w:szCs w:val="22"/>
        </w:rPr>
        <w:t xml:space="preserve"> the </w:t>
      </w:r>
      <w:r w:rsidRPr="00D80D2A">
        <w:rPr>
          <w:rFonts w:eastAsiaTheme="minorHAnsi" w:cs="Times New Roman"/>
          <w:color w:val="000000" w:themeColor="text1"/>
          <w:sz w:val="22"/>
          <w:szCs w:val="22"/>
        </w:rPr>
        <w:t>requirements of an ‘eligible person’ are still met. An eligible person means a person who:</w:t>
      </w:r>
    </w:p>
    <w:p w14:paraId="20596438" w14:textId="77777777" w:rsidR="00D80D2A" w:rsidRPr="00D80D2A" w:rsidRDefault="00D80D2A" w:rsidP="00D80D2A">
      <w:pPr>
        <w:pStyle w:val="ListNumber"/>
        <w:numPr>
          <w:ilvl w:val="0"/>
          <w:numId w:val="15"/>
        </w:numPr>
        <w:spacing w:line="240" w:lineRule="auto"/>
        <w:rPr>
          <w:rFonts w:eastAsiaTheme="minorHAnsi" w:cs="Times New Roman"/>
          <w:sz w:val="22"/>
          <w:szCs w:val="22"/>
        </w:rPr>
      </w:pPr>
      <w:r w:rsidRPr="00D80D2A">
        <w:rPr>
          <w:rFonts w:eastAsiaTheme="minorHAnsi" w:cs="Times New Roman"/>
          <w:sz w:val="22"/>
          <w:szCs w:val="22"/>
        </w:rPr>
        <w:t>satisfies any of the following:</w:t>
      </w:r>
    </w:p>
    <w:p w14:paraId="206670EB" w14:textId="77777777" w:rsidR="00D80D2A" w:rsidRPr="00D80D2A" w:rsidRDefault="00D80D2A" w:rsidP="00D80D2A">
      <w:pPr>
        <w:pStyle w:val="ListNumber"/>
        <w:numPr>
          <w:ilvl w:val="0"/>
          <w:numId w:val="16"/>
        </w:numPr>
        <w:spacing w:line="240" w:lineRule="auto"/>
        <w:rPr>
          <w:rFonts w:eastAsiaTheme="minorHAnsi" w:cs="Times New Roman"/>
          <w:sz w:val="22"/>
          <w:szCs w:val="22"/>
        </w:rPr>
      </w:pPr>
      <w:r w:rsidRPr="00D80D2A">
        <w:rPr>
          <w:rFonts w:eastAsiaTheme="minorHAnsi" w:cs="Times New Roman"/>
          <w:sz w:val="22"/>
          <w:szCs w:val="22"/>
        </w:rPr>
        <w:t>is an Australian citizen;</w:t>
      </w:r>
    </w:p>
    <w:p w14:paraId="1506A02B" w14:textId="77777777" w:rsidR="00D80D2A" w:rsidRPr="00D80D2A" w:rsidRDefault="00D80D2A" w:rsidP="00D80D2A">
      <w:pPr>
        <w:pStyle w:val="ListNumber"/>
        <w:numPr>
          <w:ilvl w:val="0"/>
          <w:numId w:val="16"/>
        </w:numPr>
        <w:spacing w:line="240" w:lineRule="auto"/>
        <w:rPr>
          <w:rFonts w:eastAsiaTheme="minorHAnsi" w:cs="Times New Roman"/>
          <w:sz w:val="22"/>
          <w:szCs w:val="22"/>
        </w:rPr>
      </w:pPr>
      <w:r w:rsidRPr="00D80D2A">
        <w:rPr>
          <w:rFonts w:eastAsiaTheme="minorHAnsi" w:cs="Times New Roman"/>
          <w:sz w:val="22"/>
          <w:szCs w:val="22"/>
        </w:rPr>
        <w:t>is a permanent resident of Australia;</w:t>
      </w:r>
    </w:p>
    <w:p w14:paraId="3A3B5F53" w14:textId="77777777" w:rsidR="00D80D2A" w:rsidRPr="00D80D2A" w:rsidRDefault="00D80D2A" w:rsidP="00D80D2A">
      <w:pPr>
        <w:pStyle w:val="ListNumber"/>
        <w:numPr>
          <w:ilvl w:val="0"/>
          <w:numId w:val="16"/>
        </w:numPr>
        <w:spacing w:line="240" w:lineRule="auto"/>
        <w:rPr>
          <w:rFonts w:eastAsiaTheme="minorHAnsi" w:cs="Times New Roman"/>
          <w:sz w:val="22"/>
          <w:szCs w:val="22"/>
        </w:rPr>
      </w:pPr>
      <w:r w:rsidRPr="00D80D2A">
        <w:rPr>
          <w:rFonts w:eastAsiaTheme="minorHAnsi" w:cs="Times New Roman"/>
          <w:sz w:val="22"/>
          <w:szCs w:val="22"/>
        </w:rPr>
        <w:t>holds a visa that permits the person to work in the service; and</w:t>
      </w:r>
    </w:p>
    <w:p w14:paraId="12C4B47E" w14:textId="77777777" w:rsidR="00D80D2A" w:rsidRPr="00D80D2A" w:rsidRDefault="00D80D2A" w:rsidP="00D80D2A">
      <w:pPr>
        <w:pStyle w:val="ListNumber"/>
        <w:numPr>
          <w:ilvl w:val="0"/>
          <w:numId w:val="15"/>
        </w:numPr>
        <w:spacing w:line="240" w:lineRule="auto"/>
        <w:rPr>
          <w:rFonts w:eastAsiaTheme="minorHAnsi" w:cs="Times New Roman"/>
          <w:sz w:val="22"/>
          <w:szCs w:val="22"/>
        </w:rPr>
      </w:pPr>
      <w:r w:rsidRPr="00D80D2A">
        <w:rPr>
          <w:rFonts w:eastAsiaTheme="minorHAnsi" w:cs="Times New Roman"/>
          <w:sz w:val="22"/>
          <w:szCs w:val="22"/>
        </w:rPr>
        <w:t>is capable of:</w:t>
      </w:r>
    </w:p>
    <w:p w14:paraId="1F4D083D" w14:textId="77777777" w:rsidR="00D80D2A" w:rsidRPr="00D80D2A" w:rsidRDefault="00D80D2A" w:rsidP="00D80D2A">
      <w:pPr>
        <w:pStyle w:val="ListNumber"/>
        <w:numPr>
          <w:ilvl w:val="0"/>
          <w:numId w:val="17"/>
        </w:numPr>
        <w:spacing w:line="240" w:lineRule="auto"/>
        <w:rPr>
          <w:rFonts w:eastAsiaTheme="minorHAnsi" w:cs="Times New Roman"/>
          <w:sz w:val="22"/>
          <w:szCs w:val="22"/>
        </w:rPr>
      </w:pPr>
      <w:r w:rsidRPr="00D80D2A">
        <w:rPr>
          <w:rFonts w:eastAsiaTheme="minorHAnsi" w:cs="Times New Roman"/>
          <w:sz w:val="22"/>
          <w:szCs w:val="22"/>
        </w:rPr>
        <w:t>upholding the public sector values; and</w:t>
      </w:r>
    </w:p>
    <w:p w14:paraId="6941C40E" w14:textId="77777777" w:rsidR="00D80D2A" w:rsidRPr="00D80D2A" w:rsidRDefault="00D80D2A" w:rsidP="00D80D2A">
      <w:pPr>
        <w:pStyle w:val="ListNumber"/>
        <w:numPr>
          <w:ilvl w:val="0"/>
          <w:numId w:val="17"/>
        </w:numPr>
        <w:spacing w:line="240" w:lineRule="auto"/>
        <w:rPr>
          <w:rFonts w:eastAsiaTheme="minorHAnsi" w:cs="Times New Roman"/>
          <w:sz w:val="22"/>
          <w:szCs w:val="22"/>
        </w:rPr>
      </w:pPr>
      <w:r w:rsidRPr="00D80D2A">
        <w:rPr>
          <w:rFonts w:eastAsiaTheme="minorHAnsi" w:cs="Times New Roman"/>
          <w:sz w:val="22"/>
          <w:szCs w:val="22"/>
        </w:rPr>
        <w:t>exercising each function that the person is, or will be, employed to exercise, in accordance with the best practice principle; and</w:t>
      </w:r>
    </w:p>
    <w:p w14:paraId="1B0B3A42" w14:textId="77777777" w:rsidR="00D80D2A" w:rsidRPr="00D80D2A" w:rsidRDefault="00D80D2A" w:rsidP="00D80D2A">
      <w:pPr>
        <w:pStyle w:val="ListNumber"/>
        <w:numPr>
          <w:ilvl w:val="0"/>
          <w:numId w:val="17"/>
        </w:numPr>
        <w:spacing w:line="240" w:lineRule="auto"/>
        <w:rPr>
          <w:rFonts w:eastAsiaTheme="minorHAnsi" w:cs="Times New Roman"/>
          <w:sz w:val="22"/>
          <w:szCs w:val="22"/>
        </w:rPr>
      </w:pPr>
      <w:r w:rsidRPr="00D80D2A">
        <w:rPr>
          <w:rFonts w:eastAsiaTheme="minorHAnsi" w:cs="Times New Roman"/>
          <w:sz w:val="22"/>
          <w:szCs w:val="22"/>
        </w:rPr>
        <w:t>acting consistently with section 9 (public sector conduct); and</w:t>
      </w:r>
    </w:p>
    <w:p w14:paraId="1A3318A4" w14:textId="2B9FA692" w:rsidR="00D80D2A" w:rsidRDefault="00D80D2A" w:rsidP="001D62EC">
      <w:pPr>
        <w:pStyle w:val="ListNumber"/>
        <w:numPr>
          <w:ilvl w:val="0"/>
          <w:numId w:val="15"/>
        </w:numPr>
        <w:spacing w:line="240" w:lineRule="auto"/>
        <w:rPr>
          <w:rFonts w:eastAsiaTheme="minorHAnsi" w:cs="Times New Roman"/>
          <w:sz w:val="22"/>
          <w:szCs w:val="22"/>
        </w:rPr>
      </w:pPr>
      <w:r w:rsidRPr="00D80D2A">
        <w:rPr>
          <w:rFonts w:eastAsiaTheme="minorHAnsi" w:cs="Times New Roman"/>
          <w:sz w:val="22"/>
          <w:szCs w:val="22"/>
        </w:rPr>
        <w:t>holds all qualifications required to lawfully exercise every function that the person is employed to exercise.</w:t>
      </w:r>
    </w:p>
    <w:p w14:paraId="0C9890BB" w14:textId="77777777" w:rsidR="001D62EC" w:rsidRPr="007318FB" w:rsidRDefault="001D62EC" w:rsidP="001D62EC">
      <w:pPr>
        <w:pStyle w:val="Heading2"/>
        <w:rPr>
          <w:rFonts w:asciiTheme="minorHAnsi" w:hAnsiTheme="minorHAnsi"/>
          <w:b w:val="0"/>
          <w:iCs/>
          <w:color w:val="auto"/>
          <w:sz w:val="22"/>
          <w:szCs w:val="22"/>
          <w:u w:val="single"/>
        </w:rPr>
      </w:pPr>
      <w:r w:rsidRPr="007318FB">
        <w:rPr>
          <w:rFonts w:asciiTheme="minorHAnsi" w:hAnsiTheme="minorHAnsi"/>
          <w:b w:val="0"/>
          <w:iCs/>
          <w:color w:val="auto"/>
          <w:sz w:val="22"/>
          <w:szCs w:val="22"/>
          <w:u w:val="single"/>
        </w:rPr>
        <w:t xml:space="preserve">Public Sector Management </w:t>
      </w:r>
      <w:r>
        <w:rPr>
          <w:rFonts w:asciiTheme="minorHAnsi" w:hAnsiTheme="minorHAnsi"/>
          <w:b w:val="0"/>
          <w:iCs/>
          <w:color w:val="auto"/>
          <w:sz w:val="22"/>
          <w:szCs w:val="22"/>
          <w:u w:val="single"/>
        </w:rPr>
        <w:t>Standards 2016</w:t>
      </w:r>
    </w:p>
    <w:p w14:paraId="53F5121A" w14:textId="77777777" w:rsidR="001D62EC" w:rsidRPr="005F4BD6" w:rsidRDefault="001D62EC" w:rsidP="00831A11">
      <w:pPr>
        <w:pStyle w:val="Heading2"/>
        <w:spacing w:after="0"/>
        <w:rPr>
          <w:rFonts w:asciiTheme="minorHAnsi" w:hAnsiTheme="minorHAnsi"/>
          <w:b w:val="0"/>
          <w:iCs/>
          <w:color w:val="auto"/>
          <w:sz w:val="22"/>
          <w:szCs w:val="22"/>
        </w:rPr>
      </w:pPr>
      <w:r w:rsidRPr="005F4BD6">
        <w:rPr>
          <w:rFonts w:asciiTheme="minorHAnsi" w:hAnsiTheme="minorHAnsi"/>
          <w:b w:val="0"/>
          <w:iCs/>
          <w:color w:val="auto"/>
          <w:sz w:val="22"/>
          <w:szCs w:val="22"/>
        </w:rPr>
        <w:t>The prescribed selection method in Division 2.2 of the PSM Standards 2016</w:t>
      </w:r>
      <w:r>
        <w:rPr>
          <w:rFonts w:asciiTheme="minorHAnsi" w:hAnsiTheme="minorHAnsi"/>
          <w:b w:val="0"/>
          <w:iCs/>
          <w:color w:val="auto"/>
          <w:sz w:val="22"/>
          <w:szCs w:val="22"/>
        </w:rPr>
        <w:t xml:space="preserve"> applies in the circumstances outlined in section 27(1) of the PSM Act</w:t>
      </w:r>
      <w:r w:rsidRPr="005F4BD6">
        <w:rPr>
          <w:rFonts w:asciiTheme="minorHAnsi" w:hAnsiTheme="minorHAnsi"/>
          <w:b w:val="0"/>
          <w:iCs/>
          <w:color w:val="auto"/>
          <w:sz w:val="22"/>
          <w:szCs w:val="22"/>
        </w:rPr>
        <w:t>.</w:t>
      </w:r>
      <w:r>
        <w:rPr>
          <w:rFonts w:asciiTheme="minorHAnsi" w:hAnsiTheme="minorHAnsi"/>
          <w:b w:val="0"/>
          <w:iCs/>
          <w:color w:val="auto"/>
          <w:sz w:val="22"/>
          <w:szCs w:val="22"/>
        </w:rPr>
        <w:t xml:space="preserve"> Division 2.2 outlines the requirements relating to advertising and comparative assessments as part of selection processes.</w:t>
      </w:r>
    </w:p>
    <w:p w14:paraId="7BC443D0" w14:textId="77777777" w:rsidR="001D62EC" w:rsidRPr="005F4BD6" w:rsidRDefault="001D62EC" w:rsidP="00831A11">
      <w:pPr>
        <w:pStyle w:val="Heading2"/>
        <w:spacing w:before="120"/>
        <w:rPr>
          <w:rFonts w:asciiTheme="minorHAnsi" w:hAnsiTheme="minorHAnsi"/>
          <w:b w:val="0"/>
          <w:iCs/>
          <w:color w:val="auto"/>
          <w:sz w:val="22"/>
          <w:szCs w:val="22"/>
        </w:rPr>
      </w:pPr>
      <w:r>
        <w:rPr>
          <w:rFonts w:asciiTheme="minorHAnsi" w:hAnsiTheme="minorHAnsi"/>
          <w:b w:val="0"/>
          <w:iCs/>
          <w:color w:val="auto"/>
          <w:sz w:val="22"/>
          <w:szCs w:val="22"/>
        </w:rPr>
        <w:t>Section 11(2) requires that applications for short-term employment for 6 months or longer must be sought in the gazette (on the Jobs website).</w:t>
      </w:r>
    </w:p>
    <w:p w14:paraId="6A2F6C56" w14:textId="33031F26" w:rsidR="001D62EC" w:rsidRDefault="001D62EC" w:rsidP="001D62EC">
      <w:pPr>
        <w:pStyle w:val="ListNumber"/>
        <w:numPr>
          <w:ilvl w:val="0"/>
          <w:numId w:val="0"/>
        </w:numPr>
        <w:spacing w:before="120" w:after="0" w:line="240" w:lineRule="auto"/>
        <w:rPr>
          <w:rFonts w:eastAsiaTheme="minorHAnsi" w:cs="Times New Roman"/>
          <w:iCs/>
          <w:sz w:val="22"/>
          <w:szCs w:val="22"/>
        </w:rPr>
      </w:pPr>
      <w:r w:rsidRPr="004D6336">
        <w:rPr>
          <w:rFonts w:eastAsiaTheme="minorHAnsi" w:cs="Times New Roman"/>
          <w:iCs/>
          <w:sz w:val="22"/>
          <w:szCs w:val="22"/>
        </w:rPr>
        <w:t>Under section 10 of the PSM Standards, temporary employment registers can be established by the head of service or directors-general.</w:t>
      </w:r>
    </w:p>
    <w:p w14:paraId="19CEC176" w14:textId="2BE07860" w:rsidR="00164B4A" w:rsidRPr="00164B4A" w:rsidRDefault="00164B4A" w:rsidP="00164B4A">
      <w:pPr>
        <w:tabs>
          <w:tab w:val="left" w:pos="2400"/>
        </w:tabs>
      </w:pPr>
      <w:r>
        <w:tab/>
      </w:r>
    </w:p>
    <w:p w14:paraId="3F96FC73" w14:textId="77777777" w:rsidR="001D62EC" w:rsidRPr="00A655E9" w:rsidRDefault="001D62EC" w:rsidP="00225988">
      <w:pPr>
        <w:pStyle w:val="Heading2"/>
        <w:rPr>
          <w:rFonts w:asciiTheme="minorHAnsi" w:hAnsiTheme="minorHAnsi"/>
          <w:b w:val="0"/>
          <w:iCs/>
          <w:color w:val="auto"/>
          <w:sz w:val="22"/>
          <w:szCs w:val="22"/>
          <w:u w:val="single"/>
        </w:rPr>
      </w:pPr>
      <w:r w:rsidRPr="00A655E9">
        <w:rPr>
          <w:rFonts w:asciiTheme="minorHAnsi" w:hAnsiTheme="minorHAnsi"/>
          <w:b w:val="0"/>
          <w:iCs/>
          <w:color w:val="auto"/>
          <w:sz w:val="22"/>
          <w:szCs w:val="22"/>
          <w:u w:val="single"/>
        </w:rPr>
        <w:lastRenderedPageBreak/>
        <w:t>Enterprise Agreements</w:t>
      </w:r>
    </w:p>
    <w:p w14:paraId="593BFB78" w14:textId="77777777" w:rsidR="004D6336" w:rsidRPr="005B4C13" w:rsidRDefault="004D6336" w:rsidP="00225988">
      <w:pPr>
        <w:pStyle w:val="ListNumber"/>
        <w:numPr>
          <w:ilvl w:val="0"/>
          <w:numId w:val="0"/>
        </w:numPr>
        <w:spacing w:before="240" w:after="0" w:line="240" w:lineRule="auto"/>
        <w:rPr>
          <w:rFonts w:eastAsiaTheme="minorHAnsi" w:cs="Times New Roman"/>
          <w:iCs/>
          <w:sz w:val="22"/>
          <w:szCs w:val="22"/>
        </w:rPr>
      </w:pPr>
      <w:r w:rsidRPr="005B4C13">
        <w:rPr>
          <w:rFonts w:eastAsiaTheme="minorHAnsi" w:cs="Times New Roman"/>
          <w:iCs/>
          <w:sz w:val="22"/>
          <w:szCs w:val="22"/>
        </w:rPr>
        <w:t>The ACTPS Enterprise Agreements contain a number of commitments to promote permanent employment and job security for employees and to minimise the use of temporary and casual employment.</w:t>
      </w:r>
    </w:p>
    <w:p w14:paraId="6D2B0927" w14:textId="77777777" w:rsidR="004D6336" w:rsidRPr="005B4C13" w:rsidRDefault="004D6336" w:rsidP="004D6336">
      <w:pPr>
        <w:pStyle w:val="ListNumber"/>
        <w:numPr>
          <w:ilvl w:val="0"/>
          <w:numId w:val="0"/>
        </w:numPr>
        <w:spacing w:before="120" w:after="0" w:line="240" w:lineRule="auto"/>
        <w:rPr>
          <w:rFonts w:eastAsiaTheme="minorHAnsi" w:cs="Times New Roman"/>
          <w:iCs/>
          <w:sz w:val="22"/>
          <w:szCs w:val="22"/>
        </w:rPr>
      </w:pPr>
      <w:r w:rsidRPr="005B4C13">
        <w:rPr>
          <w:rFonts w:eastAsiaTheme="minorHAnsi" w:cs="Times New Roman"/>
          <w:iCs/>
          <w:sz w:val="22"/>
          <w:szCs w:val="22"/>
        </w:rPr>
        <w:t xml:space="preserve">Temporary employees are only used where there is no officer available with the expertise, skills or qualifications required for the duties to be performed or the assistance of a temporary nature is required for the performance of urgent or specialised work within a particular business unit of the ACTPS and it is not practical in the circumstances to use the services of an existing officer (see clause </w:t>
      </w:r>
      <w:r>
        <w:rPr>
          <w:rFonts w:eastAsiaTheme="minorHAnsi" w:cs="Times New Roman"/>
          <w:iCs/>
          <w:sz w:val="22"/>
          <w:szCs w:val="22"/>
        </w:rPr>
        <w:t>A2.2 – retaining our people</w:t>
      </w:r>
      <w:r w:rsidRPr="005B4C13">
        <w:rPr>
          <w:rFonts w:eastAsiaTheme="minorHAnsi" w:cs="Times New Roman"/>
          <w:iCs/>
          <w:sz w:val="22"/>
          <w:szCs w:val="22"/>
        </w:rPr>
        <w:t>).</w:t>
      </w:r>
    </w:p>
    <w:p w14:paraId="270AFFDA" w14:textId="77777777" w:rsidR="004D6336" w:rsidRPr="005B4C13" w:rsidRDefault="004D6336" w:rsidP="004D6336">
      <w:pPr>
        <w:pStyle w:val="ListNumber"/>
        <w:numPr>
          <w:ilvl w:val="0"/>
          <w:numId w:val="0"/>
        </w:numPr>
        <w:spacing w:before="120" w:after="0" w:line="240" w:lineRule="auto"/>
        <w:rPr>
          <w:rFonts w:eastAsiaTheme="minorHAnsi" w:cs="Times New Roman"/>
          <w:iCs/>
          <w:sz w:val="22"/>
          <w:szCs w:val="22"/>
        </w:rPr>
      </w:pPr>
      <w:r w:rsidRPr="005B4C13">
        <w:rPr>
          <w:rFonts w:eastAsiaTheme="minorHAnsi" w:cs="Times New Roman"/>
          <w:iCs/>
          <w:sz w:val="22"/>
          <w:szCs w:val="22"/>
        </w:rPr>
        <w:t>Enterprise Agreements provide for temporary and non-ongoing employees to apply in writing to their manager/supervisor to request an examination of their employment status where they have been engaged on a regular and systematic basis for at least twelve months and where they have a reasonable expectation that such arrangements will continue (see clause B2 – review of employment status).</w:t>
      </w:r>
    </w:p>
    <w:p w14:paraId="6C060A36" w14:textId="77777777" w:rsidR="004D6336" w:rsidRPr="005B4C13" w:rsidRDefault="004D6336" w:rsidP="004D6336">
      <w:pPr>
        <w:pStyle w:val="ListNumber"/>
        <w:numPr>
          <w:ilvl w:val="0"/>
          <w:numId w:val="0"/>
        </w:numPr>
        <w:spacing w:before="120" w:after="0" w:line="240" w:lineRule="auto"/>
        <w:rPr>
          <w:rFonts w:eastAsiaTheme="minorHAnsi" w:cs="Times New Roman"/>
          <w:iCs/>
          <w:sz w:val="22"/>
          <w:szCs w:val="22"/>
        </w:rPr>
      </w:pPr>
      <w:r w:rsidRPr="005B4C13">
        <w:rPr>
          <w:rFonts w:eastAsiaTheme="minorHAnsi" w:cs="Times New Roman"/>
          <w:iCs/>
          <w:sz w:val="22"/>
          <w:szCs w:val="22"/>
        </w:rPr>
        <w:t xml:space="preserve">A Joint Union and ACT Government Taskforce into insecure work and outsourcing has been established by the ACT Government as a way to promote permanent employment and job security for employees within the ACTPS. The Taskforce is examining the current use of these practices and is proposing ways to monitor and minimise the use of insecure work practices (see clause B12 - Taskforce on Insecure Work and Outsourcing). </w:t>
      </w:r>
    </w:p>
    <w:p w14:paraId="6153F2AF" w14:textId="19E2696A" w:rsidR="00863D64" w:rsidRDefault="00863D64">
      <w:pPr>
        <w:spacing w:line="276" w:lineRule="auto"/>
      </w:pPr>
      <w:r>
        <w:br w:type="page"/>
      </w:r>
    </w:p>
    <w:p w14:paraId="1DF2BEE2" w14:textId="77777777" w:rsidR="00C60145" w:rsidRDefault="00C60145" w:rsidP="00C60145"/>
    <w:p w14:paraId="179699C3" w14:textId="6205F705" w:rsidR="00C60145" w:rsidRDefault="00C60145" w:rsidP="00C60145">
      <w:pPr>
        <w:pStyle w:val="Heading2"/>
        <w:jc w:val="right"/>
        <w:rPr>
          <w:rFonts w:eastAsia="Times New Roman"/>
          <w:color w:val="323232" w:themeColor="accent1"/>
          <w:sz w:val="26"/>
          <w:szCs w:val="28"/>
        </w:rPr>
      </w:pPr>
      <w:r>
        <w:rPr>
          <w:rFonts w:eastAsia="Times New Roman"/>
          <w:color w:val="323232" w:themeColor="accent1"/>
          <w:sz w:val="26"/>
          <w:szCs w:val="28"/>
        </w:rPr>
        <w:t>Attachment 2</w:t>
      </w:r>
    </w:p>
    <w:p w14:paraId="2A3A381F" w14:textId="5F1AA89A" w:rsidR="00C60145" w:rsidRPr="00863D64" w:rsidRDefault="00C60145" w:rsidP="00863D64">
      <w:pPr>
        <w:pStyle w:val="Heading2"/>
        <w:rPr>
          <w:rFonts w:eastAsia="Times New Roman"/>
          <w:color w:val="323232" w:themeColor="accent1"/>
          <w:sz w:val="26"/>
          <w:szCs w:val="28"/>
        </w:rPr>
      </w:pPr>
      <w:r>
        <w:rPr>
          <w:rFonts w:eastAsia="Times New Roman"/>
          <w:color w:val="323232" w:themeColor="accent1"/>
          <w:sz w:val="26"/>
          <w:szCs w:val="28"/>
        </w:rPr>
        <w:t>Temporary Employment Scenarios</w:t>
      </w:r>
    </w:p>
    <w:p w14:paraId="4310461E" w14:textId="653C8DD9" w:rsidR="00C60145" w:rsidRDefault="00C60145" w:rsidP="00C60145">
      <w:pPr>
        <w:pStyle w:val="Heading2"/>
        <w:spacing w:before="100"/>
        <w:rPr>
          <w:rFonts w:asciiTheme="minorHAnsi" w:hAnsiTheme="minorHAnsi"/>
          <w:b w:val="0"/>
          <w:color w:val="auto"/>
          <w:sz w:val="22"/>
          <w:szCs w:val="22"/>
        </w:rPr>
      </w:pPr>
      <w:r>
        <w:rPr>
          <w:rFonts w:asciiTheme="minorHAnsi" w:hAnsiTheme="minorHAnsi"/>
          <w:b w:val="0"/>
          <w:color w:val="auto"/>
          <w:sz w:val="22"/>
          <w:szCs w:val="22"/>
        </w:rPr>
        <w:t>T</w:t>
      </w:r>
      <w:r w:rsidRPr="00655C65">
        <w:rPr>
          <w:rFonts w:asciiTheme="minorHAnsi" w:hAnsiTheme="minorHAnsi"/>
          <w:b w:val="0"/>
          <w:color w:val="auto"/>
          <w:sz w:val="22"/>
          <w:szCs w:val="22"/>
        </w:rPr>
        <w:t xml:space="preserve">his </w:t>
      </w:r>
      <w:r w:rsidR="00863D64">
        <w:rPr>
          <w:rFonts w:asciiTheme="minorHAnsi" w:hAnsiTheme="minorHAnsi"/>
          <w:b w:val="0"/>
          <w:color w:val="auto"/>
          <w:sz w:val="22"/>
          <w:szCs w:val="22"/>
        </w:rPr>
        <w:t>attachment</w:t>
      </w:r>
      <w:r w:rsidRPr="00655C65">
        <w:rPr>
          <w:rFonts w:asciiTheme="minorHAnsi" w:hAnsiTheme="minorHAnsi"/>
          <w:b w:val="0"/>
          <w:color w:val="auto"/>
          <w:sz w:val="22"/>
          <w:szCs w:val="22"/>
        </w:rPr>
        <w:t xml:space="preserve"> </w:t>
      </w:r>
      <w:r>
        <w:rPr>
          <w:rFonts w:asciiTheme="minorHAnsi" w:hAnsiTheme="minorHAnsi"/>
          <w:b w:val="0"/>
          <w:color w:val="auto"/>
          <w:sz w:val="22"/>
          <w:szCs w:val="22"/>
        </w:rPr>
        <w:t xml:space="preserve">outlines some scenarios to implement the Government’s commitment to provide </w:t>
      </w:r>
      <w:r w:rsidRPr="00CA2251">
        <w:rPr>
          <w:rFonts w:asciiTheme="minorHAnsi" w:hAnsiTheme="minorHAnsi"/>
          <w:b w:val="0"/>
          <w:color w:val="auto"/>
          <w:sz w:val="22"/>
          <w:szCs w:val="22"/>
        </w:rPr>
        <w:t>some job security to its current temporary workforce</w:t>
      </w:r>
      <w:r w:rsidRPr="00655C65">
        <w:rPr>
          <w:rFonts w:asciiTheme="minorHAnsi" w:hAnsiTheme="minorHAnsi"/>
          <w:b w:val="0"/>
          <w:color w:val="auto"/>
          <w:sz w:val="22"/>
          <w:szCs w:val="22"/>
        </w:rPr>
        <w:t xml:space="preserve">. </w:t>
      </w:r>
      <w:r>
        <w:rPr>
          <w:rFonts w:asciiTheme="minorHAnsi" w:hAnsiTheme="minorHAnsi"/>
          <w:b w:val="0"/>
          <w:color w:val="auto"/>
          <w:sz w:val="22"/>
          <w:szCs w:val="22"/>
        </w:rPr>
        <w:t xml:space="preserve"> </w:t>
      </w:r>
    </w:p>
    <w:p w14:paraId="625EC11E" w14:textId="77777777" w:rsidR="00C60145" w:rsidRDefault="00C60145" w:rsidP="00C60145">
      <w:pPr>
        <w:pStyle w:val="Heading2"/>
        <w:rPr>
          <w:rFonts w:asciiTheme="minorHAnsi" w:hAnsiTheme="minorHAnsi"/>
          <w:b w:val="0"/>
          <w:color w:val="auto"/>
          <w:sz w:val="22"/>
          <w:szCs w:val="22"/>
        </w:rPr>
      </w:pPr>
      <w:r w:rsidRPr="002D69B1">
        <w:rPr>
          <w:rFonts w:asciiTheme="minorHAnsi" w:hAnsiTheme="minorHAnsi"/>
          <w:b w:val="0"/>
          <w:color w:val="auto"/>
          <w:sz w:val="22"/>
          <w:szCs w:val="22"/>
        </w:rPr>
        <w:t>All temporary contracts that expire between April 2020 and September 2020 will be extended by a minimum of 3 months.</w:t>
      </w:r>
      <w:r>
        <w:rPr>
          <w:rFonts w:asciiTheme="minorHAnsi" w:hAnsiTheme="minorHAnsi"/>
          <w:b w:val="0"/>
          <w:color w:val="auto"/>
          <w:sz w:val="22"/>
          <w:szCs w:val="22"/>
        </w:rPr>
        <w:t xml:space="preserve"> The table below outlines how the contracts ending</w:t>
      </w:r>
      <w:r w:rsidRPr="002D69B1">
        <w:rPr>
          <w:rFonts w:asciiTheme="minorHAnsi" w:hAnsiTheme="minorHAnsi"/>
          <w:b w:val="0"/>
          <w:color w:val="auto"/>
          <w:sz w:val="22"/>
          <w:szCs w:val="22"/>
        </w:rPr>
        <w:t xml:space="preserve"> between April 2020 and September 2020</w:t>
      </w:r>
      <w:r>
        <w:rPr>
          <w:rFonts w:asciiTheme="minorHAnsi" w:hAnsiTheme="minorHAnsi"/>
          <w:b w:val="0"/>
          <w:color w:val="auto"/>
          <w:sz w:val="22"/>
          <w:szCs w:val="22"/>
        </w:rPr>
        <w:t xml:space="preserve"> will be extended:</w:t>
      </w:r>
      <w:r>
        <w:rPr>
          <w:rFonts w:asciiTheme="minorHAnsi" w:hAnsiTheme="minorHAnsi"/>
          <w:b w:val="0"/>
          <w:color w:val="auto"/>
          <w:sz w:val="22"/>
          <w:szCs w:val="22"/>
        </w:rPr>
        <w:br/>
        <w:t xml:space="preserve"> </w:t>
      </w:r>
    </w:p>
    <w:tbl>
      <w:tblPr>
        <w:tblStyle w:val="TableGrid"/>
        <w:tblW w:w="0" w:type="auto"/>
        <w:jc w:val="center"/>
        <w:tblLook w:val="04A0" w:firstRow="1" w:lastRow="0" w:firstColumn="1" w:lastColumn="0" w:noHBand="0" w:noVBand="1"/>
      </w:tblPr>
      <w:tblGrid>
        <w:gridCol w:w="1924"/>
        <w:gridCol w:w="1757"/>
      </w:tblGrid>
      <w:tr w:rsidR="00C60145" w:rsidRPr="00FD4953" w14:paraId="7FB64615" w14:textId="77777777" w:rsidTr="00A32B2B">
        <w:trPr>
          <w:jc w:val="center"/>
        </w:trPr>
        <w:tc>
          <w:tcPr>
            <w:tcW w:w="1924" w:type="dxa"/>
          </w:tcPr>
          <w:p w14:paraId="68237C08" w14:textId="77777777" w:rsidR="00C60145" w:rsidRPr="00FD4953" w:rsidRDefault="00C60145" w:rsidP="00A32B2B">
            <w:pPr>
              <w:rPr>
                <w:b/>
              </w:rPr>
            </w:pPr>
            <w:r w:rsidRPr="00FD4953">
              <w:rPr>
                <w:b/>
              </w:rPr>
              <w:t>Contract ending in</w:t>
            </w:r>
          </w:p>
        </w:tc>
        <w:tc>
          <w:tcPr>
            <w:tcW w:w="1757" w:type="dxa"/>
          </w:tcPr>
          <w:p w14:paraId="345A1A78" w14:textId="77777777" w:rsidR="00C60145" w:rsidRPr="00FD4953" w:rsidRDefault="00C60145" w:rsidP="00A32B2B">
            <w:pPr>
              <w:rPr>
                <w:b/>
              </w:rPr>
            </w:pPr>
            <w:r w:rsidRPr="00FD4953">
              <w:rPr>
                <w:b/>
              </w:rPr>
              <w:t>Extension</w:t>
            </w:r>
          </w:p>
        </w:tc>
      </w:tr>
      <w:tr w:rsidR="00C60145" w14:paraId="15AAB51F" w14:textId="77777777" w:rsidTr="00A32B2B">
        <w:trPr>
          <w:jc w:val="center"/>
        </w:trPr>
        <w:tc>
          <w:tcPr>
            <w:tcW w:w="1924" w:type="dxa"/>
          </w:tcPr>
          <w:p w14:paraId="0EAB8154" w14:textId="77777777" w:rsidR="00C60145" w:rsidRDefault="00C60145" w:rsidP="00A32B2B">
            <w:r>
              <w:t>April 2020</w:t>
            </w:r>
          </w:p>
        </w:tc>
        <w:tc>
          <w:tcPr>
            <w:tcW w:w="1757" w:type="dxa"/>
          </w:tcPr>
          <w:p w14:paraId="648D23FE" w14:textId="77777777" w:rsidR="00C60145" w:rsidRDefault="00C60145" w:rsidP="00A32B2B">
            <w:r>
              <w:t>July 2020</w:t>
            </w:r>
          </w:p>
        </w:tc>
      </w:tr>
      <w:tr w:rsidR="00C60145" w14:paraId="27DFAF4F" w14:textId="77777777" w:rsidTr="00A32B2B">
        <w:trPr>
          <w:jc w:val="center"/>
        </w:trPr>
        <w:tc>
          <w:tcPr>
            <w:tcW w:w="1924" w:type="dxa"/>
          </w:tcPr>
          <w:p w14:paraId="50F324AD" w14:textId="77777777" w:rsidR="00C60145" w:rsidRDefault="00C60145" w:rsidP="00A32B2B">
            <w:r>
              <w:t>May 2020</w:t>
            </w:r>
          </w:p>
        </w:tc>
        <w:tc>
          <w:tcPr>
            <w:tcW w:w="1757" w:type="dxa"/>
          </w:tcPr>
          <w:p w14:paraId="1AD2E674" w14:textId="77777777" w:rsidR="00C60145" w:rsidRDefault="00C60145" w:rsidP="00A32B2B">
            <w:r>
              <w:t>August 2020</w:t>
            </w:r>
          </w:p>
        </w:tc>
      </w:tr>
      <w:tr w:rsidR="00C60145" w14:paraId="1B19BD52" w14:textId="77777777" w:rsidTr="00A32B2B">
        <w:trPr>
          <w:jc w:val="center"/>
        </w:trPr>
        <w:tc>
          <w:tcPr>
            <w:tcW w:w="1924" w:type="dxa"/>
          </w:tcPr>
          <w:p w14:paraId="4B5521E5" w14:textId="77777777" w:rsidR="00C60145" w:rsidRDefault="00C60145" w:rsidP="00A32B2B">
            <w:r>
              <w:t>June 2020</w:t>
            </w:r>
          </w:p>
        </w:tc>
        <w:tc>
          <w:tcPr>
            <w:tcW w:w="1757" w:type="dxa"/>
          </w:tcPr>
          <w:p w14:paraId="1C0230E0" w14:textId="77777777" w:rsidR="00C60145" w:rsidRDefault="00C60145" w:rsidP="00A32B2B">
            <w:r>
              <w:t>September 2020</w:t>
            </w:r>
          </w:p>
        </w:tc>
      </w:tr>
      <w:tr w:rsidR="00C60145" w14:paraId="2F557AC6" w14:textId="77777777" w:rsidTr="00A32B2B">
        <w:trPr>
          <w:jc w:val="center"/>
        </w:trPr>
        <w:tc>
          <w:tcPr>
            <w:tcW w:w="1924" w:type="dxa"/>
          </w:tcPr>
          <w:p w14:paraId="4580B241" w14:textId="77777777" w:rsidR="00C60145" w:rsidRDefault="00C60145" w:rsidP="00A32B2B">
            <w:r>
              <w:t>July 2020</w:t>
            </w:r>
          </w:p>
        </w:tc>
        <w:tc>
          <w:tcPr>
            <w:tcW w:w="1757" w:type="dxa"/>
          </w:tcPr>
          <w:p w14:paraId="75433BAE" w14:textId="77777777" w:rsidR="00C60145" w:rsidRDefault="00C60145" w:rsidP="00A32B2B">
            <w:r>
              <w:t>October 2020</w:t>
            </w:r>
          </w:p>
        </w:tc>
      </w:tr>
      <w:tr w:rsidR="00C60145" w14:paraId="23F80CE2" w14:textId="77777777" w:rsidTr="00A32B2B">
        <w:trPr>
          <w:jc w:val="center"/>
        </w:trPr>
        <w:tc>
          <w:tcPr>
            <w:tcW w:w="1924" w:type="dxa"/>
          </w:tcPr>
          <w:p w14:paraId="7D53BB71" w14:textId="77777777" w:rsidR="00C60145" w:rsidRDefault="00C60145" w:rsidP="00A32B2B">
            <w:r>
              <w:t>August 2020</w:t>
            </w:r>
          </w:p>
        </w:tc>
        <w:tc>
          <w:tcPr>
            <w:tcW w:w="1757" w:type="dxa"/>
          </w:tcPr>
          <w:p w14:paraId="104AE320" w14:textId="77777777" w:rsidR="00C60145" w:rsidRDefault="00C60145" w:rsidP="00A32B2B">
            <w:r>
              <w:t>November 2020</w:t>
            </w:r>
          </w:p>
        </w:tc>
      </w:tr>
      <w:tr w:rsidR="00C60145" w14:paraId="3C5697D3" w14:textId="77777777" w:rsidTr="00A32B2B">
        <w:trPr>
          <w:jc w:val="center"/>
        </w:trPr>
        <w:tc>
          <w:tcPr>
            <w:tcW w:w="1924" w:type="dxa"/>
          </w:tcPr>
          <w:p w14:paraId="7E12EDCC" w14:textId="77777777" w:rsidR="00C60145" w:rsidRDefault="00C60145" w:rsidP="00A32B2B">
            <w:r>
              <w:t>September 2020</w:t>
            </w:r>
          </w:p>
        </w:tc>
        <w:tc>
          <w:tcPr>
            <w:tcW w:w="1757" w:type="dxa"/>
          </w:tcPr>
          <w:p w14:paraId="3739B80D" w14:textId="77777777" w:rsidR="00C60145" w:rsidRDefault="00C60145" w:rsidP="00A32B2B">
            <w:r>
              <w:t>December 2020</w:t>
            </w:r>
          </w:p>
        </w:tc>
      </w:tr>
    </w:tbl>
    <w:p w14:paraId="610B4FF8" w14:textId="77777777" w:rsidR="00C60145" w:rsidRPr="005D442A" w:rsidRDefault="00C60145" w:rsidP="00C60145">
      <w:pPr>
        <w:pStyle w:val="Heading2"/>
        <w:rPr>
          <w:rFonts w:eastAsia="Times New Roman"/>
          <w:color w:val="323232" w:themeColor="accent1"/>
          <w:sz w:val="26"/>
          <w:szCs w:val="28"/>
        </w:rPr>
      </w:pPr>
      <w:r>
        <w:rPr>
          <w:rFonts w:eastAsia="Times New Roman"/>
          <w:color w:val="323232" w:themeColor="accent1"/>
          <w:sz w:val="26"/>
          <w:szCs w:val="28"/>
        </w:rPr>
        <w:t xml:space="preserve">Legislative provisions - temporary employment </w:t>
      </w:r>
    </w:p>
    <w:p w14:paraId="0A07C087" w14:textId="77777777" w:rsidR="00C60145" w:rsidRDefault="00C60145" w:rsidP="00C60145">
      <w:pPr>
        <w:pStyle w:val="Heading2"/>
        <w:rPr>
          <w:rFonts w:asciiTheme="minorHAnsi" w:hAnsiTheme="minorHAnsi"/>
          <w:b w:val="0"/>
          <w:color w:val="auto"/>
          <w:sz w:val="22"/>
          <w:szCs w:val="22"/>
        </w:rPr>
      </w:pPr>
      <w:r>
        <w:rPr>
          <w:rFonts w:asciiTheme="minorHAnsi" w:hAnsiTheme="minorHAnsi"/>
          <w:b w:val="0"/>
          <w:color w:val="auto"/>
          <w:sz w:val="22"/>
          <w:szCs w:val="22"/>
        </w:rPr>
        <w:t>The legislative power to engage temporary employees under 12 months is section 110(1)(a) of the PSM Act. The legislative power to engage temporary employees over 12 months but less than 5 years is section 110(1)(b) of the PSM Act. C</w:t>
      </w:r>
      <w:r w:rsidRPr="002D69B1">
        <w:rPr>
          <w:rFonts w:asciiTheme="minorHAnsi" w:hAnsiTheme="minorHAnsi"/>
          <w:b w:val="0"/>
          <w:color w:val="auto"/>
          <w:sz w:val="22"/>
          <w:szCs w:val="22"/>
        </w:rPr>
        <w:t>onsult</w:t>
      </w:r>
      <w:r>
        <w:rPr>
          <w:rFonts w:asciiTheme="minorHAnsi" w:hAnsiTheme="minorHAnsi"/>
          <w:b w:val="0"/>
          <w:color w:val="auto"/>
          <w:sz w:val="22"/>
          <w:szCs w:val="22"/>
        </w:rPr>
        <w:t>ation is required with</w:t>
      </w:r>
      <w:r w:rsidRPr="002D69B1">
        <w:rPr>
          <w:rFonts w:asciiTheme="minorHAnsi" w:hAnsiTheme="minorHAnsi"/>
          <w:b w:val="0"/>
          <w:color w:val="auto"/>
          <w:sz w:val="22"/>
          <w:szCs w:val="22"/>
        </w:rPr>
        <w:t xml:space="preserve"> the principal union about the need for the temporary</w:t>
      </w:r>
      <w:r>
        <w:rPr>
          <w:rFonts w:asciiTheme="minorHAnsi" w:hAnsiTheme="minorHAnsi"/>
          <w:b w:val="0"/>
          <w:color w:val="auto"/>
          <w:sz w:val="22"/>
          <w:szCs w:val="22"/>
        </w:rPr>
        <w:t xml:space="preserve"> employment under section 110(1)(b). CMTEDD (</w:t>
      </w:r>
      <w:r w:rsidRPr="00F03B19">
        <w:rPr>
          <w:rFonts w:asciiTheme="minorHAnsi" w:hAnsiTheme="minorHAnsi"/>
          <w:b w:val="0"/>
          <w:color w:val="auto"/>
          <w:sz w:val="22"/>
          <w:szCs w:val="22"/>
        </w:rPr>
        <w:t>Public Sector Workplace Relations</w:t>
      </w:r>
      <w:r>
        <w:rPr>
          <w:rFonts w:asciiTheme="minorHAnsi" w:hAnsiTheme="minorHAnsi"/>
          <w:b w:val="0"/>
          <w:color w:val="auto"/>
          <w:sz w:val="22"/>
          <w:szCs w:val="22"/>
        </w:rPr>
        <w:t>)</w:t>
      </w:r>
      <w:r w:rsidRPr="00F03B19">
        <w:rPr>
          <w:rFonts w:asciiTheme="minorHAnsi" w:hAnsiTheme="minorHAnsi"/>
          <w:b w:val="0"/>
          <w:color w:val="auto"/>
          <w:sz w:val="22"/>
          <w:szCs w:val="22"/>
        </w:rPr>
        <w:t xml:space="preserve"> can facilitate consultation with </w:t>
      </w:r>
      <w:r>
        <w:rPr>
          <w:rFonts w:asciiTheme="minorHAnsi" w:hAnsiTheme="minorHAnsi"/>
          <w:b w:val="0"/>
          <w:color w:val="auto"/>
          <w:sz w:val="22"/>
          <w:szCs w:val="22"/>
        </w:rPr>
        <w:t>the principal union</w:t>
      </w:r>
      <w:r w:rsidRPr="00F03B19">
        <w:rPr>
          <w:rFonts w:asciiTheme="minorHAnsi" w:hAnsiTheme="minorHAnsi"/>
          <w:b w:val="0"/>
          <w:color w:val="auto"/>
          <w:sz w:val="22"/>
          <w:szCs w:val="22"/>
        </w:rPr>
        <w:t xml:space="preserve"> </w:t>
      </w:r>
      <w:r>
        <w:rPr>
          <w:rFonts w:asciiTheme="minorHAnsi" w:hAnsiTheme="minorHAnsi"/>
          <w:b w:val="0"/>
          <w:color w:val="auto"/>
          <w:sz w:val="22"/>
          <w:szCs w:val="22"/>
        </w:rPr>
        <w:t xml:space="preserve">under section 110(1)(b) </w:t>
      </w:r>
      <w:r w:rsidRPr="00F03B19">
        <w:rPr>
          <w:rFonts w:asciiTheme="minorHAnsi" w:hAnsiTheme="minorHAnsi"/>
          <w:b w:val="0"/>
          <w:color w:val="auto"/>
          <w:sz w:val="22"/>
          <w:szCs w:val="22"/>
        </w:rPr>
        <w:t>as a group</w:t>
      </w:r>
      <w:r>
        <w:rPr>
          <w:rFonts w:asciiTheme="minorHAnsi" w:hAnsiTheme="minorHAnsi"/>
          <w:b w:val="0"/>
          <w:color w:val="auto"/>
          <w:sz w:val="22"/>
          <w:szCs w:val="22"/>
        </w:rPr>
        <w:t>.</w:t>
      </w:r>
    </w:p>
    <w:p w14:paraId="6671AFF1" w14:textId="77777777" w:rsidR="00C60145" w:rsidRPr="005D442A" w:rsidRDefault="00C60145" w:rsidP="00C60145">
      <w:pPr>
        <w:pStyle w:val="Heading2"/>
        <w:rPr>
          <w:rFonts w:eastAsia="Times New Roman"/>
          <w:color w:val="323232" w:themeColor="accent1"/>
          <w:sz w:val="26"/>
          <w:szCs w:val="28"/>
        </w:rPr>
      </w:pPr>
      <w:r>
        <w:rPr>
          <w:rFonts w:eastAsia="Times New Roman"/>
          <w:color w:val="323232" w:themeColor="accent1"/>
          <w:sz w:val="26"/>
          <w:szCs w:val="28"/>
        </w:rPr>
        <w:t>Scenarios</w:t>
      </w:r>
    </w:p>
    <w:p w14:paraId="32779388" w14:textId="77777777" w:rsidR="00C60145" w:rsidRDefault="00C60145" w:rsidP="00C60145">
      <w:pPr>
        <w:pStyle w:val="Heading2"/>
        <w:spacing w:before="100"/>
        <w:rPr>
          <w:rFonts w:asciiTheme="minorHAnsi" w:hAnsiTheme="minorHAnsi"/>
          <w:b w:val="0"/>
          <w:color w:val="auto"/>
          <w:sz w:val="22"/>
          <w:szCs w:val="22"/>
        </w:rPr>
      </w:pPr>
      <w:r w:rsidRPr="002D69B1">
        <w:rPr>
          <w:rFonts w:asciiTheme="minorHAnsi" w:hAnsiTheme="minorHAnsi"/>
          <w:b w:val="0"/>
          <w:color w:val="auto"/>
          <w:sz w:val="22"/>
          <w:szCs w:val="22"/>
        </w:rPr>
        <w:t>The table</w:t>
      </w:r>
      <w:r>
        <w:rPr>
          <w:rFonts w:asciiTheme="minorHAnsi" w:hAnsiTheme="minorHAnsi"/>
          <w:b w:val="0"/>
          <w:color w:val="auto"/>
          <w:sz w:val="22"/>
          <w:szCs w:val="22"/>
        </w:rPr>
        <w:t xml:space="preserve"> below outlines some examples to outline how contracts can be extended to implement the Government’s commitment:</w:t>
      </w:r>
    </w:p>
    <w:tbl>
      <w:tblPr>
        <w:tblStyle w:val="TableGrid"/>
        <w:tblW w:w="0" w:type="auto"/>
        <w:tblLook w:val="04A0" w:firstRow="1" w:lastRow="0" w:firstColumn="1" w:lastColumn="0" w:noHBand="0" w:noVBand="1"/>
      </w:tblPr>
      <w:tblGrid>
        <w:gridCol w:w="3114"/>
        <w:gridCol w:w="6237"/>
      </w:tblGrid>
      <w:tr w:rsidR="00C60145" w:rsidRPr="00113FB0" w14:paraId="096B484B" w14:textId="77777777" w:rsidTr="00A32B2B">
        <w:tc>
          <w:tcPr>
            <w:tcW w:w="3114" w:type="dxa"/>
          </w:tcPr>
          <w:p w14:paraId="3063A039" w14:textId="77777777" w:rsidR="00C60145" w:rsidRPr="00113FB0" w:rsidRDefault="00C60145" w:rsidP="00A32B2B">
            <w:pPr>
              <w:rPr>
                <w:b/>
              </w:rPr>
            </w:pPr>
            <w:r>
              <w:rPr>
                <w:b/>
              </w:rPr>
              <w:t>Legislative e</w:t>
            </w:r>
            <w:r w:rsidRPr="00113FB0">
              <w:rPr>
                <w:b/>
              </w:rPr>
              <w:t>mployment power</w:t>
            </w:r>
          </w:p>
        </w:tc>
        <w:tc>
          <w:tcPr>
            <w:tcW w:w="6237" w:type="dxa"/>
          </w:tcPr>
          <w:p w14:paraId="7906800C" w14:textId="77777777" w:rsidR="00C60145" w:rsidRPr="00113FB0" w:rsidRDefault="00C60145" w:rsidP="00A32B2B">
            <w:pPr>
              <w:rPr>
                <w:b/>
              </w:rPr>
            </w:pPr>
            <w:r>
              <w:rPr>
                <w:b/>
              </w:rPr>
              <w:t>Scenarios</w:t>
            </w:r>
          </w:p>
        </w:tc>
      </w:tr>
      <w:tr w:rsidR="00C60145" w14:paraId="2B00A912" w14:textId="77777777" w:rsidTr="00A32B2B">
        <w:tc>
          <w:tcPr>
            <w:tcW w:w="3114" w:type="dxa"/>
          </w:tcPr>
          <w:p w14:paraId="73C12981" w14:textId="77777777" w:rsidR="00C60145" w:rsidRDefault="00C60145" w:rsidP="00A32B2B">
            <w:r>
              <w:t xml:space="preserve">Section 110(1)(a): less than </w:t>
            </w:r>
          </w:p>
          <w:p w14:paraId="546225E9" w14:textId="77777777" w:rsidR="00C60145" w:rsidRDefault="00C60145" w:rsidP="00A32B2B">
            <w:r>
              <w:t>12 months</w:t>
            </w:r>
          </w:p>
        </w:tc>
        <w:tc>
          <w:tcPr>
            <w:tcW w:w="6237" w:type="dxa"/>
          </w:tcPr>
          <w:p w14:paraId="545532C9" w14:textId="77777777" w:rsidR="00C60145" w:rsidRPr="00113FB0" w:rsidRDefault="00C60145" w:rsidP="00A32B2B">
            <w:pPr>
              <w:rPr>
                <w:b/>
              </w:rPr>
            </w:pPr>
            <w:r>
              <w:rPr>
                <w:b/>
              </w:rPr>
              <w:t>Scenario</w:t>
            </w:r>
            <w:r w:rsidRPr="00113FB0">
              <w:rPr>
                <w:b/>
              </w:rPr>
              <w:t xml:space="preserve"> 1</w:t>
            </w:r>
          </w:p>
          <w:p w14:paraId="638A2C5F" w14:textId="77777777" w:rsidR="00C60145" w:rsidRPr="003E17A8" w:rsidRDefault="00C60145" w:rsidP="00C60145">
            <w:pPr>
              <w:pStyle w:val="ListParagraph"/>
              <w:numPr>
                <w:ilvl w:val="0"/>
                <w:numId w:val="19"/>
              </w:numPr>
            </w:pPr>
            <w:r w:rsidRPr="003E17A8">
              <w:t>No merit</w:t>
            </w:r>
            <w:r>
              <w:t xml:space="preserve"> process </w:t>
            </w:r>
            <w:r w:rsidRPr="003E17A8">
              <w:t xml:space="preserve">was undertaken for an individual who was offered a temporary contract of 5 months.  </w:t>
            </w:r>
          </w:p>
          <w:p w14:paraId="46D5332B" w14:textId="77777777" w:rsidR="00C60145" w:rsidRPr="003E17A8" w:rsidRDefault="00C60145" w:rsidP="00C60145">
            <w:pPr>
              <w:pStyle w:val="ListParagraph"/>
              <w:numPr>
                <w:ilvl w:val="0"/>
                <w:numId w:val="19"/>
              </w:numPr>
            </w:pPr>
            <w:r w:rsidRPr="003E17A8">
              <w:t xml:space="preserve">Government is offering a </w:t>
            </w:r>
            <w:proofErr w:type="gramStart"/>
            <w:r w:rsidRPr="003E17A8">
              <w:t>3 month</w:t>
            </w:r>
            <w:proofErr w:type="gramEnd"/>
            <w:r w:rsidRPr="003E17A8">
              <w:t xml:space="preserve"> extension (cumulative period of 8 months)</w:t>
            </w:r>
            <w:r>
              <w:t>.</w:t>
            </w:r>
          </w:p>
          <w:p w14:paraId="7C18DFB8" w14:textId="77777777" w:rsidR="00C60145" w:rsidRDefault="00C60145" w:rsidP="00A32B2B"/>
          <w:p w14:paraId="614B93A6" w14:textId="77777777" w:rsidR="00C60145" w:rsidRPr="00113FB0" w:rsidRDefault="00C60145" w:rsidP="00A32B2B">
            <w:pPr>
              <w:rPr>
                <w:u w:val="single"/>
              </w:rPr>
            </w:pPr>
            <w:r w:rsidRPr="00113FB0">
              <w:rPr>
                <w:u w:val="single"/>
              </w:rPr>
              <w:t>Solution:</w:t>
            </w:r>
          </w:p>
          <w:p w14:paraId="2B6C203F" w14:textId="77777777" w:rsidR="00C60145" w:rsidRPr="00F76825" w:rsidRDefault="00C60145" w:rsidP="00C60145">
            <w:pPr>
              <w:pStyle w:val="ListParagraph"/>
              <w:numPr>
                <w:ilvl w:val="0"/>
                <w:numId w:val="20"/>
              </w:numPr>
            </w:pPr>
            <w:r>
              <w:t>Offer</w:t>
            </w:r>
            <w:r w:rsidRPr="003E17A8">
              <w:t xml:space="preserve"> the individual</w:t>
            </w:r>
            <w:r>
              <w:t xml:space="preserve"> a new contract for 3 months </w:t>
            </w:r>
            <w:r w:rsidRPr="003E17A8">
              <w:t>(without a merit process)</w:t>
            </w:r>
            <w:r>
              <w:t xml:space="preserve"> commencing the day after the previous contract</w:t>
            </w:r>
            <w:r w:rsidRPr="003E17A8">
              <w:t>.</w:t>
            </w:r>
            <w:r w:rsidRPr="00F76825">
              <w:br/>
            </w:r>
          </w:p>
          <w:p w14:paraId="6E1DDBAA" w14:textId="77777777" w:rsidR="00C60145" w:rsidRPr="00F76825" w:rsidRDefault="00C60145" w:rsidP="00A32B2B">
            <w:r w:rsidRPr="00F76825">
              <w:rPr>
                <w:b/>
              </w:rPr>
              <w:t>Scenario 2</w:t>
            </w:r>
          </w:p>
          <w:p w14:paraId="0A80ED3E" w14:textId="77777777" w:rsidR="00C60145" w:rsidRPr="003E17A8" w:rsidRDefault="00C60145" w:rsidP="00C60145">
            <w:pPr>
              <w:pStyle w:val="ListParagraph"/>
              <w:numPr>
                <w:ilvl w:val="0"/>
                <w:numId w:val="20"/>
              </w:numPr>
            </w:pPr>
            <w:r w:rsidRPr="003E17A8">
              <w:t xml:space="preserve">No merit </w:t>
            </w:r>
            <w:r>
              <w:t xml:space="preserve">process </w:t>
            </w:r>
            <w:r w:rsidRPr="003E17A8">
              <w:t xml:space="preserve">was undertaken for an individual who was offered a temporary contract of 11 months.  </w:t>
            </w:r>
          </w:p>
          <w:p w14:paraId="0F1A06F8" w14:textId="77777777" w:rsidR="00C60145" w:rsidRPr="003E17A8" w:rsidRDefault="00C60145" w:rsidP="00C60145">
            <w:pPr>
              <w:pStyle w:val="ListParagraph"/>
              <w:numPr>
                <w:ilvl w:val="0"/>
                <w:numId w:val="20"/>
              </w:numPr>
            </w:pPr>
            <w:r w:rsidRPr="003E17A8">
              <w:t xml:space="preserve">Government is offering a </w:t>
            </w:r>
            <w:proofErr w:type="gramStart"/>
            <w:r w:rsidRPr="003E17A8">
              <w:t>3 month</w:t>
            </w:r>
            <w:proofErr w:type="gramEnd"/>
            <w:r w:rsidRPr="003E17A8">
              <w:t xml:space="preserve"> extension (cumulative period of 14 months)</w:t>
            </w:r>
            <w:r>
              <w:t>.</w:t>
            </w:r>
          </w:p>
          <w:p w14:paraId="748A0858" w14:textId="77777777" w:rsidR="00C60145" w:rsidRPr="00113FB0" w:rsidRDefault="00C60145" w:rsidP="00A32B2B">
            <w:pPr>
              <w:rPr>
                <w:u w:val="single"/>
              </w:rPr>
            </w:pPr>
            <w:r w:rsidRPr="00113FB0">
              <w:rPr>
                <w:u w:val="single"/>
              </w:rPr>
              <w:t>Solution:</w:t>
            </w:r>
          </w:p>
          <w:p w14:paraId="6E6F1745" w14:textId="77777777" w:rsidR="00C60145" w:rsidRPr="00F76825" w:rsidRDefault="00C60145" w:rsidP="00C60145">
            <w:pPr>
              <w:pStyle w:val="ListParagraph"/>
              <w:numPr>
                <w:ilvl w:val="0"/>
                <w:numId w:val="21"/>
              </w:numPr>
            </w:pPr>
            <w:r>
              <w:t xml:space="preserve">Extend </w:t>
            </w:r>
            <w:r w:rsidRPr="003E17A8">
              <w:t>the individual</w:t>
            </w:r>
            <w:r>
              <w:t xml:space="preserve">’s contract for 3 months (without a merit process) </w:t>
            </w:r>
            <w:r w:rsidRPr="005B4F56">
              <w:t>commencing the day after the previous contract</w:t>
            </w:r>
            <w:r w:rsidRPr="003E17A8">
              <w:rPr>
                <w:b/>
              </w:rPr>
              <w:t>.</w:t>
            </w:r>
            <w:r>
              <w:rPr>
                <w:b/>
              </w:rPr>
              <w:t xml:space="preserve"> </w:t>
            </w:r>
          </w:p>
          <w:p w14:paraId="36DCA349" w14:textId="77777777" w:rsidR="00C60145" w:rsidRDefault="00C60145" w:rsidP="00A32B2B"/>
          <w:p w14:paraId="4970ECAE" w14:textId="77777777" w:rsidR="00C60145" w:rsidRPr="00113FB0" w:rsidRDefault="00C60145" w:rsidP="00A32B2B">
            <w:pPr>
              <w:rPr>
                <w:b/>
              </w:rPr>
            </w:pPr>
            <w:r>
              <w:rPr>
                <w:b/>
              </w:rPr>
              <w:t>Scenario</w:t>
            </w:r>
            <w:r w:rsidRPr="00113FB0">
              <w:rPr>
                <w:b/>
              </w:rPr>
              <w:t xml:space="preserve"> </w:t>
            </w:r>
            <w:r>
              <w:rPr>
                <w:b/>
              </w:rPr>
              <w:t>3</w:t>
            </w:r>
          </w:p>
          <w:p w14:paraId="0C349BCB" w14:textId="77777777" w:rsidR="00C60145" w:rsidRPr="003E17A8" w:rsidRDefault="00C60145" w:rsidP="00C60145">
            <w:pPr>
              <w:pStyle w:val="ListParagraph"/>
              <w:numPr>
                <w:ilvl w:val="0"/>
                <w:numId w:val="20"/>
              </w:numPr>
            </w:pPr>
            <w:r>
              <w:t>A</w:t>
            </w:r>
            <w:r w:rsidRPr="003E17A8">
              <w:t xml:space="preserve"> merit </w:t>
            </w:r>
            <w:r>
              <w:t xml:space="preserve">process </w:t>
            </w:r>
            <w:r w:rsidRPr="003E17A8">
              <w:t xml:space="preserve">was undertaken for an individual who was offered a temporary contract of 11 months.  </w:t>
            </w:r>
          </w:p>
          <w:p w14:paraId="59496049" w14:textId="77777777" w:rsidR="00C60145" w:rsidRPr="003E17A8" w:rsidRDefault="00C60145" w:rsidP="00C60145">
            <w:pPr>
              <w:pStyle w:val="ListParagraph"/>
              <w:numPr>
                <w:ilvl w:val="0"/>
                <w:numId w:val="20"/>
              </w:numPr>
            </w:pPr>
            <w:r w:rsidRPr="003E17A8">
              <w:t xml:space="preserve">Government is offering a </w:t>
            </w:r>
            <w:proofErr w:type="gramStart"/>
            <w:r w:rsidRPr="003E17A8">
              <w:t>3 month</w:t>
            </w:r>
            <w:proofErr w:type="gramEnd"/>
            <w:r w:rsidRPr="003E17A8">
              <w:t xml:space="preserve"> extension (cumulative period of </w:t>
            </w:r>
            <w:r w:rsidRPr="003E17A8">
              <w:lastRenderedPageBreak/>
              <w:t>14 months)</w:t>
            </w:r>
            <w:r>
              <w:t>.</w:t>
            </w:r>
          </w:p>
          <w:p w14:paraId="6EFFAA6E" w14:textId="77777777" w:rsidR="00C60145" w:rsidRDefault="00C60145" w:rsidP="00A32B2B"/>
          <w:p w14:paraId="613A3CF6" w14:textId="77777777" w:rsidR="00C60145" w:rsidRPr="00113FB0" w:rsidRDefault="00C60145" w:rsidP="00A32B2B">
            <w:pPr>
              <w:rPr>
                <w:u w:val="single"/>
              </w:rPr>
            </w:pPr>
            <w:r w:rsidRPr="00113FB0">
              <w:rPr>
                <w:u w:val="single"/>
              </w:rPr>
              <w:t>Solution:</w:t>
            </w:r>
          </w:p>
          <w:p w14:paraId="1241A514" w14:textId="77777777" w:rsidR="00C60145" w:rsidRPr="00342FA7" w:rsidRDefault="00C60145" w:rsidP="00C60145">
            <w:pPr>
              <w:pStyle w:val="ListParagraph"/>
              <w:numPr>
                <w:ilvl w:val="0"/>
                <w:numId w:val="21"/>
              </w:numPr>
            </w:pPr>
            <w:r>
              <w:t xml:space="preserve">Extend </w:t>
            </w:r>
            <w:r w:rsidRPr="003E17A8">
              <w:t>the individual</w:t>
            </w:r>
            <w:r>
              <w:t xml:space="preserve">’s contract for 3 months (without a merit process) </w:t>
            </w:r>
            <w:r w:rsidRPr="005B4F56">
              <w:t>commencing the day after the previous contract</w:t>
            </w:r>
            <w:r w:rsidRPr="003E17A8">
              <w:rPr>
                <w:b/>
              </w:rPr>
              <w:t>.</w:t>
            </w:r>
            <w:r>
              <w:rPr>
                <w:b/>
              </w:rPr>
              <w:t xml:space="preserve"> </w:t>
            </w:r>
          </w:p>
          <w:p w14:paraId="7B669F78" w14:textId="77777777" w:rsidR="00C60145" w:rsidRPr="00F76825" w:rsidRDefault="00C60145" w:rsidP="00A32B2B"/>
        </w:tc>
      </w:tr>
      <w:tr w:rsidR="00C60145" w14:paraId="5B1A7E7C" w14:textId="77777777" w:rsidTr="00A32B2B">
        <w:tc>
          <w:tcPr>
            <w:tcW w:w="3114" w:type="dxa"/>
          </w:tcPr>
          <w:p w14:paraId="5362CF5C" w14:textId="77777777" w:rsidR="00C60145" w:rsidRDefault="00C60145" w:rsidP="00C60145">
            <w:pPr>
              <w:pStyle w:val="ListParagraph"/>
              <w:numPr>
                <w:ilvl w:val="0"/>
                <w:numId w:val="21"/>
              </w:numPr>
            </w:pPr>
            <w:r>
              <w:lastRenderedPageBreak/>
              <w:t>Section 110(1)(b): 12 months to 5 years</w:t>
            </w:r>
          </w:p>
        </w:tc>
        <w:tc>
          <w:tcPr>
            <w:tcW w:w="6237" w:type="dxa"/>
          </w:tcPr>
          <w:p w14:paraId="10B9E2A1" w14:textId="77777777" w:rsidR="00C60145" w:rsidRPr="002B0803" w:rsidRDefault="00C60145" w:rsidP="00A32B2B">
            <w:pPr>
              <w:rPr>
                <w:b/>
              </w:rPr>
            </w:pPr>
            <w:r w:rsidRPr="002B0803">
              <w:rPr>
                <w:b/>
              </w:rPr>
              <w:t>Scenario 4</w:t>
            </w:r>
          </w:p>
          <w:p w14:paraId="4637E4AC" w14:textId="77777777" w:rsidR="00C60145" w:rsidRPr="003E17A8" w:rsidRDefault="00C60145" w:rsidP="00C60145">
            <w:pPr>
              <w:pStyle w:val="ListParagraph"/>
              <w:numPr>
                <w:ilvl w:val="0"/>
                <w:numId w:val="21"/>
              </w:numPr>
            </w:pPr>
            <w:r>
              <w:t>A m</w:t>
            </w:r>
            <w:r w:rsidRPr="003E17A8">
              <w:t>erit</w:t>
            </w:r>
            <w:r>
              <w:t xml:space="preserve"> process was</w:t>
            </w:r>
            <w:r w:rsidRPr="003E17A8">
              <w:t xml:space="preserve"> undertaken to offer an individual a temporary contract for 2 years.  Contract is ending between April 2020 and September 2020.</w:t>
            </w:r>
          </w:p>
          <w:p w14:paraId="694C7E70" w14:textId="77777777" w:rsidR="00C60145" w:rsidRDefault="00C60145" w:rsidP="00C60145">
            <w:pPr>
              <w:pStyle w:val="ListParagraph"/>
              <w:numPr>
                <w:ilvl w:val="0"/>
                <w:numId w:val="22"/>
              </w:numPr>
            </w:pPr>
            <w:r w:rsidRPr="003E17A8">
              <w:t xml:space="preserve">Government is offering a </w:t>
            </w:r>
            <w:proofErr w:type="gramStart"/>
            <w:r w:rsidRPr="003E17A8">
              <w:t>3 month</w:t>
            </w:r>
            <w:proofErr w:type="gramEnd"/>
            <w:r w:rsidRPr="003E17A8">
              <w:t xml:space="preserve"> extension (cumulative period of 2 years and 3 months)</w:t>
            </w:r>
            <w:r>
              <w:t>.</w:t>
            </w:r>
          </w:p>
          <w:p w14:paraId="369B745E" w14:textId="77777777" w:rsidR="00C60145" w:rsidRPr="003E17A8" w:rsidRDefault="00C60145" w:rsidP="00C60145">
            <w:pPr>
              <w:pStyle w:val="ListParagraph"/>
              <w:numPr>
                <w:ilvl w:val="0"/>
                <w:numId w:val="22"/>
              </w:numPr>
            </w:pPr>
            <w:r>
              <w:t>This scenario assumes that consultation with the principal union had previously occurred as required under section 110(1)(b).</w:t>
            </w:r>
          </w:p>
          <w:p w14:paraId="04CC0049" w14:textId="77777777" w:rsidR="00C60145" w:rsidRDefault="00C60145" w:rsidP="00A32B2B"/>
          <w:p w14:paraId="2133A499" w14:textId="77777777" w:rsidR="00C60145" w:rsidRPr="00113FB0" w:rsidRDefault="00C60145" w:rsidP="00A32B2B">
            <w:pPr>
              <w:rPr>
                <w:u w:val="single"/>
              </w:rPr>
            </w:pPr>
            <w:r w:rsidRPr="00113FB0">
              <w:rPr>
                <w:u w:val="single"/>
              </w:rPr>
              <w:t>Solution:</w:t>
            </w:r>
          </w:p>
          <w:p w14:paraId="553E3E46" w14:textId="77777777" w:rsidR="00C60145" w:rsidRPr="003E17A8" w:rsidRDefault="00C60145" w:rsidP="00C60145">
            <w:pPr>
              <w:pStyle w:val="ListParagraph"/>
              <w:numPr>
                <w:ilvl w:val="0"/>
                <w:numId w:val="22"/>
              </w:numPr>
            </w:pPr>
            <w:r>
              <w:t>Extend</w:t>
            </w:r>
            <w:r w:rsidRPr="003E17A8">
              <w:t xml:space="preserve"> the individual</w:t>
            </w:r>
            <w:r>
              <w:t>’s contract</w:t>
            </w:r>
            <w:r w:rsidRPr="003E17A8">
              <w:t xml:space="preserve"> for 3 months</w:t>
            </w:r>
            <w:r>
              <w:t xml:space="preserve"> (without a further merit process) </w:t>
            </w:r>
            <w:r w:rsidRPr="005B4F56">
              <w:t>commencing the day after the previous contract</w:t>
            </w:r>
            <w:r>
              <w:t xml:space="preserve">. </w:t>
            </w:r>
            <w:r>
              <w:br/>
            </w:r>
            <w:r w:rsidRPr="005B4F56">
              <w:rPr>
                <w:i/>
              </w:rPr>
              <w:t>NB: the contract is still within the maximum limit of 5 years.</w:t>
            </w:r>
          </w:p>
          <w:p w14:paraId="4FE7E237" w14:textId="77777777" w:rsidR="00C60145" w:rsidRDefault="00C60145" w:rsidP="00A32B2B"/>
          <w:p w14:paraId="0DDE2935" w14:textId="77777777" w:rsidR="00C60145" w:rsidRPr="00113FB0" w:rsidRDefault="00C60145" w:rsidP="00A32B2B">
            <w:pPr>
              <w:rPr>
                <w:b/>
              </w:rPr>
            </w:pPr>
            <w:r>
              <w:rPr>
                <w:b/>
              </w:rPr>
              <w:t>Scenario</w:t>
            </w:r>
            <w:r w:rsidRPr="00113FB0">
              <w:rPr>
                <w:b/>
              </w:rPr>
              <w:t xml:space="preserve"> </w:t>
            </w:r>
            <w:r>
              <w:rPr>
                <w:b/>
              </w:rPr>
              <w:t>5</w:t>
            </w:r>
          </w:p>
          <w:p w14:paraId="1EDF85D6" w14:textId="77777777" w:rsidR="00C60145" w:rsidRPr="003E17A8" w:rsidRDefault="00C60145" w:rsidP="00C60145">
            <w:pPr>
              <w:pStyle w:val="ListParagraph"/>
              <w:numPr>
                <w:ilvl w:val="0"/>
                <w:numId w:val="22"/>
              </w:numPr>
            </w:pPr>
            <w:r>
              <w:t>A m</w:t>
            </w:r>
            <w:r w:rsidRPr="003E17A8">
              <w:t>erit</w:t>
            </w:r>
            <w:r>
              <w:t xml:space="preserve"> process was</w:t>
            </w:r>
            <w:r w:rsidRPr="003E17A8">
              <w:t xml:space="preserve"> undertaken to offer an individual a temporary contract for 5 years.  Contract is ending between April 2020 and September 2020.</w:t>
            </w:r>
          </w:p>
          <w:p w14:paraId="001E2356" w14:textId="77777777" w:rsidR="00C60145" w:rsidRDefault="00C60145" w:rsidP="00C60145">
            <w:pPr>
              <w:pStyle w:val="ListParagraph"/>
              <w:numPr>
                <w:ilvl w:val="0"/>
                <w:numId w:val="22"/>
              </w:numPr>
            </w:pPr>
            <w:r w:rsidRPr="003E17A8">
              <w:t xml:space="preserve">Government is offering a </w:t>
            </w:r>
            <w:proofErr w:type="gramStart"/>
            <w:r w:rsidRPr="003E17A8">
              <w:t>3 month</w:t>
            </w:r>
            <w:proofErr w:type="gramEnd"/>
            <w:r w:rsidRPr="003E17A8">
              <w:t xml:space="preserve"> extension (cumulative period of 5 years and 3 months)</w:t>
            </w:r>
            <w:r>
              <w:t>.</w:t>
            </w:r>
          </w:p>
          <w:p w14:paraId="1F3E3D63" w14:textId="77777777" w:rsidR="00C60145" w:rsidRDefault="00C60145" w:rsidP="00C60145">
            <w:pPr>
              <w:pStyle w:val="ListParagraph"/>
              <w:numPr>
                <w:ilvl w:val="0"/>
                <w:numId w:val="22"/>
              </w:numPr>
            </w:pPr>
            <w:r>
              <w:t>This scenario assumes that consultation with the principal union had previously occurred as required under section 110(1)(b).</w:t>
            </w:r>
          </w:p>
          <w:p w14:paraId="31C5B9B6" w14:textId="77777777" w:rsidR="00C60145" w:rsidRPr="005B4F56" w:rsidRDefault="00C60145" w:rsidP="00A32B2B">
            <w:pPr>
              <w:pStyle w:val="ListParagraph"/>
              <w:ind w:left="360"/>
              <w:rPr>
                <w:i/>
              </w:rPr>
            </w:pPr>
            <w:r w:rsidRPr="005B4F56">
              <w:rPr>
                <w:i/>
              </w:rPr>
              <w:t xml:space="preserve">NB: there is no legislative authority to extend a contract beyond </w:t>
            </w:r>
            <w:r>
              <w:rPr>
                <w:i/>
              </w:rPr>
              <w:br/>
            </w:r>
            <w:r w:rsidRPr="005B4F56">
              <w:rPr>
                <w:i/>
              </w:rPr>
              <w:t>5 years.</w:t>
            </w:r>
          </w:p>
          <w:p w14:paraId="09724C91" w14:textId="77777777" w:rsidR="00C60145" w:rsidRDefault="00C60145" w:rsidP="00A32B2B"/>
          <w:p w14:paraId="00F01B2A" w14:textId="77777777" w:rsidR="00C60145" w:rsidRPr="00113FB0" w:rsidRDefault="00C60145" w:rsidP="00A32B2B">
            <w:pPr>
              <w:rPr>
                <w:u w:val="single"/>
              </w:rPr>
            </w:pPr>
            <w:r w:rsidRPr="00113FB0">
              <w:rPr>
                <w:u w:val="single"/>
              </w:rPr>
              <w:t>Solution:</w:t>
            </w:r>
          </w:p>
          <w:p w14:paraId="164ECE7C" w14:textId="77777777" w:rsidR="00C60145" w:rsidRDefault="00C60145" w:rsidP="00C60145">
            <w:pPr>
              <w:pStyle w:val="ListParagraph"/>
              <w:numPr>
                <w:ilvl w:val="0"/>
                <w:numId w:val="22"/>
              </w:numPr>
            </w:pPr>
            <w:r>
              <w:t>The individual would need to have a minimum break of 1 day and then the Territory o</w:t>
            </w:r>
            <w:r w:rsidRPr="005B4F56">
              <w:t>ffer</w:t>
            </w:r>
            <w:r>
              <w:t>s</w:t>
            </w:r>
            <w:r w:rsidRPr="005B4F56">
              <w:t xml:space="preserve"> a temporary contract under section </w:t>
            </w:r>
            <w:r w:rsidRPr="00A56552">
              <w:t>110(1)(a)</w:t>
            </w:r>
            <w:r w:rsidRPr="005B4F56">
              <w:t xml:space="preserve"> for 3 months without a merit process.</w:t>
            </w:r>
          </w:p>
          <w:p w14:paraId="019C0FE5" w14:textId="212E7C55" w:rsidR="00C60145" w:rsidRPr="00863D64" w:rsidRDefault="00C60145" w:rsidP="00863D64">
            <w:pPr>
              <w:pStyle w:val="ListParagraph"/>
              <w:numPr>
                <w:ilvl w:val="0"/>
                <w:numId w:val="22"/>
              </w:numPr>
            </w:pPr>
            <w:r>
              <w:t xml:space="preserve">Given the extraordinary circumstances of the COVID-19 pandemic and the Government’s policy decision to extend existing temporary contracts for 3 months, under section 88 of the PSM Standards 2016, if asked by the public servant, the head of service may state that the employee’s prior employment is eligible employment. This would ensure that the employee’s personal leave and annual leave accruals are </w:t>
            </w:r>
            <w:proofErr w:type="spellStart"/>
            <w:r>
              <w:t>recognised</w:t>
            </w:r>
            <w:proofErr w:type="spellEnd"/>
            <w:r>
              <w:t xml:space="preserve"> and rolled over. Prior service for long service leave purposes can be </w:t>
            </w:r>
            <w:proofErr w:type="spellStart"/>
            <w:r>
              <w:t>recognised</w:t>
            </w:r>
            <w:proofErr w:type="spellEnd"/>
            <w:r>
              <w:t xml:space="preserve"> under section 64 of the PSM Standard 2006 (repealed). </w:t>
            </w:r>
          </w:p>
        </w:tc>
      </w:tr>
    </w:tbl>
    <w:p w14:paraId="377CFFA3" w14:textId="77777777" w:rsidR="00C60145" w:rsidRPr="00C60145" w:rsidRDefault="00C60145" w:rsidP="00C60145"/>
    <w:sectPr w:rsidR="00C60145" w:rsidRPr="00C60145" w:rsidSect="00164B4A">
      <w:type w:val="continuous"/>
      <w:pgSz w:w="11906" w:h="16838" w:code="9"/>
      <w:pgMar w:top="1276" w:right="1418" w:bottom="426" w:left="851" w:header="567"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3770" w14:textId="77777777" w:rsidR="00D4303F" w:rsidRDefault="00D4303F" w:rsidP="00665B9F">
      <w:pPr>
        <w:spacing w:after="0" w:line="240" w:lineRule="auto"/>
      </w:pPr>
      <w:r>
        <w:separator/>
      </w:r>
    </w:p>
  </w:endnote>
  <w:endnote w:type="continuationSeparator" w:id="0">
    <w:p w14:paraId="131710C0" w14:textId="77777777" w:rsidR="00D4303F" w:rsidRDefault="00D4303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33CA" w14:textId="24E8A952" w:rsidR="00D675CB" w:rsidRPr="00863D64" w:rsidRDefault="00D675CB" w:rsidP="00D675CB">
    <w:pPr>
      <w:rPr>
        <w:rStyle w:val="Emphasis"/>
        <w:i w:val="0"/>
        <w:iCs w:val="0"/>
      </w:rPr>
    </w:pPr>
    <w:r w:rsidRPr="00863D64">
      <w:rPr>
        <w:rStyle w:val="Emphasis"/>
        <w:i w:val="0"/>
        <w:iCs w:val="0"/>
        <w:noProof/>
      </w:rPr>
      <mc:AlternateContent>
        <mc:Choice Requires="wps">
          <w:drawing>
            <wp:anchor distT="0" distB="0" distL="114300" distR="114300" simplePos="0" relativeHeight="251659776" behindDoc="0" locked="0" layoutInCell="1" allowOverlap="1" wp14:anchorId="7EB71A2B" wp14:editId="5173EF23">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941B" w14:textId="77777777" w:rsidR="00D675CB" w:rsidRPr="004C2E98" w:rsidRDefault="00D675CB"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71A2B"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14:paraId="7C2F941B" w14:textId="77777777" w:rsidR="00D675CB" w:rsidRPr="004C2E98" w:rsidRDefault="00D675CB"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00863D64" w:rsidRPr="00863D64">
      <w:rPr>
        <w:rStyle w:val="Emphasis"/>
        <w:i w:val="0"/>
        <w:iCs w:val="0"/>
      </w:rPr>
      <w:t xml:space="preserve">Date Modified: </w:t>
    </w:r>
    <w:r w:rsidR="00863D64">
      <w:rPr>
        <w:rStyle w:val="Emphasis"/>
        <w:i w:val="0"/>
        <w:iCs w:val="0"/>
      </w:rPr>
      <w:t>30 April 2020</w:t>
    </w:r>
    <w:r w:rsidR="00863D64" w:rsidRPr="00863D64">
      <w:rPr>
        <w:rStyle w:val="Emphasis"/>
        <w:i w:val="0"/>
        <w:iCs w:val="0"/>
      </w:rPr>
      <w:tab/>
    </w:r>
    <w:r w:rsidR="00863D64" w:rsidRPr="00863D64">
      <w:rPr>
        <w:rStyle w:val="Emphasis"/>
        <w:i w:val="0"/>
        <w:iCs w:val="0"/>
      </w:rPr>
      <w:tab/>
    </w:r>
    <w:r w:rsidR="00863D64" w:rsidRPr="00863D64">
      <w:rPr>
        <w:rStyle w:val="Emphasis"/>
        <w:i w:val="0"/>
        <w:iCs w:val="0"/>
      </w:rPr>
      <w:tab/>
    </w:r>
    <w:r w:rsidR="00863D64" w:rsidRPr="00863D64">
      <w:rPr>
        <w:rStyle w:val="Emphasis"/>
        <w:i w:val="0"/>
        <w:iCs w:val="0"/>
      </w:rPr>
      <w:tab/>
    </w:r>
    <w:r w:rsidR="00863D64" w:rsidRPr="00863D64">
      <w:rPr>
        <w:rStyle w:val="Emphasis"/>
        <w:i w:val="0"/>
        <w:iCs w:val="0"/>
      </w:rPr>
      <w:tab/>
      <w:t>Published By: Public Sector Management, CMTEDD</w:t>
    </w:r>
    <w:r w:rsidRPr="00863D64">
      <w:rPr>
        <w:rStyle w:val="Emphasis"/>
        <w:i w:val="0"/>
        <w:iCs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008" w14:textId="77777777" w:rsidR="00D675CB" w:rsidRPr="00662096" w:rsidRDefault="00D675CB" w:rsidP="00662096">
    <w:pPr>
      <w:rPr>
        <w:color w:val="FFFFFF" w:themeColor="background1"/>
      </w:rPr>
    </w:pPr>
    <w:r>
      <w:rPr>
        <w:noProof/>
      </w:rPr>
      <mc:AlternateContent>
        <mc:Choice Requires="wps">
          <w:drawing>
            <wp:anchor distT="0" distB="0" distL="114300" distR="114300" simplePos="0" relativeHeight="251658752" behindDoc="0" locked="0" layoutInCell="1" allowOverlap="1" wp14:anchorId="0EF4D8E7" wp14:editId="6231DEBF">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8F6D" w14:textId="77777777" w:rsidR="00D675CB" w:rsidRPr="004C2E98" w:rsidRDefault="00D675CB"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D8E7" id="_x0000_t202" coordsize="21600,21600" o:spt="202" path="m,l,21600r21600,l21600,xe">
              <v:stroke joinstyle="miter"/>
              <v:path gradientshapeok="t" o:connecttype="rect"/>
            </v:shapetype>
            <v:shape id="_x0000_s1028" type="#_x0000_t202" style="position:absolute;margin-left:239.95pt;margin-top:10.9pt;width:287pt;height: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14:paraId="03588F6D" w14:textId="77777777" w:rsidR="00D675CB" w:rsidRPr="004C2E98" w:rsidRDefault="00D675CB"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5E663A0D" w14:textId="77777777" w:rsidR="00D675CB" w:rsidRDefault="00D675CB">
    <w:pPr>
      <w:pStyle w:val="Footer"/>
    </w:pPr>
    <w:r>
      <w:rPr>
        <w:noProof/>
      </w:rPr>
      <mc:AlternateContent>
        <mc:Choice Requires="wps">
          <w:drawing>
            <wp:anchor distT="0" distB="0" distL="114300" distR="114300" simplePos="0" relativeHeight="251657728" behindDoc="1" locked="0" layoutInCell="1" allowOverlap="1" wp14:anchorId="2E3B3482" wp14:editId="41CD2B77">
              <wp:simplePos x="0" y="0"/>
              <wp:positionH relativeFrom="column">
                <wp:posOffset>316865</wp:posOffset>
              </wp:positionH>
              <wp:positionV relativeFrom="page">
                <wp:posOffset>10182225</wp:posOffset>
              </wp:positionV>
              <wp:extent cx="171450" cy="171450"/>
              <wp:effectExtent l="0" t="0" r="0" b="0"/>
              <wp:wrapNone/>
              <wp:docPr id="8" name="Rectangle 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BDC65" id="Rectangle 8" o:spid="_x0000_s1026" href="https://au.linkedin.com/company/act-government" style="position:absolute;margin-left:24.95pt;margin-top:801.75pt;width:13.5pt;height:13.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6704" behindDoc="1" locked="0" layoutInCell="1" allowOverlap="1" wp14:anchorId="0CB15C5D" wp14:editId="7709485F">
              <wp:simplePos x="0" y="0"/>
              <wp:positionH relativeFrom="column">
                <wp:posOffset>112077</wp:posOffset>
              </wp:positionH>
              <wp:positionV relativeFrom="page">
                <wp:posOffset>10182225</wp:posOffset>
              </wp:positionV>
              <wp:extent cx="171450" cy="171450"/>
              <wp:effectExtent l="0" t="0" r="0" b="0"/>
              <wp:wrapNone/>
              <wp:docPr id="7" name="Rectangle 7">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64737" id="Rectangle 7" o:spid="_x0000_s1026" href="https://twitter.com/actgovernment" style="position:absolute;margin-left:8.8pt;margin-top:801.75pt;width:13.5pt;height:13.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5680" behindDoc="1" locked="0" layoutInCell="1" allowOverlap="1" wp14:anchorId="76D80FD7" wp14:editId="3A2A640A">
              <wp:simplePos x="0" y="0"/>
              <wp:positionH relativeFrom="column">
                <wp:posOffset>-83185</wp:posOffset>
              </wp:positionH>
              <wp:positionV relativeFrom="page">
                <wp:posOffset>10182225</wp:posOffset>
              </wp:positionV>
              <wp:extent cx="171450" cy="171450"/>
              <wp:effectExtent l="0" t="0" r="0" b="0"/>
              <wp:wrapNone/>
              <wp:docPr id="3" name="Rectangle 3">
                <a:hlinkClick xmlns:a="http://schemas.openxmlformats.org/drawingml/2006/main" r:id="rId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A8ABA" id="Rectangle 3" o:spid="_x0000_s1026" href="https://www.facebook.com/ACTGov/" style="position:absolute;margin-left:-6.55pt;margin-top:801.75pt;width:13.5pt;height:13.5pt;z-index:-251660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6807" w14:textId="77777777" w:rsidR="00D4303F" w:rsidRDefault="00D4303F" w:rsidP="00665B9F">
      <w:pPr>
        <w:spacing w:after="0" w:line="240" w:lineRule="auto"/>
      </w:pPr>
      <w:r>
        <w:separator/>
      </w:r>
    </w:p>
  </w:footnote>
  <w:footnote w:type="continuationSeparator" w:id="0">
    <w:p w14:paraId="7FD99C33" w14:textId="77777777" w:rsidR="00D4303F" w:rsidRDefault="00D4303F"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2BA7" w14:textId="4D6A1F27" w:rsidR="00D675CB" w:rsidRDefault="00D675CB">
    <w:pPr>
      <w:pStyle w:val="Header"/>
    </w:pPr>
    <w:r>
      <w:rPr>
        <w:noProof/>
      </w:rPr>
      <w:drawing>
        <wp:anchor distT="0" distB="0" distL="114300" distR="114300" simplePos="0" relativeHeight="251654656" behindDoc="1" locked="0" layoutInCell="1" allowOverlap="1" wp14:anchorId="67A9F3F2" wp14:editId="428D4CEE">
          <wp:simplePos x="0" y="0"/>
          <wp:positionH relativeFrom="page">
            <wp:align>left</wp:align>
          </wp:positionH>
          <wp:positionV relativeFrom="paragraph">
            <wp:posOffset>-120378</wp:posOffset>
          </wp:positionV>
          <wp:extent cx="7556967" cy="10689771"/>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10E9"/>
    <w:multiLevelType w:val="hybridMultilevel"/>
    <w:tmpl w:val="8E027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E476D7"/>
    <w:multiLevelType w:val="hybridMultilevel"/>
    <w:tmpl w:val="8758AB32"/>
    <w:lvl w:ilvl="0" w:tplc="D77C6B0E">
      <w:start w:val="1"/>
      <w:numFmt w:val="bullet"/>
      <w:pStyle w:val="Style5"/>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71DD6"/>
    <w:multiLevelType w:val="hybridMultilevel"/>
    <w:tmpl w:val="C42E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03C7A"/>
    <w:multiLevelType w:val="hybridMultilevel"/>
    <w:tmpl w:val="6ACC7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E70B16"/>
    <w:multiLevelType w:val="hybridMultilevel"/>
    <w:tmpl w:val="E6FCE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36EFF"/>
    <w:multiLevelType w:val="hybridMultilevel"/>
    <w:tmpl w:val="262AA132"/>
    <w:lvl w:ilvl="0" w:tplc="92C4F5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76E84"/>
    <w:multiLevelType w:val="hybridMultilevel"/>
    <w:tmpl w:val="182CC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4AD510A1"/>
    <w:multiLevelType w:val="hybridMultilevel"/>
    <w:tmpl w:val="3A6E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34533F"/>
    <w:multiLevelType w:val="hybridMultilevel"/>
    <w:tmpl w:val="D77EAD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4" w15:restartNumberingAfterBreak="0">
    <w:nsid w:val="59AA1EAB"/>
    <w:multiLevelType w:val="hybridMultilevel"/>
    <w:tmpl w:val="64BE423A"/>
    <w:lvl w:ilvl="0" w:tplc="A55AEEAE">
      <w:start w:val="1"/>
      <w:numFmt w:val="decimal"/>
      <w:pStyle w:val="ListNumber"/>
      <w:lvlText w:val="%1."/>
      <w:lvlJc w:val="left"/>
      <w:pPr>
        <w:tabs>
          <w:tab w:val="num" w:pos="643"/>
        </w:tabs>
        <w:ind w:left="643" w:hanging="360"/>
      </w:pPr>
      <w:rPr>
        <w:rFonts w:hint="default"/>
        <w:strike w:val="0"/>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B10A0C"/>
    <w:multiLevelType w:val="hybridMultilevel"/>
    <w:tmpl w:val="339E8FFC"/>
    <w:lvl w:ilvl="0" w:tplc="CB5E6AB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5C987B90"/>
    <w:multiLevelType w:val="hybridMultilevel"/>
    <w:tmpl w:val="260A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212FE3"/>
    <w:multiLevelType w:val="hybridMultilevel"/>
    <w:tmpl w:val="6D0E4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923C47"/>
    <w:multiLevelType w:val="hybridMultilevel"/>
    <w:tmpl w:val="3E9AE3D0"/>
    <w:lvl w:ilvl="0" w:tplc="CB5E6AB8">
      <w:start w:val="1"/>
      <w:numFmt w:val="lowerRoman"/>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7E7A752C"/>
    <w:multiLevelType w:val="hybridMultilevel"/>
    <w:tmpl w:val="6D0E4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5"/>
  </w:num>
  <w:num w:numId="5">
    <w:abstractNumId w:val="12"/>
  </w:num>
  <w:num w:numId="6">
    <w:abstractNumId w:val="0"/>
  </w:num>
  <w:num w:numId="7">
    <w:abstractNumId w:val="14"/>
  </w:num>
  <w:num w:numId="8">
    <w:abstractNumId w:val="6"/>
  </w:num>
  <w:num w:numId="9">
    <w:abstractNumId w:val="2"/>
  </w:num>
  <w:num w:numId="10">
    <w:abstractNumId w:val="3"/>
  </w:num>
  <w:num w:numId="11">
    <w:abstractNumId w:val="11"/>
  </w:num>
  <w:num w:numId="12">
    <w:abstractNumId w:val="16"/>
  </w:num>
  <w:num w:numId="13">
    <w:abstractNumId w:val="7"/>
  </w:num>
  <w:num w:numId="14">
    <w:abstractNumId w:val="14"/>
  </w:num>
  <w:num w:numId="15">
    <w:abstractNumId w:val="17"/>
  </w:num>
  <w:num w:numId="16">
    <w:abstractNumId w:val="15"/>
  </w:num>
  <w:num w:numId="17">
    <w:abstractNumId w:val="19"/>
  </w:num>
  <w:num w:numId="18">
    <w:abstractNumId w:val="20"/>
  </w:num>
  <w:num w:numId="19">
    <w:abstractNumId w:val="8"/>
  </w:num>
  <w:num w:numId="20">
    <w:abstractNumId w:val="1"/>
  </w:num>
  <w:num w:numId="21">
    <w:abstractNumId w:val="1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FA"/>
    <w:rsid w:val="000002E0"/>
    <w:rsid w:val="000016B9"/>
    <w:rsid w:val="00005611"/>
    <w:rsid w:val="000068D5"/>
    <w:rsid w:val="00014AC1"/>
    <w:rsid w:val="00025449"/>
    <w:rsid w:val="00030790"/>
    <w:rsid w:val="00030CC1"/>
    <w:rsid w:val="00033098"/>
    <w:rsid w:val="00034546"/>
    <w:rsid w:val="00036B92"/>
    <w:rsid w:val="000419C1"/>
    <w:rsid w:val="00043B50"/>
    <w:rsid w:val="0004499B"/>
    <w:rsid w:val="00044CCD"/>
    <w:rsid w:val="00050533"/>
    <w:rsid w:val="0005063F"/>
    <w:rsid w:val="0005196D"/>
    <w:rsid w:val="000638B0"/>
    <w:rsid w:val="00064C45"/>
    <w:rsid w:val="000650AF"/>
    <w:rsid w:val="00065CEA"/>
    <w:rsid w:val="00067FFD"/>
    <w:rsid w:val="00070067"/>
    <w:rsid w:val="00075608"/>
    <w:rsid w:val="00076803"/>
    <w:rsid w:val="00080914"/>
    <w:rsid w:val="00082ED1"/>
    <w:rsid w:val="00090A83"/>
    <w:rsid w:val="00096622"/>
    <w:rsid w:val="000A0A01"/>
    <w:rsid w:val="000A2FFC"/>
    <w:rsid w:val="000A5E3A"/>
    <w:rsid w:val="000A6B63"/>
    <w:rsid w:val="000B13CB"/>
    <w:rsid w:val="000B6392"/>
    <w:rsid w:val="000C0CAA"/>
    <w:rsid w:val="000C3F1E"/>
    <w:rsid w:val="000C6C34"/>
    <w:rsid w:val="000D6135"/>
    <w:rsid w:val="000E35B3"/>
    <w:rsid w:val="000E5A20"/>
    <w:rsid w:val="000F3ACB"/>
    <w:rsid w:val="000F5CCD"/>
    <w:rsid w:val="000F5D86"/>
    <w:rsid w:val="00106DDD"/>
    <w:rsid w:val="0011798B"/>
    <w:rsid w:val="001309F3"/>
    <w:rsid w:val="00131315"/>
    <w:rsid w:val="00145027"/>
    <w:rsid w:val="0015010B"/>
    <w:rsid w:val="001501D9"/>
    <w:rsid w:val="00152EB7"/>
    <w:rsid w:val="00155A7B"/>
    <w:rsid w:val="0016080C"/>
    <w:rsid w:val="001623DE"/>
    <w:rsid w:val="00164B4A"/>
    <w:rsid w:val="001724D7"/>
    <w:rsid w:val="00175E0C"/>
    <w:rsid w:val="001912A2"/>
    <w:rsid w:val="001966FA"/>
    <w:rsid w:val="00197666"/>
    <w:rsid w:val="001A0139"/>
    <w:rsid w:val="001A0956"/>
    <w:rsid w:val="001A4D20"/>
    <w:rsid w:val="001B33E7"/>
    <w:rsid w:val="001C08B0"/>
    <w:rsid w:val="001C1FF2"/>
    <w:rsid w:val="001C37DB"/>
    <w:rsid w:val="001D62EC"/>
    <w:rsid w:val="001E7690"/>
    <w:rsid w:val="001E76BA"/>
    <w:rsid w:val="001F07B4"/>
    <w:rsid w:val="001F1077"/>
    <w:rsid w:val="001F27BC"/>
    <w:rsid w:val="00200018"/>
    <w:rsid w:val="002009BA"/>
    <w:rsid w:val="0021012E"/>
    <w:rsid w:val="00214A8E"/>
    <w:rsid w:val="00215465"/>
    <w:rsid w:val="00217E79"/>
    <w:rsid w:val="00225179"/>
    <w:rsid w:val="00225988"/>
    <w:rsid w:val="00241658"/>
    <w:rsid w:val="00251255"/>
    <w:rsid w:val="00251581"/>
    <w:rsid w:val="002534FC"/>
    <w:rsid w:val="002643A3"/>
    <w:rsid w:val="00266A8F"/>
    <w:rsid w:val="00277F77"/>
    <w:rsid w:val="00280730"/>
    <w:rsid w:val="00282893"/>
    <w:rsid w:val="002846D8"/>
    <w:rsid w:val="00287C96"/>
    <w:rsid w:val="002960A0"/>
    <w:rsid w:val="002A0832"/>
    <w:rsid w:val="002A0A10"/>
    <w:rsid w:val="002A5458"/>
    <w:rsid w:val="002B1D92"/>
    <w:rsid w:val="002B52A1"/>
    <w:rsid w:val="002C160F"/>
    <w:rsid w:val="002C6B74"/>
    <w:rsid w:val="002C7615"/>
    <w:rsid w:val="002D1BFA"/>
    <w:rsid w:val="002D2093"/>
    <w:rsid w:val="002D33BC"/>
    <w:rsid w:val="002E7655"/>
    <w:rsid w:val="003072DD"/>
    <w:rsid w:val="003238CE"/>
    <w:rsid w:val="00325A32"/>
    <w:rsid w:val="00330615"/>
    <w:rsid w:val="00331403"/>
    <w:rsid w:val="0033315E"/>
    <w:rsid w:val="003360FA"/>
    <w:rsid w:val="00341831"/>
    <w:rsid w:val="00342925"/>
    <w:rsid w:val="003439ED"/>
    <w:rsid w:val="0035067A"/>
    <w:rsid w:val="00354F6D"/>
    <w:rsid w:val="003633F5"/>
    <w:rsid w:val="003639D2"/>
    <w:rsid w:val="003723F4"/>
    <w:rsid w:val="00374E23"/>
    <w:rsid w:val="00376A58"/>
    <w:rsid w:val="0037744F"/>
    <w:rsid w:val="003816CC"/>
    <w:rsid w:val="003A641C"/>
    <w:rsid w:val="003B13F4"/>
    <w:rsid w:val="003C0111"/>
    <w:rsid w:val="003D4DBC"/>
    <w:rsid w:val="003E1AF4"/>
    <w:rsid w:val="00400797"/>
    <w:rsid w:val="00404E6C"/>
    <w:rsid w:val="00405C17"/>
    <w:rsid w:val="00407D5A"/>
    <w:rsid w:val="00410484"/>
    <w:rsid w:val="00411A3D"/>
    <w:rsid w:val="00424CB5"/>
    <w:rsid w:val="004439BD"/>
    <w:rsid w:val="00444F30"/>
    <w:rsid w:val="004502A1"/>
    <w:rsid w:val="00452B15"/>
    <w:rsid w:val="004563B4"/>
    <w:rsid w:val="00456560"/>
    <w:rsid w:val="00464775"/>
    <w:rsid w:val="00470A14"/>
    <w:rsid w:val="00481CE3"/>
    <w:rsid w:val="00482E0B"/>
    <w:rsid w:val="00493D19"/>
    <w:rsid w:val="00496C0F"/>
    <w:rsid w:val="00496CD4"/>
    <w:rsid w:val="004A3E93"/>
    <w:rsid w:val="004B4981"/>
    <w:rsid w:val="004C10AE"/>
    <w:rsid w:val="004C1925"/>
    <w:rsid w:val="004C2E98"/>
    <w:rsid w:val="004D188B"/>
    <w:rsid w:val="004D26B2"/>
    <w:rsid w:val="004D332D"/>
    <w:rsid w:val="004D6336"/>
    <w:rsid w:val="004E69B5"/>
    <w:rsid w:val="004E7762"/>
    <w:rsid w:val="004F131E"/>
    <w:rsid w:val="004F3D98"/>
    <w:rsid w:val="004F5B70"/>
    <w:rsid w:val="004F74DA"/>
    <w:rsid w:val="005014D9"/>
    <w:rsid w:val="00501CE2"/>
    <w:rsid w:val="00503E7E"/>
    <w:rsid w:val="00512E77"/>
    <w:rsid w:val="00520F2D"/>
    <w:rsid w:val="00525F03"/>
    <w:rsid w:val="00530717"/>
    <w:rsid w:val="0053763A"/>
    <w:rsid w:val="00550247"/>
    <w:rsid w:val="005654E8"/>
    <w:rsid w:val="005661B1"/>
    <w:rsid w:val="00576D35"/>
    <w:rsid w:val="0058377A"/>
    <w:rsid w:val="00584DF7"/>
    <w:rsid w:val="00586AC8"/>
    <w:rsid w:val="005A16C1"/>
    <w:rsid w:val="005A4F02"/>
    <w:rsid w:val="005A60DB"/>
    <w:rsid w:val="005B369E"/>
    <w:rsid w:val="005C54B5"/>
    <w:rsid w:val="005C72CC"/>
    <w:rsid w:val="005C78A5"/>
    <w:rsid w:val="005D442A"/>
    <w:rsid w:val="005E5305"/>
    <w:rsid w:val="005F4BD6"/>
    <w:rsid w:val="006046FF"/>
    <w:rsid w:val="00604F69"/>
    <w:rsid w:val="006161A9"/>
    <w:rsid w:val="00622565"/>
    <w:rsid w:val="00627738"/>
    <w:rsid w:val="0063036E"/>
    <w:rsid w:val="00632F54"/>
    <w:rsid w:val="00633AF4"/>
    <w:rsid w:val="00634025"/>
    <w:rsid w:val="00635C80"/>
    <w:rsid w:val="00643026"/>
    <w:rsid w:val="006435E9"/>
    <w:rsid w:val="006515F5"/>
    <w:rsid w:val="00655BD4"/>
    <w:rsid w:val="00655C65"/>
    <w:rsid w:val="006610FF"/>
    <w:rsid w:val="00662096"/>
    <w:rsid w:val="00664411"/>
    <w:rsid w:val="00665B9F"/>
    <w:rsid w:val="00677857"/>
    <w:rsid w:val="00680C6F"/>
    <w:rsid w:val="00685229"/>
    <w:rsid w:val="0069624A"/>
    <w:rsid w:val="006A2843"/>
    <w:rsid w:val="006A6195"/>
    <w:rsid w:val="006A6360"/>
    <w:rsid w:val="006C1037"/>
    <w:rsid w:val="006C1933"/>
    <w:rsid w:val="006D2273"/>
    <w:rsid w:val="006D5CDC"/>
    <w:rsid w:val="006D6DF7"/>
    <w:rsid w:val="006D7410"/>
    <w:rsid w:val="006E1657"/>
    <w:rsid w:val="006F161E"/>
    <w:rsid w:val="006F7929"/>
    <w:rsid w:val="00721DFD"/>
    <w:rsid w:val="00721F95"/>
    <w:rsid w:val="0072756F"/>
    <w:rsid w:val="0073089A"/>
    <w:rsid w:val="00730D6A"/>
    <w:rsid w:val="007318FB"/>
    <w:rsid w:val="00741740"/>
    <w:rsid w:val="00742A5F"/>
    <w:rsid w:val="00744530"/>
    <w:rsid w:val="0076392F"/>
    <w:rsid w:val="00776EA5"/>
    <w:rsid w:val="0078138D"/>
    <w:rsid w:val="00786DBD"/>
    <w:rsid w:val="007903B1"/>
    <w:rsid w:val="0079069F"/>
    <w:rsid w:val="0079447B"/>
    <w:rsid w:val="00796C20"/>
    <w:rsid w:val="007B1947"/>
    <w:rsid w:val="007B5367"/>
    <w:rsid w:val="007C245B"/>
    <w:rsid w:val="007D1FEC"/>
    <w:rsid w:val="007D26DC"/>
    <w:rsid w:val="007D5051"/>
    <w:rsid w:val="007D5985"/>
    <w:rsid w:val="007E76A2"/>
    <w:rsid w:val="00810221"/>
    <w:rsid w:val="00810457"/>
    <w:rsid w:val="00811503"/>
    <w:rsid w:val="008116BA"/>
    <w:rsid w:val="00815A57"/>
    <w:rsid w:val="00815AAF"/>
    <w:rsid w:val="008266EE"/>
    <w:rsid w:val="008267E1"/>
    <w:rsid w:val="00826FDC"/>
    <w:rsid w:val="00831A11"/>
    <w:rsid w:val="00832B4A"/>
    <w:rsid w:val="00837D7E"/>
    <w:rsid w:val="00845230"/>
    <w:rsid w:val="008459DC"/>
    <w:rsid w:val="0085310F"/>
    <w:rsid w:val="008549C7"/>
    <w:rsid w:val="0086024E"/>
    <w:rsid w:val="00860B3E"/>
    <w:rsid w:val="00863743"/>
    <w:rsid w:val="00863D64"/>
    <w:rsid w:val="00875C35"/>
    <w:rsid w:val="00877FA8"/>
    <w:rsid w:val="008806F7"/>
    <w:rsid w:val="00886A94"/>
    <w:rsid w:val="00887CD3"/>
    <w:rsid w:val="0089332C"/>
    <w:rsid w:val="008A068B"/>
    <w:rsid w:val="008A0B14"/>
    <w:rsid w:val="008A2D11"/>
    <w:rsid w:val="008A5095"/>
    <w:rsid w:val="008A593B"/>
    <w:rsid w:val="008B1B34"/>
    <w:rsid w:val="008B4EDD"/>
    <w:rsid w:val="008D2D94"/>
    <w:rsid w:val="008E3489"/>
    <w:rsid w:val="008E4CD0"/>
    <w:rsid w:val="0090558A"/>
    <w:rsid w:val="00913147"/>
    <w:rsid w:val="00917703"/>
    <w:rsid w:val="00920911"/>
    <w:rsid w:val="0092592D"/>
    <w:rsid w:val="009329BD"/>
    <w:rsid w:val="00933F24"/>
    <w:rsid w:val="00936F16"/>
    <w:rsid w:val="00937B2B"/>
    <w:rsid w:val="00941A30"/>
    <w:rsid w:val="00947539"/>
    <w:rsid w:val="00954A0C"/>
    <w:rsid w:val="00955232"/>
    <w:rsid w:val="0095556E"/>
    <w:rsid w:val="0095708C"/>
    <w:rsid w:val="0096313F"/>
    <w:rsid w:val="009647A8"/>
    <w:rsid w:val="00966ABA"/>
    <w:rsid w:val="00970BFA"/>
    <w:rsid w:val="00975520"/>
    <w:rsid w:val="009972DF"/>
    <w:rsid w:val="009A5810"/>
    <w:rsid w:val="009B294D"/>
    <w:rsid w:val="009B7419"/>
    <w:rsid w:val="009B7517"/>
    <w:rsid w:val="009C2EED"/>
    <w:rsid w:val="009E1A71"/>
    <w:rsid w:val="009E2090"/>
    <w:rsid w:val="009E391E"/>
    <w:rsid w:val="009E4EC4"/>
    <w:rsid w:val="009E5116"/>
    <w:rsid w:val="009F7A67"/>
    <w:rsid w:val="00A15BC1"/>
    <w:rsid w:val="00A50586"/>
    <w:rsid w:val="00A517DE"/>
    <w:rsid w:val="00A53F9C"/>
    <w:rsid w:val="00A559E4"/>
    <w:rsid w:val="00A56436"/>
    <w:rsid w:val="00A57904"/>
    <w:rsid w:val="00A655E9"/>
    <w:rsid w:val="00A7771C"/>
    <w:rsid w:val="00A80C2F"/>
    <w:rsid w:val="00A9477E"/>
    <w:rsid w:val="00A96E5E"/>
    <w:rsid w:val="00AA2EBC"/>
    <w:rsid w:val="00AA618D"/>
    <w:rsid w:val="00AA6B0D"/>
    <w:rsid w:val="00AA6E5F"/>
    <w:rsid w:val="00AA78A7"/>
    <w:rsid w:val="00AB1FAF"/>
    <w:rsid w:val="00AB2784"/>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261F1"/>
    <w:rsid w:val="00B272C8"/>
    <w:rsid w:val="00B31C6D"/>
    <w:rsid w:val="00B31E18"/>
    <w:rsid w:val="00B42A53"/>
    <w:rsid w:val="00B51C5D"/>
    <w:rsid w:val="00B525C2"/>
    <w:rsid w:val="00B52648"/>
    <w:rsid w:val="00B6508B"/>
    <w:rsid w:val="00B70320"/>
    <w:rsid w:val="00B70B52"/>
    <w:rsid w:val="00B71D00"/>
    <w:rsid w:val="00B76DAF"/>
    <w:rsid w:val="00BA2F3B"/>
    <w:rsid w:val="00BB117A"/>
    <w:rsid w:val="00BB3989"/>
    <w:rsid w:val="00BC21E9"/>
    <w:rsid w:val="00BC6211"/>
    <w:rsid w:val="00C140C2"/>
    <w:rsid w:val="00C15AB4"/>
    <w:rsid w:val="00C17AE1"/>
    <w:rsid w:val="00C34A60"/>
    <w:rsid w:val="00C34F4D"/>
    <w:rsid w:val="00C45F4B"/>
    <w:rsid w:val="00C46ADC"/>
    <w:rsid w:val="00C46E8A"/>
    <w:rsid w:val="00C47FCD"/>
    <w:rsid w:val="00C545DC"/>
    <w:rsid w:val="00C60145"/>
    <w:rsid w:val="00C70619"/>
    <w:rsid w:val="00C74C6D"/>
    <w:rsid w:val="00C7675F"/>
    <w:rsid w:val="00C777B3"/>
    <w:rsid w:val="00C82173"/>
    <w:rsid w:val="00C837F2"/>
    <w:rsid w:val="00C85938"/>
    <w:rsid w:val="00C9028B"/>
    <w:rsid w:val="00C973B7"/>
    <w:rsid w:val="00CA2251"/>
    <w:rsid w:val="00CA67B3"/>
    <w:rsid w:val="00CB0F39"/>
    <w:rsid w:val="00CB5B48"/>
    <w:rsid w:val="00CB7CEE"/>
    <w:rsid w:val="00CC521C"/>
    <w:rsid w:val="00CD48ED"/>
    <w:rsid w:val="00CE5298"/>
    <w:rsid w:val="00CF099F"/>
    <w:rsid w:val="00CF5A26"/>
    <w:rsid w:val="00CF60F4"/>
    <w:rsid w:val="00D05E52"/>
    <w:rsid w:val="00D05F1D"/>
    <w:rsid w:val="00D2026C"/>
    <w:rsid w:val="00D249CA"/>
    <w:rsid w:val="00D24F1A"/>
    <w:rsid w:val="00D4303F"/>
    <w:rsid w:val="00D4548E"/>
    <w:rsid w:val="00D51B7A"/>
    <w:rsid w:val="00D5471F"/>
    <w:rsid w:val="00D63564"/>
    <w:rsid w:val="00D66353"/>
    <w:rsid w:val="00D675CB"/>
    <w:rsid w:val="00D72E45"/>
    <w:rsid w:val="00D742E0"/>
    <w:rsid w:val="00D7540C"/>
    <w:rsid w:val="00D760F0"/>
    <w:rsid w:val="00D770F0"/>
    <w:rsid w:val="00D80D2A"/>
    <w:rsid w:val="00D92A4A"/>
    <w:rsid w:val="00DA78C9"/>
    <w:rsid w:val="00DB04F9"/>
    <w:rsid w:val="00DB064A"/>
    <w:rsid w:val="00DB76EC"/>
    <w:rsid w:val="00DC4C33"/>
    <w:rsid w:val="00DD1627"/>
    <w:rsid w:val="00DD35A4"/>
    <w:rsid w:val="00DD507E"/>
    <w:rsid w:val="00DD6496"/>
    <w:rsid w:val="00DD741E"/>
    <w:rsid w:val="00DE3AF3"/>
    <w:rsid w:val="00DE5B93"/>
    <w:rsid w:val="00DF716E"/>
    <w:rsid w:val="00E020B6"/>
    <w:rsid w:val="00E15701"/>
    <w:rsid w:val="00E15FEF"/>
    <w:rsid w:val="00E20794"/>
    <w:rsid w:val="00E21E17"/>
    <w:rsid w:val="00E25F01"/>
    <w:rsid w:val="00E27E63"/>
    <w:rsid w:val="00E30105"/>
    <w:rsid w:val="00E40295"/>
    <w:rsid w:val="00E40A57"/>
    <w:rsid w:val="00E43F8B"/>
    <w:rsid w:val="00E561E7"/>
    <w:rsid w:val="00E60467"/>
    <w:rsid w:val="00E670FD"/>
    <w:rsid w:val="00E73B61"/>
    <w:rsid w:val="00E75D30"/>
    <w:rsid w:val="00E817B2"/>
    <w:rsid w:val="00E85003"/>
    <w:rsid w:val="00E93F07"/>
    <w:rsid w:val="00EB5FD6"/>
    <w:rsid w:val="00EC594D"/>
    <w:rsid w:val="00EC7585"/>
    <w:rsid w:val="00ED609E"/>
    <w:rsid w:val="00EE1E4F"/>
    <w:rsid w:val="00EE5E62"/>
    <w:rsid w:val="00EF7112"/>
    <w:rsid w:val="00F04053"/>
    <w:rsid w:val="00F05E53"/>
    <w:rsid w:val="00F11E01"/>
    <w:rsid w:val="00F1252D"/>
    <w:rsid w:val="00F12F2B"/>
    <w:rsid w:val="00F141C9"/>
    <w:rsid w:val="00F15362"/>
    <w:rsid w:val="00F2005D"/>
    <w:rsid w:val="00F41133"/>
    <w:rsid w:val="00F53B5C"/>
    <w:rsid w:val="00F53D3C"/>
    <w:rsid w:val="00F65D04"/>
    <w:rsid w:val="00F74EF0"/>
    <w:rsid w:val="00F76DB4"/>
    <w:rsid w:val="00F875BD"/>
    <w:rsid w:val="00F8773E"/>
    <w:rsid w:val="00F90C47"/>
    <w:rsid w:val="00FA0AF3"/>
    <w:rsid w:val="00FA43DC"/>
    <w:rsid w:val="00FA6C39"/>
    <w:rsid w:val="00FB1226"/>
    <w:rsid w:val="00FB37F3"/>
    <w:rsid w:val="00FB3938"/>
    <w:rsid w:val="00FC2E34"/>
    <w:rsid w:val="00FC62BF"/>
    <w:rsid w:val="00FD0E80"/>
    <w:rsid w:val="00FD6FF2"/>
    <w:rsid w:val="00FE0459"/>
    <w:rsid w:val="00FE631C"/>
    <w:rsid w:val="00FE75A6"/>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A"/>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customStyle="1" w:styleId="UnresolvedMention1">
    <w:name w:val="Unresolved Mention1"/>
    <w:basedOn w:val="DefaultParagraphFont"/>
    <w:uiPriority w:val="99"/>
    <w:semiHidden/>
    <w:unhideWhenUsed/>
    <w:rsid w:val="008116BA"/>
    <w:rPr>
      <w:color w:val="605E5C"/>
      <w:shd w:val="clear" w:color="auto" w:fill="E1DFDD"/>
    </w:rPr>
  </w:style>
  <w:style w:type="character" w:styleId="FollowedHyperlink">
    <w:name w:val="FollowedHyperlink"/>
    <w:basedOn w:val="DefaultParagraphFont"/>
    <w:uiPriority w:val="99"/>
    <w:semiHidden/>
    <w:unhideWhenUsed/>
    <w:rsid w:val="00405C17"/>
    <w:rPr>
      <w:color w:val="7F7F7F" w:themeColor="followedHyperlink"/>
      <w:u w:val="single"/>
    </w:rPr>
  </w:style>
  <w:style w:type="paragraph" w:styleId="FootnoteText">
    <w:name w:val="footnote text"/>
    <w:basedOn w:val="Normal"/>
    <w:link w:val="FootnoteTextChar"/>
    <w:uiPriority w:val="99"/>
    <w:semiHidden/>
    <w:unhideWhenUsed/>
    <w:rsid w:val="0093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D"/>
    <w:rPr>
      <w:rFonts w:cs="Times New Roman"/>
      <w:sz w:val="20"/>
      <w:szCs w:val="20"/>
      <w:lang w:eastAsia="en-AU"/>
    </w:rPr>
  </w:style>
  <w:style w:type="character" w:styleId="FootnoteReference">
    <w:name w:val="footnote reference"/>
    <w:basedOn w:val="DefaultParagraphFont"/>
    <w:uiPriority w:val="99"/>
    <w:semiHidden/>
    <w:unhideWhenUsed/>
    <w:rsid w:val="009329BD"/>
    <w:rPr>
      <w:vertAlign w:val="superscript"/>
    </w:rPr>
  </w:style>
  <w:style w:type="paragraph" w:styleId="ListNumber">
    <w:name w:val="List Number"/>
    <w:basedOn w:val="Normal"/>
    <w:rsid w:val="00C45F4B"/>
    <w:pPr>
      <w:numPr>
        <w:numId w:val="7"/>
      </w:numPr>
      <w:spacing w:before="100" w:line="276" w:lineRule="auto"/>
    </w:pPr>
    <w:rPr>
      <w:rFonts w:eastAsiaTheme="minorEastAsia" w:cstheme="minorBidi"/>
      <w:sz w:val="20"/>
      <w:szCs w:val="20"/>
    </w:rPr>
  </w:style>
  <w:style w:type="character" w:customStyle="1" w:styleId="ListParagraphChar">
    <w:name w:val="List Paragraph Char"/>
    <w:link w:val="ListParagraph"/>
    <w:uiPriority w:val="34"/>
    <w:rsid w:val="00584DF7"/>
    <w:rPr>
      <w:rFonts w:cs="Times New Roman"/>
      <w:sz w:val="21"/>
      <w:szCs w:val="21"/>
      <w:lang w:eastAsia="en-AU"/>
    </w:rPr>
  </w:style>
  <w:style w:type="paragraph" w:customStyle="1" w:styleId="Style5">
    <w:name w:val="Style5"/>
    <w:basedOn w:val="Normal"/>
    <w:qFormat/>
    <w:rsid w:val="00584DF7"/>
    <w:pPr>
      <w:numPr>
        <w:numId w:val="9"/>
      </w:numPr>
      <w:spacing w:before="100" w:line="276" w:lineRule="auto"/>
      <w:contextualSpacing/>
    </w:pPr>
    <w:rPr>
      <w:rFonts w:eastAsiaTheme="minorEastAsia" w:cstheme="minorBidi"/>
      <w:i/>
      <w:iCs/>
      <w:sz w:val="20"/>
      <w:szCs w:val="20"/>
    </w:rPr>
  </w:style>
  <w:style w:type="paragraph" w:customStyle="1" w:styleId="Style6">
    <w:name w:val="Style6"/>
    <w:basedOn w:val="Style5"/>
    <w:qFormat/>
    <w:rsid w:val="00584DF7"/>
    <w:pPr>
      <w:spacing w:before="120" w:after="0" w:line="240" w:lineRule="auto"/>
    </w:pPr>
  </w:style>
  <w:style w:type="character" w:styleId="CommentReference">
    <w:name w:val="annotation reference"/>
    <w:basedOn w:val="DefaultParagraphFont"/>
    <w:uiPriority w:val="99"/>
    <w:semiHidden/>
    <w:unhideWhenUsed/>
    <w:rsid w:val="00887CD3"/>
    <w:rPr>
      <w:sz w:val="16"/>
      <w:szCs w:val="16"/>
    </w:rPr>
  </w:style>
  <w:style w:type="paragraph" w:styleId="CommentText">
    <w:name w:val="annotation text"/>
    <w:basedOn w:val="Normal"/>
    <w:link w:val="CommentTextChar"/>
    <w:uiPriority w:val="99"/>
    <w:semiHidden/>
    <w:unhideWhenUsed/>
    <w:rsid w:val="00887CD3"/>
    <w:pPr>
      <w:spacing w:line="240" w:lineRule="auto"/>
    </w:pPr>
    <w:rPr>
      <w:sz w:val="20"/>
      <w:szCs w:val="20"/>
    </w:rPr>
  </w:style>
  <w:style w:type="character" w:customStyle="1" w:styleId="CommentTextChar">
    <w:name w:val="Comment Text Char"/>
    <w:basedOn w:val="DefaultParagraphFont"/>
    <w:link w:val="CommentText"/>
    <w:uiPriority w:val="99"/>
    <w:semiHidden/>
    <w:rsid w:val="00887CD3"/>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87CD3"/>
    <w:rPr>
      <w:b/>
      <w:bCs/>
    </w:rPr>
  </w:style>
  <w:style w:type="character" w:customStyle="1" w:styleId="CommentSubjectChar">
    <w:name w:val="Comment Subject Char"/>
    <w:basedOn w:val="CommentTextChar"/>
    <w:link w:val="CommentSubject"/>
    <w:uiPriority w:val="99"/>
    <w:semiHidden/>
    <w:rsid w:val="00887CD3"/>
    <w:rPr>
      <w:rFonts w:cs="Times New Roman"/>
      <w:b/>
      <w:bCs/>
      <w:sz w:val="20"/>
      <w:szCs w:val="20"/>
      <w:lang w:eastAsia="en-AU"/>
    </w:rPr>
  </w:style>
  <w:style w:type="character" w:customStyle="1" w:styleId="UnresolvedMention2">
    <w:name w:val="Unresolved Mention2"/>
    <w:basedOn w:val="DefaultParagraphFont"/>
    <w:uiPriority w:val="99"/>
    <w:semiHidden/>
    <w:unhideWhenUsed/>
    <w:rsid w:val="001D62EC"/>
    <w:rPr>
      <w:color w:val="605E5C"/>
      <w:shd w:val="clear" w:color="auto" w:fill="E1DFDD"/>
    </w:rPr>
  </w:style>
  <w:style w:type="character" w:customStyle="1" w:styleId="UnresolvedMention3">
    <w:name w:val="Unresolved Mention3"/>
    <w:basedOn w:val="DefaultParagraphFont"/>
    <w:uiPriority w:val="99"/>
    <w:semiHidden/>
    <w:unhideWhenUsed/>
    <w:rsid w:val="0095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31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80800637">
      <w:bodyDiv w:val="1"/>
      <w:marLeft w:val="0"/>
      <w:marRight w:val="0"/>
      <w:marTop w:val="0"/>
      <w:marBottom w:val="0"/>
      <w:divBdr>
        <w:top w:val="none" w:sz="0" w:space="0" w:color="auto"/>
        <w:left w:val="none" w:sz="0" w:space="0" w:color="auto"/>
        <w:bottom w:val="none" w:sz="0" w:space="0" w:color="auto"/>
        <w:right w:val="none" w:sz="0" w:space="0" w:color="auto"/>
      </w:divBdr>
    </w:div>
    <w:div w:id="16107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tedd.act.gov.au/__data/assets/pdf_file/0008/1484162/Emergency-Response-ACTPS-Staff-Entitlements-During-Novel-Coronavirus-COVID-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tedd.act.gov.au/__data/assets/pdf_file/0008/1484162/Emergency-Response-ACTPS-Staff-Entitlements-During-Novel-Coronavirus-COVID-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sm@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mtedd.act.gov.au/employment-framework/for-employees/agreem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__data/assets/pdf_file/0008/1484162/Emergency-Response-ACTPS-Staff-Entitlements-During-Novel-Coronavirus-COVID-19.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Sadrani\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149D-C2FB-47FF-8177-D6A8154F2CC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4.xml><?xml version="1.0" encoding="utf-8"?>
<ds:datastoreItem xmlns:ds="http://schemas.openxmlformats.org/officeDocument/2006/customXml" ds:itemID="{8F9BFB6F-3B39-4B8E-890E-9E963D65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9</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Advice relating to temporary employment during the COVID-19 pandemic</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relating to temporary employment during the COVID-19 pandemic</dc:title>
  <dc:subject>Advice relating to temporary employment during the COVID-19 pandemic</dc:subject>
  <dc:creator/>
  <cp:lastModifiedBy/>
  <cp:revision>1</cp:revision>
  <dcterms:created xsi:type="dcterms:W3CDTF">2020-04-30T02:32:00Z</dcterms:created>
  <dcterms:modified xsi:type="dcterms:W3CDTF">2020-04-30T23:43:00Z</dcterms:modified>
</cp:coreProperties>
</file>