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119" w:rsidRPr="00D21BEA" w:rsidRDefault="00A17119" w:rsidP="00A17119">
      <w:pPr>
        <w:spacing w:after="120"/>
        <w:jc w:val="both"/>
        <w:rPr>
          <w:rFonts w:asciiTheme="minorHAnsi" w:hAnsiTheme="minorHAnsi"/>
          <w:b/>
          <w:sz w:val="22"/>
          <w:szCs w:val="22"/>
          <w:lang w:val="en-US"/>
        </w:rPr>
      </w:pPr>
      <w:r w:rsidRPr="00D21BEA">
        <w:rPr>
          <w:rFonts w:asciiTheme="minorHAnsi" w:hAnsiTheme="minorHAnsi"/>
          <w:b/>
          <w:sz w:val="22"/>
          <w:szCs w:val="22"/>
          <w:lang w:val="en-US"/>
        </w:rPr>
        <w:t>Directorate:</w:t>
      </w:r>
      <w:r w:rsidRPr="00D21BEA">
        <w:rPr>
          <w:rFonts w:asciiTheme="minorHAnsi" w:hAnsiTheme="minorHAnsi"/>
          <w:b/>
          <w:sz w:val="22"/>
          <w:szCs w:val="22"/>
          <w:lang w:val="en-US"/>
        </w:rPr>
        <w:tab/>
        <w:t xml:space="preserve">Justice and Community Safety </w:t>
      </w:r>
    </w:p>
    <w:p w:rsidR="00A17119" w:rsidRPr="00D21BEA" w:rsidRDefault="00A17119" w:rsidP="00A17119">
      <w:pPr>
        <w:spacing w:after="120"/>
        <w:jc w:val="both"/>
        <w:rPr>
          <w:rFonts w:asciiTheme="minorHAnsi" w:hAnsiTheme="minorHAnsi"/>
          <w:b/>
          <w:sz w:val="22"/>
          <w:szCs w:val="22"/>
          <w:lang w:val="en-US"/>
        </w:rPr>
      </w:pPr>
      <w:bookmarkStart w:id="0" w:name="_GoBack"/>
      <w:r w:rsidRPr="00D21BEA">
        <w:rPr>
          <w:rFonts w:asciiTheme="minorHAnsi" w:hAnsiTheme="minorHAnsi"/>
          <w:b/>
          <w:sz w:val="22"/>
          <w:szCs w:val="22"/>
          <w:lang w:val="en-US"/>
        </w:rPr>
        <w:t>18/88 ESA Station Upgrade and Relocation Program – Revised priorities and activities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A17119" w:rsidRPr="003A180B" w:rsidTr="00EC635C">
        <w:trPr>
          <w:jc w:val="center"/>
        </w:trPr>
        <w:tc>
          <w:tcPr>
            <w:tcW w:w="9016" w:type="dxa"/>
          </w:tcPr>
          <w:bookmarkEnd w:id="0"/>
          <w:p w:rsidR="00A17119" w:rsidRPr="003A180B" w:rsidRDefault="00A17119" w:rsidP="00EC635C">
            <w:pPr>
              <w:spacing w:before="60" w:after="0"/>
              <w:jc w:val="both"/>
              <w:rPr>
                <w:rFonts w:asciiTheme="minorHAnsi" w:hAnsiTheme="minorHAnsi"/>
                <w:b/>
                <w:bCs/>
                <w:sz w:val="22"/>
                <w:szCs w:val="22"/>
              </w:rPr>
            </w:pPr>
            <w:r w:rsidRPr="003A180B">
              <w:rPr>
                <w:rFonts w:asciiTheme="minorHAnsi" w:hAnsiTheme="minorHAnsi"/>
                <w:b/>
                <w:bCs/>
                <w:sz w:val="22"/>
                <w:szCs w:val="22"/>
              </w:rPr>
              <w:t>Summary of Impacts</w:t>
            </w:r>
          </w:p>
        </w:tc>
      </w:tr>
      <w:tr w:rsidR="00A17119" w:rsidRPr="003A180B" w:rsidTr="00EC635C">
        <w:trPr>
          <w:jc w:val="center"/>
        </w:trPr>
        <w:tc>
          <w:tcPr>
            <w:tcW w:w="9016" w:type="dxa"/>
          </w:tcPr>
          <w:p w:rsidR="00A17119" w:rsidRPr="003A180B" w:rsidRDefault="00A17119" w:rsidP="00EC635C">
            <w:pPr>
              <w:numPr>
                <w:ilvl w:val="0"/>
                <w:numId w:val="1"/>
              </w:numPr>
              <w:spacing w:after="0" w:line="240" w:lineRule="auto"/>
              <w:ind w:left="360"/>
              <w:rPr>
                <w:rFonts w:asciiTheme="minorHAnsi" w:hAnsiTheme="minorHAnsi"/>
                <w:sz w:val="22"/>
                <w:szCs w:val="22"/>
              </w:rPr>
            </w:pPr>
            <w:r w:rsidRPr="003A180B">
              <w:rPr>
                <w:rFonts w:asciiTheme="minorHAnsi" w:hAnsiTheme="minorHAnsi"/>
                <w:sz w:val="22"/>
                <w:szCs w:val="22"/>
              </w:rPr>
              <w:t>This submission is an update</w:t>
            </w:r>
            <w:r>
              <w:rPr>
                <w:rFonts w:asciiTheme="minorHAnsi" w:hAnsiTheme="minorHAnsi"/>
                <w:sz w:val="22"/>
                <w:szCs w:val="22"/>
              </w:rPr>
              <w:t xml:space="preserve"> for</w:t>
            </w:r>
            <w:r w:rsidRPr="003A180B">
              <w:rPr>
                <w:rFonts w:asciiTheme="minorHAnsi" w:hAnsiTheme="minorHAnsi"/>
                <w:sz w:val="22"/>
                <w:szCs w:val="22"/>
              </w:rPr>
              <w:t xml:space="preserve"> Cabinet on the Emergency Services Agency’s (ESA) on the changing priorities and activities for the Station Upgrade and Relocation Program (SURP).</w:t>
            </w:r>
          </w:p>
        </w:tc>
      </w:tr>
    </w:tbl>
    <w:p w:rsidR="00A17119" w:rsidRPr="003A180B" w:rsidRDefault="00A17119" w:rsidP="00A17119">
      <w:pPr>
        <w:spacing w:after="120"/>
        <w:rPr>
          <w:rFonts w:asciiTheme="minorHAnsi" w:hAnsiTheme="minorHAnsi"/>
          <w:i/>
          <w:sz w:val="22"/>
          <w:szCs w:val="22"/>
        </w:rPr>
      </w:pPr>
      <w:r w:rsidRPr="00D21BEA">
        <w:rPr>
          <w:rFonts w:asciiTheme="minorHAnsi" w:hAnsiTheme="minorHAnsi"/>
          <w:i/>
          <w:sz w:val="22"/>
          <w:szCs w:val="22"/>
        </w:rPr>
        <w:t>Key to</w:t>
      </w:r>
      <w:r>
        <w:rPr>
          <w:rFonts w:asciiTheme="minorHAnsi" w:hAnsiTheme="minorHAnsi"/>
          <w:i/>
          <w:sz w:val="22"/>
          <w:szCs w:val="22"/>
        </w:rPr>
        <w:t xml:space="preserve"> impacts: Red - negative, Amber - </w:t>
      </w:r>
      <w:r w:rsidRPr="00D21BEA">
        <w:rPr>
          <w:rFonts w:asciiTheme="minorHAnsi" w:hAnsiTheme="minorHAnsi"/>
          <w:i/>
          <w:sz w:val="22"/>
          <w:szCs w:val="22"/>
        </w:rPr>
        <w:t>neutral and Green</w:t>
      </w:r>
      <w:r>
        <w:rPr>
          <w:rFonts w:asciiTheme="minorHAnsi" w:hAnsiTheme="minorHAnsi"/>
          <w:i/>
          <w:sz w:val="22"/>
          <w:szCs w:val="22"/>
        </w:rPr>
        <w:t xml:space="preserve"> - p</w:t>
      </w:r>
      <w:r w:rsidRPr="00D21BEA">
        <w:rPr>
          <w:rFonts w:asciiTheme="minorHAnsi" w:hAnsiTheme="minorHAnsi"/>
          <w:i/>
          <w:sz w:val="22"/>
          <w:szCs w:val="22"/>
        </w:rPr>
        <w:t>ositive</w:t>
      </w:r>
    </w:p>
    <w:p w:rsidR="00A17119" w:rsidRPr="003A180B" w:rsidRDefault="00A17119" w:rsidP="00A17119">
      <w:pPr>
        <w:spacing w:after="0"/>
        <w:jc w:val="both"/>
        <w:rPr>
          <w:rFonts w:asciiTheme="minorHAnsi" w:hAnsiTheme="minorHAnsi"/>
          <w:b/>
          <w:bCs/>
          <w:sz w:val="22"/>
          <w:szCs w:val="22"/>
        </w:rPr>
      </w:pPr>
      <w:r w:rsidRPr="003A180B">
        <w:rPr>
          <w:rFonts w:asciiTheme="minorHAnsi" w:hAnsiTheme="minorHAnsi"/>
          <w:b/>
          <w:bCs/>
          <w:sz w:val="22"/>
          <w:szCs w:val="22"/>
        </w:rPr>
        <w:t>Social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3"/>
        <w:gridCol w:w="7513"/>
      </w:tblGrid>
      <w:tr w:rsidR="00A17119" w:rsidRPr="003A180B" w:rsidTr="00EC635C">
        <w:trPr>
          <w:jc w:val="center"/>
        </w:trPr>
        <w:tc>
          <w:tcPr>
            <w:tcW w:w="1526" w:type="dxa"/>
            <w:shd w:val="clear" w:color="auto" w:fill="ED7D31" w:themeFill="accent2"/>
          </w:tcPr>
          <w:p w:rsidR="00A17119" w:rsidRPr="005B642B" w:rsidRDefault="00A17119" w:rsidP="00EC635C">
            <w:pPr>
              <w:jc w:val="both"/>
              <w:rPr>
                <w:rFonts w:asciiTheme="minorHAnsi" w:hAnsiTheme="minorHAnsi"/>
                <w:b/>
                <w:bCs/>
                <w:sz w:val="22"/>
                <w:szCs w:val="22"/>
              </w:rPr>
            </w:pPr>
            <w:r w:rsidRPr="003A180B">
              <w:rPr>
                <w:rFonts w:asciiTheme="minorHAnsi" w:hAnsiTheme="minorHAnsi"/>
                <w:b/>
                <w:bCs/>
                <w:sz w:val="22"/>
                <w:szCs w:val="22"/>
              </w:rPr>
              <w:t>Justice and rights</w:t>
            </w:r>
          </w:p>
        </w:tc>
        <w:tc>
          <w:tcPr>
            <w:tcW w:w="7716" w:type="dxa"/>
          </w:tcPr>
          <w:p w:rsidR="00A17119" w:rsidRPr="003A180B" w:rsidRDefault="00A17119" w:rsidP="00EC635C">
            <w:pPr>
              <w:numPr>
                <w:ilvl w:val="0"/>
                <w:numId w:val="1"/>
              </w:numPr>
              <w:spacing w:after="0" w:line="240" w:lineRule="auto"/>
              <w:ind w:left="360"/>
              <w:rPr>
                <w:rFonts w:asciiTheme="minorHAnsi" w:hAnsiTheme="minorHAnsi"/>
                <w:sz w:val="22"/>
                <w:szCs w:val="22"/>
              </w:rPr>
            </w:pPr>
            <w:r w:rsidRPr="003A180B">
              <w:rPr>
                <w:rFonts w:asciiTheme="minorHAnsi" w:hAnsiTheme="minorHAnsi"/>
                <w:sz w:val="22"/>
                <w:szCs w:val="22"/>
              </w:rPr>
              <w:t>There are no justice and rights impacts within this submission.</w:t>
            </w:r>
          </w:p>
        </w:tc>
      </w:tr>
    </w:tbl>
    <w:p w:rsidR="00A17119" w:rsidRPr="003A180B" w:rsidRDefault="00A17119" w:rsidP="00A17119">
      <w:pPr>
        <w:spacing w:before="120" w:after="0"/>
        <w:jc w:val="both"/>
        <w:rPr>
          <w:rFonts w:asciiTheme="minorHAnsi" w:hAnsiTheme="minorHAnsi"/>
          <w:b/>
          <w:bCs/>
          <w:sz w:val="22"/>
          <w:szCs w:val="22"/>
        </w:rPr>
      </w:pPr>
      <w:r w:rsidRPr="003A180B">
        <w:rPr>
          <w:rFonts w:asciiTheme="minorHAnsi" w:hAnsiTheme="minorHAnsi"/>
          <w:b/>
          <w:bCs/>
          <w:sz w:val="22"/>
          <w:szCs w:val="22"/>
        </w:rPr>
        <w:t>Economic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7496"/>
      </w:tblGrid>
      <w:tr w:rsidR="00A17119" w:rsidRPr="00D21BEA" w:rsidTr="00EC635C">
        <w:trPr>
          <w:trHeight w:val="1277"/>
          <w:jc w:val="center"/>
        </w:trPr>
        <w:tc>
          <w:tcPr>
            <w:tcW w:w="1520" w:type="dxa"/>
            <w:shd w:val="clear" w:color="auto" w:fill="C00000"/>
          </w:tcPr>
          <w:p w:rsidR="00A17119" w:rsidRPr="00D21BEA" w:rsidRDefault="00A17119" w:rsidP="00EC635C">
            <w:pPr>
              <w:jc w:val="both"/>
              <w:rPr>
                <w:rFonts w:asciiTheme="minorHAnsi" w:hAnsiTheme="minorHAnsi"/>
                <w:sz w:val="22"/>
                <w:szCs w:val="22"/>
              </w:rPr>
            </w:pPr>
            <w:r w:rsidRPr="00D21BEA">
              <w:rPr>
                <w:rFonts w:asciiTheme="minorHAnsi" w:hAnsiTheme="minorHAnsi"/>
                <w:b/>
                <w:bCs/>
                <w:sz w:val="22"/>
                <w:szCs w:val="22"/>
              </w:rPr>
              <w:t>ACT Government Budget</w:t>
            </w:r>
          </w:p>
        </w:tc>
        <w:tc>
          <w:tcPr>
            <w:tcW w:w="7496" w:type="dxa"/>
          </w:tcPr>
          <w:p w:rsidR="00A17119" w:rsidRPr="00571504" w:rsidRDefault="00A17119" w:rsidP="00EC635C">
            <w:pPr>
              <w:numPr>
                <w:ilvl w:val="0"/>
                <w:numId w:val="1"/>
              </w:numPr>
              <w:spacing w:after="0" w:line="240" w:lineRule="auto"/>
              <w:ind w:left="360"/>
              <w:rPr>
                <w:rFonts w:asciiTheme="minorHAnsi" w:hAnsiTheme="minorHAnsi"/>
                <w:sz w:val="22"/>
                <w:szCs w:val="22"/>
              </w:rPr>
            </w:pPr>
            <w:r w:rsidRPr="00571504">
              <w:rPr>
                <w:rFonts w:asciiTheme="minorHAnsi" w:hAnsiTheme="minorHAnsi"/>
                <w:sz w:val="22"/>
                <w:szCs w:val="22"/>
              </w:rPr>
              <w:t xml:space="preserve">The revised SURP will require ongoing capital investment to realise the new facilities, with periodic increases in recurrent funding to service increased demand as the city grows.  Until the due diligence studies are completed it is not possible to estimate the costs involved of future projects. </w:t>
            </w:r>
          </w:p>
        </w:tc>
      </w:tr>
      <w:tr w:rsidR="00A17119" w:rsidRPr="00D21BEA" w:rsidTr="00EC635C">
        <w:trPr>
          <w:jc w:val="center"/>
        </w:trPr>
        <w:tc>
          <w:tcPr>
            <w:tcW w:w="1520" w:type="dxa"/>
            <w:shd w:val="clear" w:color="auto" w:fill="92D050"/>
          </w:tcPr>
          <w:p w:rsidR="00A17119" w:rsidRPr="00D21BEA" w:rsidRDefault="00A17119" w:rsidP="00EC635C">
            <w:pPr>
              <w:jc w:val="both"/>
              <w:rPr>
                <w:rFonts w:asciiTheme="minorHAnsi" w:hAnsiTheme="minorHAnsi"/>
                <w:b/>
                <w:bCs/>
                <w:sz w:val="22"/>
                <w:szCs w:val="22"/>
              </w:rPr>
            </w:pPr>
            <w:r w:rsidRPr="00D21BEA">
              <w:rPr>
                <w:rFonts w:asciiTheme="minorHAnsi" w:hAnsiTheme="minorHAnsi"/>
                <w:b/>
                <w:bCs/>
                <w:sz w:val="22"/>
                <w:szCs w:val="22"/>
              </w:rPr>
              <w:t>Productivity</w:t>
            </w:r>
          </w:p>
        </w:tc>
        <w:tc>
          <w:tcPr>
            <w:tcW w:w="7496" w:type="dxa"/>
          </w:tcPr>
          <w:p w:rsidR="00A17119" w:rsidRPr="00437EA3" w:rsidRDefault="00A17119" w:rsidP="00EC635C">
            <w:pPr>
              <w:numPr>
                <w:ilvl w:val="0"/>
                <w:numId w:val="1"/>
              </w:numPr>
              <w:spacing w:after="0" w:line="240" w:lineRule="auto"/>
              <w:ind w:left="360"/>
              <w:rPr>
                <w:rFonts w:asciiTheme="minorHAnsi" w:hAnsiTheme="minorHAnsi"/>
                <w:sz w:val="22"/>
                <w:szCs w:val="22"/>
              </w:rPr>
            </w:pPr>
            <w:r w:rsidRPr="00D21BEA">
              <w:rPr>
                <w:rFonts w:asciiTheme="minorHAnsi" w:hAnsiTheme="minorHAnsi"/>
                <w:sz w:val="22"/>
                <w:szCs w:val="22"/>
              </w:rPr>
              <w:t>Productivity increases will arise from providing emergency services that meet the needs of a growing ACT population, through use of strategically located, fit for purpose facilities.</w:t>
            </w:r>
          </w:p>
        </w:tc>
      </w:tr>
      <w:tr w:rsidR="00A17119" w:rsidRPr="00D21BEA" w:rsidTr="00EC635C">
        <w:trPr>
          <w:jc w:val="center"/>
        </w:trPr>
        <w:tc>
          <w:tcPr>
            <w:tcW w:w="1520" w:type="dxa"/>
            <w:shd w:val="clear" w:color="auto" w:fill="92D050"/>
          </w:tcPr>
          <w:p w:rsidR="00A17119" w:rsidRPr="00D21BEA" w:rsidRDefault="00A17119" w:rsidP="00EC635C">
            <w:pPr>
              <w:jc w:val="both"/>
              <w:rPr>
                <w:rFonts w:asciiTheme="minorHAnsi" w:hAnsiTheme="minorHAnsi"/>
                <w:b/>
                <w:bCs/>
                <w:sz w:val="22"/>
                <w:szCs w:val="22"/>
              </w:rPr>
            </w:pPr>
            <w:r w:rsidRPr="00D21BEA">
              <w:rPr>
                <w:rFonts w:asciiTheme="minorHAnsi" w:hAnsiTheme="minorHAnsi"/>
                <w:b/>
                <w:bCs/>
                <w:sz w:val="22"/>
                <w:szCs w:val="22"/>
              </w:rPr>
              <w:t>Investment</w:t>
            </w:r>
          </w:p>
        </w:tc>
        <w:tc>
          <w:tcPr>
            <w:tcW w:w="7496" w:type="dxa"/>
          </w:tcPr>
          <w:p w:rsidR="00A17119" w:rsidRPr="00437EA3" w:rsidRDefault="00A17119" w:rsidP="00EC635C">
            <w:pPr>
              <w:numPr>
                <w:ilvl w:val="0"/>
                <w:numId w:val="1"/>
              </w:numPr>
              <w:spacing w:after="0" w:line="240" w:lineRule="auto"/>
              <w:ind w:left="360"/>
              <w:rPr>
                <w:rFonts w:asciiTheme="minorHAnsi" w:hAnsiTheme="minorHAnsi"/>
                <w:sz w:val="22"/>
                <w:szCs w:val="22"/>
              </w:rPr>
            </w:pPr>
            <w:r w:rsidRPr="00D21BEA">
              <w:rPr>
                <w:rFonts w:asciiTheme="minorHAnsi" w:hAnsiTheme="minorHAnsi"/>
                <w:sz w:val="22"/>
                <w:szCs w:val="22"/>
              </w:rPr>
              <w:t>There is the potential for an increase in investment given most SURP projects are capital in nature, and would attract local and interstate investment to build stations.</w:t>
            </w:r>
          </w:p>
        </w:tc>
      </w:tr>
      <w:tr w:rsidR="00A17119" w:rsidRPr="00D21BEA" w:rsidTr="00EC635C">
        <w:trPr>
          <w:jc w:val="center"/>
        </w:trPr>
        <w:tc>
          <w:tcPr>
            <w:tcW w:w="1526" w:type="dxa"/>
            <w:shd w:val="clear" w:color="auto" w:fill="ED7D31" w:themeFill="accent2"/>
          </w:tcPr>
          <w:p w:rsidR="00A17119" w:rsidRPr="00D21BEA" w:rsidRDefault="00A17119" w:rsidP="00EC635C">
            <w:pPr>
              <w:jc w:val="both"/>
              <w:rPr>
                <w:rFonts w:asciiTheme="minorHAnsi" w:hAnsiTheme="minorHAnsi"/>
                <w:sz w:val="22"/>
                <w:szCs w:val="22"/>
              </w:rPr>
            </w:pPr>
            <w:r w:rsidRPr="00D21BEA">
              <w:rPr>
                <w:rFonts w:asciiTheme="minorHAnsi" w:hAnsiTheme="minorHAnsi"/>
                <w:b/>
                <w:bCs/>
                <w:sz w:val="22"/>
                <w:szCs w:val="22"/>
              </w:rPr>
              <w:t>Competition</w:t>
            </w:r>
          </w:p>
        </w:tc>
        <w:tc>
          <w:tcPr>
            <w:tcW w:w="7716" w:type="dxa"/>
          </w:tcPr>
          <w:p w:rsidR="00A17119" w:rsidRPr="00437EA3" w:rsidRDefault="00A17119" w:rsidP="00EC635C">
            <w:pPr>
              <w:numPr>
                <w:ilvl w:val="0"/>
                <w:numId w:val="1"/>
              </w:numPr>
              <w:spacing w:after="0" w:line="240" w:lineRule="auto"/>
              <w:ind w:left="360"/>
              <w:rPr>
                <w:rFonts w:asciiTheme="minorHAnsi" w:hAnsiTheme="minorHAnsi"/>
                <w:sz w:val="22"/>
                <w:szCs w:val="22"/>
              </w:rPr>
            </w:pPr>
            <w:r w:rsidRPr="00D21BEA">
              <w:rPr>
                <w:rFonts w:asciiTheme="minorHAnsi" w:hAnsiTheme="minorHAnsi"/>
                <w:sz w:val="22"/>
                <w:szCs w:val="22"/>
              </w:rPr>
              <w:t>There are no competition impacts within this submission.</w:t>
            </w:r>
          </w:p>
        </w:tc>
      </w:tr>
    </w:tbl>
    <w:p w:rsidR="00A17119" w:rsidRPr="003A180B" w:rsidRDefault="00A17119" w:rsidP="00A17119">
      <w:pPr>
        <w:spacing w:before="120" w:after="0"/>
        <w:jc w:val="both"/>
        <w:rPr>
          <w:rFonts w:asciiTheme="minorHAnsi" w:hAnsiTheme="minorHAnsi"/>
          <w:b/>
          <w:bCs/>
          <w:sz w:val="22"/>
          <w:szCs w:val="22"/>
        </w:rPr>
      </w:pPr>
      <w:r w:rsidRPr="003A180B">
        <w:rPr>
          <w:rFonts w:asciiTheme="minorHAnsi" w:hAnsiTheme="minorHAnsi"/>
          <w:b/>
          <w:bCs/>
          <w:sz w:val="22"/>
          <w:szCs w:val="22"/>
        </w:rPr>
        <w:t>Environmental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
        <w:gridCol w:w="7514"/>
      </w:tblGrid>
      <w:tr w:rsidR="00A17119" w:rsidRPr="00D21BEA" w:rsidTr="00EC635C">
        <w:trPr>
          <w:jc w:val="center"/>
        </w:trPr>
        <w:tc>
          <w:tcPr>
            <w:tcW w:w="1526" w:type="dxa"/>
            <w:shd w:val="clear" w:color="auto" w:fill="92D050"/>
          </w:tcPr>
          <w:p w:rsidR="00A17119" w:rsidRPr="00D21BEA" w:rsidRDefault="00A17119" w:rsidP="00EC635C">
            <w:pPr>
              <w:jc w:val="both"/>
              <w:rPr>
                <w:rFonts w:asciiTheme="minorHAnsi" w:hAnsiTheme="minorHAnsi"/>
                <w:sz w:val="22"/>
                <w:szCs w:val="22"/>
              </w:rPr>
            </w:pPr>
            <w:r w:rsidRPr="00D21BEA">
              <w:rPr>
                <w:rFonts w:asciiTheme="minorHAnsi" w:hAnsiTheme="minorHAnsi"/>
                <w:b/>
                <w:bCs/>
                <w:sz w:val="22"/>
                <w:szCs w:val="22"/>
              </w:rPr>
              <w:t>Energy</w:t>
            </w:r>
          </w:p>
        </w:tc>
        <w:tc>
          <w:tcPr>
            <w:tcW w:w="7716" w:type="dxa"/>
          </w:tcPr>
          <w:p w:rsidR="00A17119" w:rsidRPr="00437EA3" w:rsidRDefault="00A17119" w:rsidP="00EC635C">
            <w:pPr>
              <w:numPr>
                <w:ilvl w:val="0"/>
                <w:numId w:val="1"/>
              </w:numPr>
              <w:spacing w:after="0" w:line="240" w:lineRule="auto"/>
              <w:ind w:left="360"/>
              <w:rPr>
                <w:rFonts w:asciiTheme="minorHAnsi" w:hAnsiTheme="minorHAnsi"/>
                <w:sz w:val="22"/>
                <w:szCs w:val="22"/>
              </w:rPr>
            </w:pPr>
            <w:r w:rsidRPr="00D21BEA">
              <w:rPr>
                <w:rFonts w:asciiTheme="minorHAnsi" w:hAnsiTheme="minorHAnsi"/>
                <w:sz w:val="22"/>
                <w:szCs w:val="22"/>
              </w:rPr>
              <w:t>New stations and upgrades will be constructed using contempor</w:t>
            </w:r>
            <w:r>
              <w:rPr>
                <w:rFonts w:asciiTheme="minorHAnsi" w:hAnsiTheme="minorHAnsi"/>
                <w:sz w:val="22"/>
                <w:szCs w:val="22"/>
              </w:rPr>
              <w:t>ary energy efficient standards.</w:t>
            </w:r>
          </w:p>
        </w:tc>
      </w:tr>
    </w:tbl>
    <w:p w:rsidR="00A17119" w:rsidRPr="00D21BEA" w:rsidRDefault="00A17119" w:rsidP="00A17119">
      <w:pPr>
        <w:rPr>
          <w:rFonts w:asciiTheme="minorHAnsi" w:hAnsiTheme="minorHAnsi"/>
          <w:sz w:val="22"/>
          <w:szCs w:val="22"/>
        </w:rPr>
      </w:pPr>
    </w:p>
    <w:p w:rsidR="004B5ACA" w:rsidRDefault="004B5ACA"/>
    <w:sectPr w:rsidR="004B5A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D6461B"/>
    <w:multiLevelType w:val="hybridMultilevel"/>
    <w:tmpl w:val="576A1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119"/>
    <w:rsid w:val="00461727"/>
    <w:rsid w:val="004B5ACA"/>
    <w:rsid w:val="00A171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1D26AE-872C-41FD-93DD-0FF0E7AAE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119"/>
    <w:pPr>
      <w:spacing w:after="200" w:line="276" w:lineRule="auto"/>
    </w:pPr>
    <w:rPr>
      <w:rFonts w:ascii="Arial" w:eastAsia="Times New Roman" w:hAnsi="Arial" w:cs="Arial"/>
      <w:sz w:val="21"/>
      <w:szCs w:val="2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206</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18/88 ESA Station Upgrade and Relocation Program – Revised priorities and activities</dc:title>
  <dc:subject>18/88 ESA Station Upgrade and Relocation Program – Revised priorities and activities</dc:subject>
  <dc:creator>ACT Government</dc:creator>
  <cp:keywords/>
  <dc:description/>
  <cp:lastModifiedBy>Maniacherry, Ponnu</cp:lastModifiedBy>
  <cp:revision>2</cp:revision>
  <dcterms:created xsi:type="dcterms:W3CDTF">2018-06-04T00:23:00Z</dcterms:created>
  <dcterms:modified xsi:type="dcterms:W3CDTF">2018-06-04T07:02:00Z</dcterms:modified>
</cp:coreProperties>
</file>