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19" w:rsidRPr="00D21BEA" w:rsidRDefault="00A17119" w:rsidP="00A17119">
      <w:pPr>
        <w:spacing w:after="120"/>
        <w:jc w:val="both"/>
        <w:rPr>
          <w:rFonts w:asciiTheme="minorHAnsi" w:hAnsiTheme="minorHAnsi"/>
          <w:b/>
          <w:sz w:val="22"/>
          <w:szCs w:val="22"/>
          <w:lang w:val="en-US"/>
        </w:rPr>
      </w:pPr>
      <w:r w:rsidRPr="00D21BEA">
        <w:rPr>
          <w:rFonts w:asciiTheme="minorHAnsi" w:hAnsiTheme="minorHAnsi"/>
          <w:b/>
          <w:sz w:val="22"/>
          <w:szCs w:val="22"/>
          <w:lang w:val="en-US"/>
        </w:rPr>
        <w:t>Directorate:</w:t>
      </w:r>
      <w:r w:rsidRPr="00D21BEA">
        <w:rPr>
          <w:rFonts w:asciiTheme="minorHAnsi" w:hAnsiTheme="minorHAnsi"/>
          <w:b/>
          <w:sz w:val="22"/>
          <w:szCs w:val="22"/>
          <w:lang w:val="en-US"/>
        </w:rPr>
        <w:tab/>
        <w:t xml:space="preserve">Justice and Community Safety </w:t>
      </w:r>
    </w:p>
    <w:p w:rsidR="00A17119" w:rsidRPr="00D21BEA" w:rsidRDefault="00A17119" w:rsidP="00A17119">
      <w:pPr>
        <w:spacing w:after="120"/>
        <w:jc w:val="both"/>
        <w:rPr>
          <w:rFonts w:asciiTheme="minorHAnsi" w:hAnsiTheme="minorHAnsi"/>
          <w:b/>
          <w:sz w:val="22"/>
          <w:szCs w:val="22"/>
          <w:lang w:val="en-US"/>
        </w:rPr>
      </w:pPr>
      <w:bookmarkStart w:id="0" w:name="_GoBack"/>
      <w:r w:rsidRPr="00D21BEA">
        <w:rPr>
          <w:rFonts w:asciiTheme="minorHAnsi" w:hAnsiTheme="minorHAnsi"/>
          <w:b/>
          <w:sz w:val="22"/>
          <w:szCs w:val="22"/>
          <w:lang w:val="en-US"/>
        </w:rPr>
        <w:t>18/88 ESA Station Upgrade and Relocation Program – Revised priorities and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17119" w:rsidRPr="003A180B" w:rsidTr="00EC635C">
        <w:trPr>
          <w:jc w:val="center"/>
        </w:trPr>
        <w:tc>
          <w:tcPr>
            <w:tcW w:w="9016" w:type="dxa"/>
          </w:tcPr>
          <w:bookmarkEnd w:id="0"/>
          <w:p w:rsidR="00A17119" w:rsidRPr="003A180B" w:rsidRDefault="00A17119" w:rsidP="00EC635C">
            <w:pPr>
              <w:spacing w:before="60" w:after="0"/>
              <w:jc w:val="both"/>
              <w:rPr>
                <w:rFonts w:asciiTheme="minorHAnsi" w:hAnsiTheme="minorHAnsi"/>
                <w:b/>
                <w:bCs/>
                <w:sz w:val="22"/>
                <w:szCs w:val="22"/>
              </w:rPr>
            </w:pPr>
            <w:r w:rsidRPr="003A180B">
              <w:rPr>
                <w:rFonts w:asciiTheme="minorHAnsi" w:hAnsiTheme="minorHAnsi"/>
                <w:b/>
                <w:bCs/>
                <w:sz w:val="22"/>
                <w:szCs w:val="22"/>
              </w:rPr>
              <w:t>Summary of Impacts</w:t>
            </w:r>
          </w:p>
        </w:tc>
      </w:tr>
      <w:tr w:rsidR="00A17119" w:rsidRPr="003A180B" w:rsidTr="00EC635C">
        <w:trPr>
          <w:jc w:val="center"/>
        </w:trPr>
        <w:tc>
          <w:tcPr>
            <w:tcW w:w="9016" w:type="dxa"/>
          </w:tcPr>
          <w:p w:rsidR="00A17119" w:rsidRPr="003A180B" w:rsidRDefault="00A17119"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This submission is an update</w:t>
            </w:r>
            <w:r>
              <w:rPr>
                <w:rFonts w:asciiTheme="minorHAnsi" w:hAnsiTheme="minorHAnsi"/>
                <w:sz w:val="22"/>
                <w:szCs w:val="22"/>
              </w:rPr>
              <w:t xml:space="preserve"> for</w:t>
            </w:r>
            <w:r w:rsidRPr="003A180B">
              <w:rPr>
                <w:rFonts w:asciiTheme="minorHAnsi" w:hAnsiTheme="minorHAnsi"/>
                <w:sz w:val="22"/>
                <w:szCs w:val="22"/>
              </w:rPr>
              <w:t xml:space="preserve"> Cabinet on the Emergency Services Agency’s (ESA) on the changing priorities and activities for the Station Upgrade and Relocation Program (SURP).</w:t>
            </w:r>
          </w:p>
        </w:tc>
      </w:tr>
    </w:tbl>
    <w:p w:rsidR="00A17119" w:rsidRPr="003A180B" w:rsidRDefault="00A17119" w:rsidP="00A17119">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A17119" w:rsidRPr="003A180B" w:rsidRDefault="00A17119" w:rsidP="00A17119">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7513"/>
      </w:tblGrid>
      <w:tr w:rsidR="00A17119" w:rsidRPr="003A180B" w:rsidTr="00EC635C">
        <w:trPr>
          <w:jc w:val="center"/>
        </w:trPr>
        <w:tc>
          <w:tcPr>
            <w:tcW w:w="1526" w:type="dxa"/>
            <w:shd w:val="clear" w:color="auto" w:fill="ED7D31" w:themeFill="accent2"/>
          </w:tcPr>
          <w:p w:rsidR="00A17119" w:rsidRPr="005B642B" w:rsidRDefault="00A17119" w:rsidP="00EC635C">
            <w:pPr>
              <w:jc w:val="both"/>
              <w:rPr>
                <w:rFonts w:asciiTheme="minorHAnsi" w:hAnsiTheme="minorHAnsi"/>
                <w:b/>
                <w:bCs/>
                <w:sz w:val="22"/>
                <w:szCs w:val="22"/>
              </w:rPr>
            </w:pPr>
            <w:r w:rsidRPr="003A180B">
              <w:rPr>
                <w:rFonts w:asciiTheme="minorHAnsi" w:hAnsiTheme="minorHAnsi"/>
                <w:b/>
                <w:bCs/>
                <w:sz w:val="22"/>
                <w:szCs w:val="22"/>
              </w:rPr>
              <w:t>Justice and rights</w:t>
            </w:r>
          </w:p>
        </w:tc>
        <w:tc>
          <w:tcPr>
            <w:tcW w:w="7716" w:type="dxa"/>
          </w:tcPr>
          <w:p w:rsidR="00A17119" w:rsidRPr="003A180B" w:rsidRDefault="00A17119"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There are no justice and rights impacts within this submission.</w:t>
            </w:r>
          </w:p>
        </w:tc>
      </w:tr>
    </w:tbl>
    <w:p w:rsidR="00A17119" w:rsidRPr="003A180B" w:rsidRDefault="00A17119" w:rsidP="00A17119">
      <w:pPr>
        <w:spacing w:before="120" w:after="0"/>
        <w:jc w:val="both"/>
        <w:rPr>
          <w:rFonts w:asciiTheme="minorHAnsi" w:hAnsiTheme="minorHAnsi"/>
          <w:b/>
          <w:bCs/>
          <w:sz w:val="22"/>
          <w:szCs w:val="22"/>
        </w:rPr>
      </w:pPr>
      <w:r w:rsidRPr="003A180B">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496"/>
      </w:tblGrid>
      <w:tr w:rsidR="00A17119" w:rsidRPr="00D21BEA" w:rsidTr="00EC635C">
        <w:trPr>
          <w:trHeight w:val="1277"/>
          <w:jc w:val="center"/>
        </w:trPr>
        <w:tc>
          <w:tcPr>
            <w:tcW w:w="1520" w:type="dxa"/>
            <w:shd w:val="clear" w:color="auto" w:fill="C00000"/>
          </w:tcPr>
          <w:p w:rsidR="00A17119" w:rsidRPr="00D21BEA" w:rsidRDefault="00A17119" w:rsidP="00EC635C">
            <w:pPr>
              <w:jc w:val="both"/>
              <w:rPr>
                <w:rFonts w:asciiTheme="minorHAnsi" w:hAnsiTheme="minorHAnsi"/>
                <w:sz w:val="22"/>
                <w:szCs w:val="22"/>
              </w:rPr>
            </w:pPr>
            <w:r w:rsidRPr="00D21BEA">
              <w:rPr>
                <w:rFonts w:asciiTheme="minorHAnsi" w:hAnsiTheme="minorHAnsi"/>
                <w:b/>
                <w:bCs/>
                <w:sz w:val="22"/>
                <w:szCs w:val="22"/>
              </w:rPr>
              <w:t>ACT Government Budget</w:t>
            </w:r>
          </w:p>
        </w:tc>
        <w:tc>
          <w:tcPr>
            <w:tcW w:w="7496" w:type="dxa"/>
          </w:tcPr>
          <w:p w:rsidR="00A17119" w:rsidRPr="00571504" w:rsidRDefault="00A17119" w:rsidP="00EC635C">
            <w:pPr>
              <w:numPr>
                <w:ilvl w:val="0"/>
                <w:numId w:val="1"/>
              </w:numPr>
              <w:spacing w:after="0" w:line="240" w:lineRule="auto"/>
              <w:ind w:left="360"/>
              <w:rPr>
                <w:rFonts w:asciiTheme="minorHAnsi" w:hAnsiTheme="minorHAnsi"/>
                <w:sz w:val="22"/>
                <w:szCs w:val="22"/>
              </w:rPr>
            </w:pPr>
            <w:r w:rsidRPr="00571504">
              <w:rPr>
                <w:rFonts w:asciiTheme="minorHAnsi" w:hAnsiTheme="minorHAnsi"/>
                <w:sz w:val="22"/>
                <w:szCs w:val="22"/>
              </w:rPr>
              <w:t xml:space="preserve">The revised SURP will require ongoing capital investment to realise the new facilities, with periodic increases in recurrent funding to service increased demand as the city grows.  Until the due diligence studies are completed it is not possible to estimate the costs involved of future projects. </w:t>
            </w:r>
          </w:p>
        </w:tc>
      </w:tr>
      <w:tr w:rsidR="00A17119" w:rsidRPr="00D21BEA" w:rsidTr="00EC635C">
        <w:trPr>
          <w:jc w:val="center"/>
        </w:trPr>
        <w:tc>
          <w:tcPr>
            <w:tcW w:w="1520" w:type="dxa"/>
            <w:shd w:val="clear" w:color="auto" w:fill="92D050"/>
          </w:tcPr>
          <w:p w:rsidR="00A17119" w:rsidRPr="00D21BEA" w:rsidRDefault="00A17119" w:rsidP="00EC635C">
            <w:pPr>
              <w:jc w:val="both"/>
              <w:rPr>
                <w:rFonts w:asciiTheme="minorHAnsi" w:hAnsiTheme="minorHAnsi"/>
                <w:b/>
                <w:bCs/>
                <w:sz w:val="22"/>
                <w:szCs w:val="22"/>
              </w:rPr>
            </w:pPr>
            <w:r w:rsidRPr="00D21BEA">
              <w:rPr>
                <w:rFonts w:asciiTheme="minorHAnsi" w:hAnsiTheme="minorHAnsi"/>
                <w:b/>
                <w:bCs/>
                <w:sz w:val="22"/>
                <w:szCs w:val="22"/>
              </w:rPr>
              <w:t>Productivity</w:t>
            </w:r>
          </w:p>
        </w:tc>
        <w:tc>
          <w:tcPr>
            <w:tcW w:w="7496" w:type="dxa"/>
          </w:tcPr>
          <w:p w:rsidR="00A17119" w:rsidRPr="00437EA3" w:rsidRDefault="00A17119"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Productivity increases will arise from providing emergency services that meet the needs of a growing ACT population, through use of strategically located, fit for purpose facilities.</w:t>
            </w:r>
          </w:p>
        </w:tc>
      </w:tr>
      <w:tr w:rsidR="00A17119" w:rsidRPr="00D21BEA" w:rsidTr="00EC635C">
        <w:trPr>
          <w:jc w:val="center"/>
        </w:trPr>
        <w:tc>
          <w:tcPr>
            <w:tcW w:w="1520" w:type="dxa"/>
            <w:shd w:val="clear" w:color="auto" w:fill="92D050"/>
          </w:tcPr>
          <w:p w:rsidR="00A17119" w:rsidRPr="00D21BEA" w:rsidRDefault="00A17119" w:rsidP="00EC635C">
            <w:pPr>
              <w:jc w:val="both"/>
              <w:rPr>
                <w:rFonts w:asciiTheme="minorHAnsi" w:hAnsiTheme="minorHAnsi"/>
                <w:b/>
                <w:bCs/>
                <w:sz w:val="22"/>
                <w:szCs w:val="22"/>
              </w:rPr>
            </w:pPr>
            <w:r w:rsidRPr="00D21BEA">
              <w:rPr>
                <w:rFonts w:asciiTheme="minorHAnsi" w:hAnsiTheme="minorHAnsi"/>
                <w:b/>
                <w:bCs/>
                <w:sz w:val="22"/>
                <w:szCs w:val="22"/>
              </w:rPr>
              <w:t>Investment</w:t>
            </w:r>
          </w:p>
        </w:tc>
        <w:tc>
          <w:tcPr>
            <w:tcW w:w="7496" w:type="dxa"/>
          </w:tcPr>
          <w:p w:rsidR="00A17119" w:rsidRPr="00437EA3" w:rsidRDefault="00A17119"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There is the potential for an increase in investment given most SURP projects are capital in nature, and would attract local and interstate investment to build stations.</w:t>
            </w:r>
          </w:p>
        </w:tc>
      </w:tr>
      <w:tr w:rsidR="00A17119" w:rsidRPr="00D21BEA" w:rsidTr="00EC635C">
        <w:trPr>
          <w:jc w:val="center"/>
        </w:trPr>
        <w:tc>
          <w:tcPr>
            <w:tcW w:w="1526" w:type="dxa"/>
            <w:shd w:val="clear" w:color="auto" w:fill="ED7D31" w:themeFill="accent2"/>
          </w:tcPr>
          <w:p w:rsidR="00A17119" w:rsidRPr="00D21BEA" w:rsidRDefault="00A17119" w:rsidP="00EC635C">
            <w:pPr>
              <w:jc w:val="both"/>
              <w:rPr>
                <w:rFonts w:asciiTheme="minorHAnsi" w:hAnsiTheme="minorHAnsi"/>
                <w:sz w:val="22"/>
                <w:szCs w:val="22"/>
              </w:rPr>
            </w:pPr>
            <w:r w:rsidRPr="00D21BEA">
              <w:rPr>
                <w:rFonts w:asciiTheme="minorHAnsi" w:hAnsiTheme="minorHAnsi"/>
                <w:b/>
                <w:bCs/>
                <w:sz w:val="22"/>
                <w:szCs w:val="22"/>
              </w:rPr>
              <w:t>Competition</w:t>
            </w:r>
          </w:p>
        </w:tc>
        <w:tc>
          <w:tcPr>
            <w:tcW w:w="7716" w:type="dxa"/>
          </w:tcPr>
          <w:p w:rsidR="00A17119" w:rsidRPr="00437EA3" w:rsidRDefault="00A17119"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There are no competition impacts within this submission.</w:t>
            </w:r>
          </w:p>
        </w:tc>
      </w:tr>
    </w:tbl>
    <w:p w:rsidR="00A17119" w:rsidRPr="003A180B" w:rsidRDefault="00A17119" w:rsidP="00A17119">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514"/>
      </w:tblGrid>
      <w:tr w:rsidR="00A17119" w:rsidRPr="00D21BEA" w:rsidTr="00EC635C">
        <w:trPr>
          <w:jc w:val="center"/>
        </w:trPr>
        <w:tc>
          <w:tcPr>
            <w:tcW w:w="1526" w:type="dxa"/>
            <w:shd w:val="clear" w:color="auto" w:fill="92D050"/>
          </w:tcPr>
          <w:p w:rsidR="00A17119" w:rsidRPr="00D21BEA" w:rsidRDefault="00A17119" w:rsidP="00EC635C">
            <w:pPr>
              <w:jc w:val="both"/>
              <w:rPr>
                <w:rFonts w:asciiTheme="minorHAnsi" w:hAnsiTheme="minorHAnsi"/>
                <w:sz w:val="22"/>
                <w:szCs w:val="22"/>
              </w:rPr>
            </w:pPr>
            <w:r w:rsidRPr="00D21BEA">
              <w:rPr>
                <w:rFonts w:asciiTheme="minorHAnsi" w:hAnsiTheme="minorHAnsi"/>
                <w:b/>
                <w:bCs/>
                <w:sz w:val="22"/>
                <w:szCs w:val="22"/>
              </w:rPr>
              <w:t>Energy</w:t>
            </w:r>
          </w:p>
        </w:tc>
        <w:tc>
          <w:tcPr>
            <w:tcW w:w="7716" w:type="dxa"/>
          </w:tcPr>
          <w:p w:rsidR="00A17119" w:rsidRPr="00437EA3" w:rsidRDefault="00A17119"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New stations and upgrades will be constructed using contempor</w:t>
            </w:r>
            <w:r>
              <w:rPr>
                <w:rFonts w:asciiTheme="minorHAnsi" w:hAnsiTheme="minorHAnsi"/>
                <w:sz w:val="22"/>
                <w:szCs w:val="22"/>
              </w:rPr>
              <w:t>ary energy efficient standards.</w:t>
            </w:r>
          </w:p>
        </w:tc>
      </w:tr>
    </w:tbl>
    <w:p w:rsidR="00A17119" w:rsidRPr="00D21BEA" w:rsidRDefault="00A17119" w:rsidP="00A17119">
      <w:pPr>
        <w:rPr>
          <w:rFonts w:asciiTheme="minorHAnsi" w:hAnsiTheme="minorHAnsi"/>
          <w:sz w:val="22"/>
          <w:szCs w:val="22"/>
        </w:rPr>
      </w:pP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9"/>
    <w:rsid w:val="00461727"/>
    <w:rsid w:val="004B5ACA"/>
    <w:rsid w:val="00A17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D26AE-872C-41FD-93DD-0FF0E7AA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19"/>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18/88 ESA Station Upgrade and Relocation Program – Revised priorities and activities</dc:title>
  <dc:subject>18/88 ESA Station Upgrade and Relocation Program – Revised priorities and activities</dc:subject>
  <dc:creator>ACT Government</dc:creator>
  <cp:keywords/>
  <dc:description/>
  <cp:lastModifiedBy>Maniacherry, Ponnu</cp:lastModifiedBy>
  <cp:revision>2</cp:revision>
  <dcterms:created xsi:type="dcterms:W3CDTF">2018-06-04T00:23:00Z</dcterms:created>
  <dcterms:modified xsi:type="dcterms:W3CDTF">2018-06-04T07:02:00Z</dcterms:modified>
</cp:coreProperties>
</file>