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7124E" w14:textId="77777777" w:rsidR="00200BAC" w:rsidRPr="000509B7" w:rsidRDefault="00200BAC" w:rsidP="00200BAC">
      <w:pPr>
        <w:spacing w:before="200" w:line="240" w:lineRule="auto"/>
        <w:rPr>
          <w:rFonts w:asciiTheme="minorHAnsi" w:hAnsiTheme="minorHAnsi"/>
          <w:b/>
          <w:bCs/>
          <w:color w:val="000000" w:themeColor="text1"/>
        </w:rPr>
      </w:pPr>
      <w:bookmarkStart w:id="0" w:name="_GoBack"/>
      <w:bookmarkEnd w:id="0"/>
      <w:r w:rsidRPr="000509B7">
        <w:rPr>
          <w:rFonts w:asciiTheme="minorHAnsi" w:hAnsiTheme="minorHAnsi"/>
          <w:b/>
          <w:bCs/>
          <w:color w:val="000000" w:themeColor="text1"/>
        </w:rPr>
        <w:t>Directorate:</w:t>
      </w:r>
      <w:r w:rsidRPr="000509B7">
        <w:rPr>
          <w:rFonts w:asciiTheme="minorHAnsi" w:hAnsiTheme="minorHAnsi"/>
          <w:b/>
          <w:bCs/>
          <w:color w:val="000000" w:themeColor="text1"/>
        </w:rPr>
        <w:tab/>
        <w:t xml:space="preserve">Chief Minister, Treasury and Economic Development </w:t>
      </w:r>
    </w:p>
    <w:p w14:paraId="50A60BA2" w14:textId="77777777" w:rsidR="00200BAC" w:rsidRPr="000509B7" w:rsidRDefault="00200BAC" w:rsidP="00200BAC">
      <w:pPr>
        <w:spacing w:before="200" w:line="240" w:lineRule="auto"/>
        <w:rPr>
          <w:rFonts w:asciiTheme="minorHAnsi" w:hAnsiTheme="minorHAnsi"/>
          <w:b/>
          <w:bCs/>
          <w:color w:val="000000" w:themeColor="text1"/>
        </w:rPr>
      </w:pPr>
      <w:r w:rsidRPr="000509B7">
        <w:rPr>
          <w:rFonts w:asciiTheme="minorHAnsi" w:hAnsiTheme="minorHAnsi"/>
          <w:b/>
          <w:bCs/>
          <w:color w:val="000000" w:themeColor="text1"/>
        </w:rPr>
        <w:t xml:space="preserve">17/702 </w:t>
      </w:r>
      <w:r>
        <w:rPr>
          <w:rFonts w:asciiTheme="minorHAnsi" w:hAnsiTheme="minorHAnsi"/>
          <w:b/>
          <w:bCs/>
          <w:color w:val="000000" w:themeColor="text1"/>
        </w:rPr>
        <w:t>-</w:t>
      </w:r>
      <w:r w:rsidRPr="000509B7">
        <w:rPr>
          <w:rFonts w:asciiTheme="minorHAnsi" w:hAnsiTheme="minorHAnsi"/>
          <w:b/>
          <w:bCs/>
          <w:color w:val="000000" w:themeColor="text1"/>
        </w:rPr>
        <w:t xml:space="preserve"> Work Health and Safety </w:t>
      </w:r>
      <w:r>
        <w:rPr>
          <w:rFonts w:asciiTheme="minorHAnsi" w:hAnsiTheme="minorHAnsi"/>
          <w:b/>
          <w:bCs/>
          <w:color w:val="000000" w:themeColor="text1"/>
        </w:rPr>
        <w:t>Legislation Amendments - e</w:t>
      </w:r>
      <w:r w:rsidRPr="000509B7">
        <w:rPr>
          <w:rFonts w:asciiTheme="minorHAnsi" w:hAnsiTheme="minorHAnsi"/>
          <w:b/>
          <w:bCs/>
          <w:color w:val="000000" w:themeColor="text1"/>
        </w:rPr>
        <w:t xml:space="preserve">nhancing </w:t>
      </w:r>
      <w:r>
        <w:rPr>
          <w:rFonts w:asciiTheme="minorHAnsi" w:hAnsiTheme="minorHAnsi"/>
          <w:b/>
          <w:bCs/>
          <w:color w:val="000000" w:themeColor="text1"/>
        </w:rPr>
        <w:t>c</w:t>
      </w:r>
      <w:r w:rsidRPr="000509B7">
        <w:rPr>
          <w:rFonts w:asciiTheme="minorHAnsi" w:hAnsiTheme="minorHAnsi"/>
          <w:b/>
          <w:bCs/>
          <w:color w:val="000000" w:themeColor="text1"/>
        </w:rPr>
        <w:t xml:space="preserve">onstruction </w:t>
      </w:r>
      <w:r>
        <w:rPr>
          <w:rFonts w:asciiTheme="minorHAnsi" w:hAnsiTheme="minorHAnsi"/>
          <w:b/>
          <w:bCs/>
          <w:color w:val="000000" w:themeColor="text1"/>
        </w:rPr>
        <w:t>c</w:t>
      </w:r>
      <w:r w:rsidRPr="000509B7">
        <w:rPr>
          <w:rFonts w:asciiTheme="minorHAnsi" w:hAnsiTheme="minorHAnsi"/>
          <w:b/>
          <w:bCs/>
          <w:color w:val="000000" w:themeColor="text1"/>
        </w:rPr>
        <w:t>ollaboration</w:t>
      </w:r>
    </w:p>
    <w:tbl>
      <w:tblPr>
        <w:tblW w:w="0" w:type="auto"/>
        <w:jc w:val="center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ook w:val="01E0" w:firstRow="1" w:lastRow="1" w:firstColumn="1" w:lastColumn="1" w:noHBand="0" w:noVBand="0"/>
      </w:tblPr>
      <w:tblGrid>
        <w:gridCol w:w="9038"/>
      </w:tblGrid>
      <w:tr w:rsidR="00200BAC" w:rsidRPr="00966EB9" w14:paraId="185775AC" w14:textId="77777777" w:rsidTr="003B6A8A">
        <w:trPr>
          <w:jc w:val="center"/>
        </w:trPr>
        <w:tc>
          <w:tcPr>
            <w:tcW w:w="9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D1922C4" w14:textId="77777777" w:rsidR="00200BAC" w:rsidRPr="000509B7" w:rsidRDefault="00200BAC" w:rsidP="003B6A8A">
            <w:pPr>
              <w:spacing w:before="60" w:after="6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0509B7">
              <w:rPr>
                <w:rFonts w:asciiTheme="minorHAnsi" w:hAnsiTheme="minorHAnsi"/>
                <w:b/>
                <w:bCs/>
                <w:color w:val="000000" w:themeColor="text1"/>
              </w:rPr>
              <w:t>Summary of Impacts</w:t>
            </w:r>
          </w:p>
        </w:tc>
      </w:tr>
      <w:tr w:rsidR="00200BAC" w:rsidRPr="00966EB9" w14:paraId="049520C2" w14:textId="77777777" w:rsidTr="003B6A8A">
        <w:trPr>
          <w:jc w:val="center"/>
        </w:trPr>
        <w:tc>
          <w:tcPr>
            <w:tcW w:w="9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4A115C" w14:textId="77777777" w:rsidR="00200BAC" w:rsidRPr="000509B7" w:rsidRDefault="00200BAC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</w:rPr>
            </w:pPr>
            <w:r w:rsidRPr="00966EB9">
              <w:rPr>
                <w:rFonts w:asciiTheme="minorHAnsi" w:hAnsiTheme="minorHAnsi"/>
              </w:rPr>
              <w:t>The proposed amendments to the Territory’s work health and safety legislation are aimed at enhancing safety collaboration and consultation wit</w:t>
            </w:r>
            <w:r w:rsidRPr="000509B7">
              <w:rPr>
                <w:rFonts w:asciiTheme="minorHAnsi" w:hAnsiTheme="minorHAnsi"/>
              </w:rPr>
              <w:t>hin the ACT construction industry by:</w:t>
            </w:r>
          </w:p>
          <w:p w14:paraId="2A88FA5F" w14:textId="77777777" w:rsidR="00200BAC" w:rsidRPr="000509B7" w:rsidRDefault="00200BAC" w:rsidP="0035704B">
            <w:pPr>
              <w:numPr>
                <w:ilvl w:val="1"/>
                <w:numId w:val="2"/>
              </w:numPr>
              <w:spacing w:before="60" w:after="60" w:line="240" w:lineRule="auto"/>
              <w:ind w:left="714" w:hanging="357"/>
              <w:rPr>
                <w:rFonts w:asciiTheme="minorHAnsi" w:hAnsiTheme="minorHAnsi"/>
              </w:rPr>
            </w:pPr>
            <w:r w:rsidRPr="000509B7">
              <w:rPr>
                <w:rFonts w:asciiTheme="minorHAnsi" w:hAnsiTheme="minorHAnsi"/>
              </w:rPr>
              <w:t>mandating engagement between workers, worker representatives and employers in establishing work groups;</w:t>
            </w:r>
          </w:p>
          <w:p w14:paraId="63F9E367" w14:textId="77777777" w:rsidR="00200BAC" w:rsidRPr="000509B7" w:rsidRDefault="00200BAC" w:rsidP="0035704B">
            <w:pPr>
              <w:numPr>
                <w:ilvl w:val="1"/>
                <w:numId w:val="2"/>
              </w:numPr>
              <w:spacing w:before="60" w:after="60" w:line="240" w:lineRule="auto"/>
              <w:ind w:left="714" w:hanging="357"/>
              <w:rPr>
                <w:rFonts w:asciiTheme="minorHAnsi" w:hAnsiTheme="minorHAnsi"/>
              </w:rPr>
            </w:pPr>
            <w:r w:rsidRPr="000509B7">
              <w:rPr>
                <w:rFonts w:asciiTheme="minorHAnsi" w:hAnsiTheme="minorHAnsi"/>
              </w:rPr>
              <w:t>ensuring workers’ safety interests are represented on construction projects by making the election of a Health and Safety Representative (HSR) mandatory – HSR training will also be mandated;</w:t>
            </w:r>
          </w:p>
          <w:p w14:paraId="0495DEE8" w14:textId="77777777" w:rsidR="00200BAC" w:rsidRPr="000509B7" w:rsidRDefault="00200BAC" w:rsidP="0035704B">
            <w:pPr>
              <w:numPr>
                <w:ilvl w:val="1"/>
                <w:numId w:val="2"/>
              </w:numPr>
              <w:spacing w:before="60" w:after="60" w:line="240" w:lineRule="auto"/>
              <w:ind w:left="714" w:hanging="357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</w:rPr>
              <w:t>ensuring meaningful safety discussions are facilitated in Health and Safety Committees by settling minimum levels of worker representation and mandating training for Committee members.</w:t>
            </w:r>
          </w:p>
        </w:tc>
      </w:tr>
    </w:tbl>
    <w:p w14:paraId="681667F9" w14:textId="77777777" w:rsidR="00200BAC" w:rsidRPr="000509B7" w:rsidRDefault="00200BAC" w:rsidP="00200BAC">
      <w:pPr>
        <w:spacing w:after="120"/>
        <w:rPr>
          <w:rFonts w:asciiTheme="minorHAnsi" w:hAnsiTheme="minorHAnsi"/>
          <w:i/>
          <w:color w:val="000000" w:themeColor="text1"/>
        </w:rPr>
      </w:pPr>
      <w:r w:rsidRPr="00966EB9">
        <w:rPr>
          <w:rFonts w:asciiTheme="minorHAnsi" w:hAnsiTheme="minorHAnsi"/>
          <w:i/>
          <w:color w:val="000000" w:themeColor="text1"/>
        </w:rPr>
        <w:t>Key to impacts: Red – negative, Blue – neutral and Green</w:t>
      </w:r>
      <w:r w:rsidRPr="000509B7">
        <w:rPr>
          <w:rFonts w:asciiTheme="minorHAnsi" w:hAnsiTheme="minorHAnsi"/>
          <w:i/>
          <w:color w:val="000000" w:themeColor="text1"/>
        </w:rPr>
        <w:t xml:space="preserve"> – positive.</w:t>
      </w:r>
    </w:p>
    <w:p w14:paraId="3E9FAFD2" w14:textId="77777777" w:rsidR="00200BAC" w:rsidRPr="000509B7" w:rsidRDefault="00200BAC" w:rsidP="00200BAC">
      <w:pPr>
        <w:spacing w:before="120" w:after="120" w:line="240" w:lineRule="auto"/>
        <w:rPr>
          <w:rFonts w:asciiTheme="minorHAnsi" w:hAnsiTheme="minorHAnsi"/>
          <w:b/>
          <w:bCs/>
          <w:color w:val="000000" w:themeColor="text1"/>
        </w:rPr>
      </w:pPr>
      <w:r w:rsidRPr="000509B7">
        <w:rPr>
          <w:rFonts w:asciiTheme="minorHAnsi" w:hAnsiTheme="minorHAnsi"/>
          <w:b/>
          <w:bCs/>
          <w:color w:val="000000" w:themeColor="text1"/>
        </w:rPr>
        <w:t>Social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4"/>
        <w:gridCol w:w="7534"/>
      </w:tblGrid>
      <w:tr w:rsidR="00200BAC" w:rsidRPr="00966EB9" w14:paraId="0F98965F" w14:textId="77777777" w:rsidTr="003B6A8A">
        <w:trPr>
          <w:jc w:val="center"/>
        </w:trPr>
        <w:tc>
          <w:tcPr>
            <w:tcW w:w="1526" w:type="dxa"/>
            <w:shd w:val="clear" w:color="auto" w:fill="92D050"/>
          </w:tcPr>
          <w:p w14:paraId="0F28E881" w14:textId="77777777" w:rsidR="00200BAC" w:rsidRPr="000509B7" w:rsidRDefault="00200BAC" w:rsidP="003B6A8A">
            <w:pPr>
              <w:spacing w:before="60" w:after="60" w:line="240" w:lineRule="auto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  <w:b/>
                <w:bCs/>
                <w:color w:val="000000" w:themeColor="text1"/>
              </w:rPr>
              <w:t>Justice and rights</w:t>
            </w:r>
          </w:p>
        </w:tc>
        <w:tc>
          <w:tcPr>
            <w:tcW w:w="7716" w:type="dxa"/>
          </w:tcPr>
          <w:p w14:paraId="2F6C4ED7" w14:textId="77777777" w:rsidR="00200BAC" w:rsidRPr="000509B7" w:rsidRDefault="00200BAC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</w:rPr>
            </w:pPr>
            <w:r w:rsidRPr="000509B7">
              <w:rPr>
                <w:rFonts w:asciiTheme="minorHAnsi" w:hAnsiTheme="minorHAnsi"/>
              </w:rPr>
              <w:t xml:space="preserve">These changes aim to promote equal and meaningful worker representation and consultation on ACT construction sites. </w:t>
            </w:r>
          </w:p>
          <w:p w14:paraId="69196DDD" w14:textId="77777777" w:rsidR="00200BAC" w:rsidRPr="000509B7" w:rsidRDefault="00200BAC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</w:rPr>
              <w:t>There are anticipated benefits for all parties. The primary reason for this proposal is to reduce injuries on construction sites and improve the safety culture.</w:t>
            </w:r>
            <w:r w:rsidRPr="000509B7">
              <w:rPr>
                <w:rFonts w:asciiTheme="minorHAnsi" w:hAnsiTheme="minorHAnsi"/>
                <w:color w:val="000000" w:themeColor="text1"/>
              </w:rPr>
              <w:t xml:space="preserve">  </w:t>
            </w:r>
          </w:p>
        </w:tc>
      </w:tr>
    </w:tbl>
    <w:p w14:paraId="6BCD813E" w14:textId="77777777" w:rsidR="00200BAC" w:rsidRPr="00966EB9" w:rsidRDefault="00200BAC" w:rsidP="00200BAC">
      <w:pPr>
        <w:spacing w:before="120" w:after="120" w:line="240" w:lineRule="auto"/>
        <w:rPr>
          <w:rFonts w:asciiTheme="minorHAnsi" w:hAnsiTheme="minorHAnsi"/>
          <w:b/>
          <w:bCs/>
          <w:color w:val="000000" w:themeColor="text1"/>
        </w:rPr>
      </w:pPr>
      <w:r w:rsidRPr="00966EB9">
        <w:rPr>
          <w:rFonts w:asciiTheme="minorHAnsi" w:hAnsiTheme="minorHAnsi"/>
          <w:b/>
          <w:bCs/>
          <w:color w:val="000000" w:themeColor="text1"/>
        </w:rPr>
        <w:t>Economic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9"/>
        <w:gridCol w:w="7519"/>
      </w:tblGrid>
      <w:tr w:rsidR="00200BAC" w:rsidRPr="00966EB9" w14:paraId="562A84F8" w14:textId="77777777" w:rsidTr="003B6A8A">
        <w:trPr>
          <w:jc w:val="center"/>
        </w:trPr>
        <w:tc>
          <w:tcPr>
            <w:tcW w:w="1517" w:type="dxa"/>
            <w:shd w:val="clear" w:color="auto" w:fill="92D050"/>
          </w:tcPr>
          <w:p w14:paraId="45E41358" w14:textId="77777777" w:rsidR="00200BAC" w:rsidRPr="000509B7" w:rsidRDefault="00200BAC" w:rsidP="003B6A8A">
            <w:pPr>
              <w:spacing w:before="60" w:after="60" w:line="240" w:lineRule="auto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  <w:b/>
                <w:bCs/>
                <w:color w:val="000000" w:themeColor="text1"/>
              </w:rPr>
              <w:t>ACT Government Budget</w:t>
            </w:r>
          </w:p>
        </w:tc>
        <w:tc>
          <w:tcPr>
            <w:tcW w:w="7521" w:type="dxa"/>
          </w:tcPr>
          <w:p w14:paraId="59C6FF7E" w14:textId="77777777" w:rsidR="00200BAC" w:rsidRPr="000509B7" w:rsidRDefault="00200BAC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</w:rPr>
            </w:pPr>
            <w:r w:rsidRPr="000509B7">
              <w:rPr>
                <w:rFonts w:asciiTheme="minorHAnsi" w:hAnsiTheme="minorHAnsi"/>
              </w:rPr>
              <w:t>The proposed changes are limited to the ACT construction industry. As a result, any increased costs in time and resources will be limited to the construction industry where there is a greater risk to safety and a higher rate of non-compliance.</w:t>
            </w:r>
          </w:p>
          <w:p w14:paraId="42446D86" w14:textId="1C00C6CA" w:rsidR="00200BAC" w:rsidRPr="000509B7" w:rsidRDefault="00200BAC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n</w:t>
            </w:r>
            <w:r w:rsidRPr="000509B7">
              <w:rPr>
                <w:rFonts w:asciiTheme="minorHAnsi" w:hAnsiTheme="minorHAnsi"/>
              </w:rPr>
              <w:t xml:space="preserve"> assessment of the impact on business </w:t>
            </w:r>
            <w:r>
              <w:rPr>
                <w:rFonts w:asciiTheme="minorHAnsi" w:hAnsiTheme="minorHAnsi"/>
              </w:rPr>
              <w:t>was undertaken</w:t>
            </w:r>
            <w:r w:rsidRPr="000509B7">
              <w:rPr>
                <w:rFonts w:asciiTheme="minorHAnsi" w:hAnsiTheme="minorHAnsi"/>
              </w:rPr>
              <w:t xml:space="preserve"> following consultation</w:t>
            </w:r>
            <w:r>
              <w:rPr>
                <w:rFonts w:asciiTheme="minorHAnsi" w:hAnsiTheme="minorHAnsi"/>
              </w:rPr>
              <w:t xml:space="preserve"> with </w:t>
            </w:r>
            <w:r w:rsidR="008A7EBF">
              <w:rPr>
                <w:rFonts w:asciiTheme="minorHAnsi" w:hAnsiTheme="minorHAnsi"/>
              </w:rPr>
              <w:t xml:space="preserve">the </w:t>
            </w:r>
            <w:r w:rsidRPr="000509B7">
              <w:rPr>
                <w:rFonts w:asciiTheme="minorHAnsi" w:hAnsiTheme="minorHAnsi"/>
              </w:rPr>
              <w:t>ACT construction industry</w:t>
            </w:r>
            <w:r>
              <w:rPr>
                <w:rFonts w:asciiTheme="minorHAnsi" w:hAnsiTheme="minorHAnsi"/>
              </w:rPr>
              <w:t>.</w:t>
            </w:r>
          </w:p>
        </w:tc>
      </w:tr>
      <w:tr w:rsidR="00200BAC" w:rsidRPr="00966EB9" w14:paraId="3D5E224E" w14:textId="77777777" w:rsidTr="003B6A8A">
        <w:trPr>
          <w:jc w:val="center"/>
        </w:trPr>
        <w:tc>
          <w:tcPr>
            <w:tcW w:w="1517" w:type="dxa"/>
            <w:shd w:val="clear" w:color="auto" w:fill="92D050"/>
          </w:tcPr>
          <w:p w14:paraId="383C0F63" w14:textId="77777777" w:rsidR="00200BAC" w:rsidRPr="00966EB9" w:rsidRDefault="00200BAC" w:rsidP="003B6A8A">
            <w:pPr>
              <w:spacing w:before="60" w:after="6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66EB9">
              <w:rPr>
                <w:rFonts w:asciiTheme="minorHAnsi" w:hAnsiTheme="minorHAnsi"/>
                <w:b/>
                <w:bCs/>
                <w:color w:val="000000" w:themeColor="text1"/>
              </w:rPr>
              <w:t>Productivity</w:t>
            </w:r>
          </w:p>
        </w:tc>
        <w:tc>
          <w:tcPr>
            <w:tcW w:w="7521" w:type="dxa"/>
          </w:tcPr>
          <w:p w14:paraId="73271504" w14:textId="77777777" w:rsidR="00200BAC" w:rsidRPr="000509B7" w:rsidRDefault="00200BAC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</w:rPr>
              <w:t>Although mandating workers to undertake training courses will, in the first instance, be a productivity burden on an employer, this is expected to be offset by the positive impact on safety outcomes (i.e. reduced safety incidents across the workplace resulting in greater productivity).</w:t>
            </w:r>
          </w:p>
        </w:tc>
      </w:tr>
      <w:tr w:rsidR="00200BAC" w:rsidRPr="00966EB9" w14:paraId="0BFAA2C4" w14:textId="77777777" w:rsidTr="003B6A8A">
        <w:trPr>
          <w:jc w:val="center"/>
        </w:trPr>
        <w:tc>
          <w:tcPr>
            <w:tcW w:w="1517" w:type="dxa"/>
            <w:shd w:val="clear" w:color="auto" w:fill="92D050"/>
          </w:tcPr>
          <w:p w14:paraId="5F56DAE2" w14:textId="77777777" w:rsidR="00200BAC" w:rsidRPr="00966EB9" w:rsidRDefault="00200BAC" w:rsidP="003B6A8A">
            <w:pPr>
              <w:spacing w:before="60" w:after="60" w:line="240" w:lineRule="auto"/>
              <w:rPr>
                <w:rFonts w:asciiTheme="minorHAnsi" w:hAnsiTheme="minorHAnsi"/>
                <w:b/>
                <w:bCs/>
                <w:color w:val="000000" w:themeColor="text1"/>
              </w:rPr>
            </w:pPr>
            <w:r w:rsidRPr="00966EB9">
              <w:rPr>
                <w:rFonts w:asciiTheme="minorHAnsi" w:hAnsiTheme="minorHAnsi"/>
                <w:b/>
                <w:bCs/>
                <w:color w:val="000000" w:themeColor="text1"/>
              </w:rPr>
              <w:t>Investment</w:t>
            </w:r>
          </w:p>
        </w:tc>
        <w:tc>
          <w:tcPr>
            <w:tcW w:w="7521" w:type="dxa"/>
          </w:tcPr>
          <w:p w14:paraId="2217F40F" w14:textId="64D6EF8C" w:rsidR="00200BAC" w:rsidRPr="000509B7" w:rsidRDefault="00200BAC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</w:rPr>
              <w:t>Nil</w:t>
            </w:r>
            <w:r w:rsidR="008A7EBF">
              <w:rPr>
                <w:rFonts w:asciiTheme="minorHAnsi" w:hAnsiTheme="minorHAnsi"/>
              </w:rPr>
              <w:t>.</w:t>
            </w:r>
          </w:p>
        </w:tc>
      </w:tr>
      <w:tr w:rsidR="00200BAC" w:rsidRPr="00966EB9" w14:paraId="626BD644" w14:textId="77777777" w:rsidTr="003B6A8A">
        <w:trPr>
          <w:jc w:val="center"/>
        </w:trPr>
        <w:tc>
          <w:tcPr>
            <w:tcW w:w="1519" w:type="dxa"/>
            <w:shd w:val="clear" w:color="auto" w:fill="92D050"/>
          </w:tcPr>
          <w:p w14:paraId="2942FF56" w14:textId="77777777" w:rsidR="00200BAC" w:rsidRPr="00966EB9" w:rsidRDefault="00200BAC" w:rsidP="003B6A8A">
            <w:pPr>
              <w:spacing w:before="60" w:after="60" w:line="240" w:lineRule="auto"/>
              <w:rPr>
                <w:rFonts w:asciiTheme="minorHAnsi" w:hAnsiTheme="minorHAnsi"/>
                <w:color w:val="000000" w:themeColor="text1"/>
              </w:rPr>
            </w:pPr>
            <w:r w:rsidRPr="00966EB9">
              <w:rPr>
                <w:rFonts w:asciiTheme="minorHAnsi" w:hAnsiTheme="minorHAnsi"/>
                <w:b/>
                <w:bCs/>
                <w:color w:val="000000" w:themeColor="text1"/>
              </w:rPr>
              <w:t>Competition</w:t>
            </w:r>
          </w:p>
        </w:tc>
        <w:tc>
          <w:tcPr>
            <w:tcW w:w="7519" w:type="dxa"/>
          </w:tcPr>
          <w:p w14:paraId="0A4A60AF" w14:textId="24B0C898" w:rsidR="00200BAC" w:rsidRPr="000509B7" w:rsidRDefault="00200BAC" w:rsidP="003B6A8A">
            <w:pPr>
              <w:numPr>
                <w:ilvl w:val="0"/>
                <w:numId w:val="2"/>
              </w:numPr>
              <w:spacing w:before="60" w:after="60" w:line="240" w:lineRule="auto"/>
              <w:ind w:left="360"/>
              <w:rPr>
                <w:rFonts w:asciiTheme="minorHAnsi" w:hAnsiTheme="minorHAnsi"/>
                <w:color w:val="000000" w:themeColor="text1"/>
              </w:rPr>
            </w:pPr>
            <w:r w:rsidRPr="000509B7">
              <w:rPr>
                <w:rFonts w:asciiTheme="minorHAnsi" w:hAnsiTheme="minorHAnsi"/>
              </w:rPr>
              <w:t>Nil</w:t>
            </w:r>
            <w:r w:rsidR="008A7EBF">
              <w:rPr>
                <w:rFonts w:asciiTheme="minorHAnsi" w:hAnsiTheme="minorHAnsi"/>
              </w:rPr>
              <w:t>.</w:t>
            </w:r>
          </w:p>
        </w:tc>
      </w:tr>
    </w:tbl>
    <w:p w14:paraId="5E07CD7C" w14:textId="77777777" w:rsidR="00200BAC" w:rsidRPr="00966EB9" w:rsidRDefault="00200BAC" w:rsidP="00200BAC">
      <w:pPr>
        <w:spacing w:before="120" w:after="120" w:line="240" w:lineRule="auto"/>
        <w:rPr>
          <w:rFonts w:asciiTheme="minorHAnsi" w:hAnsiTheme="minorHAnsi"/>
          <w:b/>
          <w:bCs/>
          <w:color w:val="000000" w:themeColor="text1"/>
        </w:rPr>
      </w:pPr>
      <w:r w:rsidRPr="00966EB9">
        <w:rPr>
          <w:rFonts w:asciiTheme="minorHAnsi" w:hAnsiTheme="minorHAnsi"/>
          <w:b/>
          <w:bCs/>
          <w:color w:val="000000" w:themeColor="text1"/>
        </w:rPr>
        <w:t>Environmental</w:t>
      </w:r>
    </w:p>
    <w:p w14:paraId="6C6305A1" w14:textId="261565A6" w:rsidR="00200BAC" w:rsidRPr="000509B7" w:rsidRDefault="00200BAC" w:rsidP="00200BAC">
      <w:pPr>
        <w:spacing w:before="120"/>
        <w:rPr>
          <w:rFonts w:asciiTheme="minorHAnsi" w:hAnsiTheme="minorHAnsi"/>
          <w:color w:val="000000" w:themeColor="text1"/>
        </w:rPr>
      </w:pPr>
      <w:r w:rsidRPr="000509B7">
        <w:rPr>
          <w:rFonts w:asciiTheme="minorHAnsi" w:hAnsiTheme="minorHAnsi"/>
          <w:color w:val="000000" w:themeColor="text1"/>
        </w:rPr>
        <w:t xml:space="preserve">No </w:t>
      </w:r>
      <w:r w:rsidR="008A7EBF" w:rsidRPr="000509B7">
        <w:rPr>
          <w:rFonts w:asciiTheme="minorHAnsi" w:hAnsiTheme="minorHAnsi"/>
          <w:color w:val="000000" w:themeColor="text1"/>
        </w:rPr>
        <w:t>impact</w:t>
      </w:r>
      <w:r w:rsidR="008A7EBF">
        <w:rPr>
          <w:rFonts w:asciiTheme="minorHAnsi" w:hAnsiTheme="minorHAnsi"/>
          <w:color w:val="000000" w:themeColor="text1"/>
        </w:rPr>
        <w:t>.</w:t>
      </w:r>
    </w:p>
    <w:p w14:paraId="5F05E365" w14:textId="1AB95B68" w:rsidR="000509B7" w:rsidRPr="00200BAC" w:rsidRDefault="000509B7" w:rsidP="00200BAC">
      <w:pPr>
        <w:spacing w:after="160" w:line="259" w:lineRule="auto"/>
        <w:rPr>
          <w:rFonts w:asciiTheme="minorHAnsi" w:hAnsiTheme="minorHAnsi"/>
          <w:b/>
          <w:bCs/>
          <w:color w:val="000000" w:themeColor="text1"/>
        </w:rPr>
      </w:pPr>
    </w:p>
    <w:sectPr w:rsidR="000509B7" w:rsidRPr="00200BAC" w:rsidSect="00A80730">
      <w:footnotePr>
        <w:numRestart w:val="eachSect"/>
      </w:footnotePr>
      <w:type w:val="continuous"/>
      <w:pgSz w:w="11906" w:h="16838"/>
      <w:pgMar w:top="1242" w:right="1440" w:bottom="709" w:left="1418" w:header="567" w:footer="3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CE61E5B" w14:textId="77777777" w:rsidR="00E170A3" w:rsidRDefault="00E170A3" w:rsidP="009041C7">
      <w:pPr>
        <w:spacing w:after="0" w:line="240" w:lineRule="auto"/>
      </w:pPr>
      <w:r>
        <w:separator/>
      </w:r>
    </w:p>
  </w:endnote>
  <w:endnote w:type="continuationSeparator" w:id="0">
    <w:p w14:paraId="559A4ACD" w14:textId="77777777" w:rsidR="00E170A3" w:rsidRDefault="00E170A3" w:rsidP="009041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741102" w14:textId="77777777" w:rsidR="00E170A3" w:rsidRDefault="00E170A3" w:rsidP="009041C7">
      <w:pPr>
        <w:spacing w:after="0" w:line="240" w:lineRule="auto"/>
      </w:pPr>
      <w:r>
        <w:separator/>
      </w:r>
    </w:p>
  </w:footnote>
  <w:footnote w:type="continuationSeparator" w:id="0">
    <w:p w14:paraId="4A30B665" w14:textId="77777777" w:rsidR="00E170A3" w:rsidRDefault="00E170A3" w:rsidP="009041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6F4730"/>
    <w:multiLevelType w:val="hybridMultilevel"/>
    <w:tmpl w:val="93ACB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314CDA"/>
    <w:multiLevelType w:val="hybridMultilevel"/>
    <w:tmpl w:val="2F7E85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AF464F"/>
    <w:multiLevelType w:val="hybridMultilevel"/>
    <w:tmpl w:val="EBD61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D6461B"/>
    <w:multiLevelType w:val="hybridMultilevel"/>
    <w:tmpl w:val="31DE686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E171AF"/>
    <w:multiLevelType w:val="hybridMultilevel"/>
    <w:tmpl w:val="E910BC44"/>
    <w:lvl w:ilvl="0" w:tplc="30F0BC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43266E5"/>
    <w:multiLevelType w:val="hybridMultilevel"/>
    <w:tmpl w:val="7334FD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A05918"/>
    <w:multiLevelType w:val="hybridMultilevel"/>
    <w:tmpl w:val="48F08E22"/>
    <w:lvl w:ilvl="0" w:tplc="4D7E39C4">
      <w:start w:val="1"/>
      <w:numFmt w:val="bullet"/>
      <w:pStyle w:val="Bulletpoint"/>
      <w:lvlText w:val=""/>
      <w:lvlJc w:val="left"/>
      <w:pPr>
        <w:tabs>
          <w:tab w:val="num" w:pos="927"/>
        </w:tabs>
        <w:ind w:left="927" w:hanging="567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76A0B89"/>
    <w:multiLevelType w:val="hybridMultilevel"/>
    <w:tmpl w:val="835865F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73802E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2"/>
  </w:num>
  <w:num w:numId="5">
    <w:abstractNumId w:val="0"/>
  </w:num>
  <w:num w:numId="6">
    <w:abstractNumId w:val="5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20"/>
  <w:characterSpacingControl w:val="doNotCompress"/>
  <w:hdrShapeDefaults>
    <o:shapedefaults v:ext="edit" spidmax="9420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15D9"/>
    <w:rsid w:val="00024B3B"/>
    <w:rsid w:val="000509B7"/>
    <w:rsid w:val="0006131B"/>
    <w:rsid w:val="00091628"/>
    <w:rsid w:val="000C2F9A"/>
    <w:rsid w:val="000C3FD2"/>
    <w:rsid w:val="000E6A5B"/>
    <w:rsid w:val="0012116E"/>
    <w:rsid w:val="001945FF"/>
    <w:rsid w:val="00200BAC"/>
    <w:rsid w:val="00282429"/>
    <w:rsid w:val="002B5F53"/>
    <w:rsid w:val="002C5063"/>
    <w:rsid w:val="002E146C"/>
    <w:rsid w:val="002F15D9"/>
    <w:rsid w:val="0035704B"/>
    <w:rsid w:val="0038149F"/>
    <w:rsid w:val="00383CBB"/>
    <w:rsid w:val="0039154F"/>
    <w:rsid w:val="003D50B9"/>
    <w:rsid w:val="003E4F03"/>
    <w:rsid w:val="00425BD9"/>
    <w:rsid w:val="00426BD2"/>
    <w:rsid w:val="00433827"/>
    <w:rsid w:val="00446767"/>
    <w:rsid w:val="004557F1"/>
    <w:rsid w:val="00455889"/>
    <w:rsid w:val="0046471C"/>
    <w:rsid w:val="004D51BB"/>
    <w:rsid w:val="004E4513"/>
    <w:rsid w:val="004F72CA"/>
    <w:rsid w:val="005151F6"/>
    <w:rsid w:val="00534E14"/>
    <w:rsid w:val="0055530B"/>
    <w:rsid w:val="005613E4"/>
    <w:rsid w:val="00575F46"/>
    <w:rsid w:val="00580319"/>
    <w:rsid w:val="00580B7F"/>
    <w:rsid w:val="00584E17"/>
    <w:rsid w:val="005B1E0D"/>
    <w:rsid w:val="005C4A84"/>
    <w:rsid w:val="005F446E"/>
    <w:rsid w:val="006033C5"/>
    <w:rsid w:val="0063051E"/>
    <w:rsid w:val="0063212C"/>
    <w:rsid w:val="0065455C"/>
    <w:rsid w:val="00654652"/>
    <w:rsid w:val="00663B63"/>
    <w:rsid w:val="006657D8"/>
    <w:rsid w:val="006B7146"/>
    <w:rsid w:val="007104EA"/>
    <w:rsid w:val="007400D4"/>
    <w:rsid w:val="0074403C"/>
    <w:rsid w:val="00764D79"/>
    <w:rsid w:val="007979E7"/>
    <w:rsid w:val="007B44D5"/>
    <w:rsid w:val="007C07EE"/>
    <w:rsid w:val="007E0AD7"/>
    <w:rsid w:val="008232E2"/>
    <w:rsid w:val="00850B04"/>
    <w:rsid w:val="008A50E6"/>
    <w:rsid w:val="008A7EBF"/>
    <w:rsid w:val="008B2545"/>
    <w:rsid w:val="008B3320"/>
    <w:rsid w:val="008B6CEE"/>
    <w:rsid w:val="008C071B"/>
    <w:rsid w:val="008C4BC9"/>
    <w:rsid w:val="008D2C42"/>
    <w:rsid w:val="009041C7"/>
    <w:rsid w:val="00913FA9"/>
    <w:rsid w:val="0095779D"/>
    <w:rsid w:val="00961470"/>
    <w:rsid w:val="00966EB9"/>
    <w:rsid w:val="009A03A0"/>
    <w:rsid w:val="009A2EF2"/>
    <w:rsid w:val="009B0DDD"/>
    <w:rsid w:val="009B1C1D"/>
    <w:rsid w:val="009B4E96"/>
    <w:rsid w:val="009C24CB"/>
    <w:rsid w:val="009E16EA"/>
    <w:rsid w:val="00A41FC1"/>
    <w:rsid w:val="00A65C62"/>
    <w:rsid w:val="00A71DF3"/>
    <w:rsid w:val="00A80730"/>
    <w:rsid w:val="00AC35A2"/>
    <w:rsid w:val="00B00DC1"/>
    <w:rsid w:val="00B41519"/>
    <w:rsid w:val="00B52E5E"/>
    <w:rsid w:val="00B727F6"/>
    <w:rsid w:val="00B75835"/>
    <w:rsid w:val="00B86D1B"/>
    <w:rsid w:val="00B9178A"/>
    <w:rsid w:val="00BB641E"/>
    <w:rsid w:val="00BC4A9E"/>
    <w:rsid w:val="00BF2A09"/>
    <w:rsid w:val="00C17089"/>
    <w:rsid w:val="00C2489F"/>
    <w:rsid w:val="00C271AE"/>
    <w:rsid w:val="00C53382"/>
    <w:rsid w:val="00C912AA"/>
    <w:rsid w:val="00CA2605"/>
    <w:rsid w:val="00CC41FF"/>
    <w:rsid w:val="00CD08E7"/>
    <w:rsid w:val="00CE50C8"/>
    <w:rsid w:val="00CF5FA5"/>
    <w:rsid w:val="00CF6227"/>
    <w:rsid w:val="00D02042"/>
    <w:rsid w:val="00D115C3"/>
    <w:rsid w:val="00D34FF1"/>
    <w:rsid w:val="00D677A2"/>
    <w:rsid w:val="00D848AA"/>
    <w:rsid w:val="00DB5B40"/>
    <w:rsid w:val="00DB7E9C"/>
    <w:rsid w:val="00E170A3"/>
    <w:rsid w:val="00E252F0"/>
    <w:rsid w:val="00EB2853"/>
    <w:rsid w:val="00EB64A6"/>
    <w:rsid w:val="00F32B7B"/>
    <w:rsid w:val="00F548F5"/>
    <w:rsid w:val="00F64C12"/>
    <w:rsid w:val="00F65981"/>
    <w:rsid w:val="00F772BB"/>
    <w:rsid w:val="00FA3109"/>
    <w:rsid w:val="00FB1845"/>
    <w:rsid w:val="00FE4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."/>
  <w:listSeparator w:val=","/>
  <w14:docId w14:val="00BFB5DA"/>
  <w15:chartTrackingRefBased/>
  <w15:docId w15:val="{515E4DA0-2B16-46F1-9D48-974C212BB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41C7"/>
    <w:pPr>
      <w:spacing w:after="200" w:line="276" w:lineRule="auto"/>
    </w:pPr>
    <w:rPr>
      <w:rFonts w:ascii="Arial" w:eastAsia="Times New Roman" w:hAnsi="Arial" w:cs="Arial"/>
      <w:sz w:val="21"/>
      <w:szCs w:val="21"/>
      <w:lang w:eastAsia="en-AU"/>
    </w:rPr>
  </w:style>
  <w:style w:type="paragraph" w:styleId="Heading1">
    <w:name w:val="heading 1"/>
    <w:basedOn w:val="Normal"/>
    <w:next w:val="Normal"/>
    <w:link w:val="Heading1Char"/>
    <w:autoRedefine/>
    <w:uiPriority w:val="99"/>
    <w:qFormat/>
    <w:rsid w:val="00C17089"/>
    <w:pPr>
      <w:keepNext/>
      <w:keepLines/>
      <w:spacing w:after="400" w:line="240" w:lineRule="atLeast"/>
      <w:outlineLvl w:val="0"/>
    </w:pPr>
    <w:rPr>
      <w:rFonts w:eastAsia="Constantia"/>
      <w:color w:val="4BACC6"/>
      <w:sz w:val="36"/>
      <w:szCs w:val="36"/>
    </w:rPr>
  </w:style>
  <w:style w:type="paragraph" w:styleId="Heading2">
    <w:name w:val="heading 2"/>
    <w:basedOn w:val="Heading1"/>
    <w:next w:val="Normal"/>
    <w:link w:val="Heading2Char"/>
    <w:uiPriority w:val="99"/>
    <w:qFormat/>
    <w:rsid w:val="00CD08E7"/>
    <w:pPr>
      <w:spacing w:before="400" w:after="200"/>
      <w:jc w:val="both"/>
      <w:outlineLvl w:val="1"/>
    </w:pPr>
    <w:rPr>
      <w:rFonts w:ascii="Cambria" w:hAnsi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71AE"/>
    <w:pPr>
      <w:keepNext/>
      <w:spacing w:before="240" w:after="60"/>
      <w:outlineLvl w:val="2"/>
    </w:pPr>
    <w:rPr>
      <w:rFonts w:ascii="Calibri Light" w:hAnsi="Calibri Light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041C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041C7"/>
    <w:rPr>
      <w:rFonts w:ascii="Arial" w:eastAsia="Times New Roman" w:hAnsi="Arial" w:cs="Arial"/>
      <w:sz w:val="21"/>
      <w:szCs w:val="21"/>
      <w:lang w:eastAsia="en-AU"/>
    </w:rPr>
  </w:style>
  <w:style w:type="paragraph" w:customStyle="1" w:styleId="Bulletpoint">
    <w:name w:val="Bullet point"/>
    <w:basedOn w:val="Normal"/>
    <w:uiPriority w:val="99"/>
    <w:rsid w:val="009041C7"/>
    <w:pPr>
      <w:numPr>
        <w:numId w:val="1"/>
      </w:numPr>
      <w:spacing w:after="100"/>
      <w:jc w:val="both"/>
    </w:pPr>
    <w:rPr>
      <w:rFonts w:ascii="Calibri" w:hAnsi="Calibri"/>
      <w:sz w:val="22"/>
      <w:szCs w:val="22"/>
    </w:rPr>
  </w:style>
  <w:style w:type="paragraph" w:customStyle="1" w:styleId="StyleBulletpoint105pt">
    <w:name w:val="Style Bullet point + 10.5 pt"/>
    <w:basedOn w:val="Bulletpoint"/>
    <w:link w:val="StyleBulletpoint105ptChar"/>
    <w:uiPriority w:val="99"/>
    <w:rsid w:val="009041C7"/>
    <w:rPr>
      <w:sz w:val="21"/>
      <w:szCs w:val="21"/>
    </w:rPr>
  </w:style>
  <w:style w:type="character" w:customStyle="1" w:styleId="StyleBulletpoint105ptChar">
    <w:name w:val="Style Bullet point + 10.5 pt Char"/>
    <w:link w:val="StyleBulletpoint105pt"/>
    <w:uiPriority w:val="99"/>
    <w:locked/>
    <w:rsid w:val="009041C7"/>
    <w:rPr>
      <w:rFonts w:ascii="Calibri" w:eastAsia="Times New Roman" w:hAnsi="Calibri" w:cs="Arial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041C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1C7"/>
    <w:rPr>
      <w:rFonts w:ascii="Arial" w:eastAsia="Times New Roman" w:hAnsi="Arial" w:cs="Arial"/>
      <w:sz w:val="21"/>
      <w:szCs w:val="21"/>
      <w:lang w:eastAsia="en-AU"/>
    </w:rPr>
  </w:style>
  <w:style w:type="paragraph" w:styleId="ListParagraph">
    <w:name w:val="List Paragraph"/>
    <w:basedOn w:val="Normal"/>
    <w:uiPriority w:val="99"/>
    <w:qFormat/>
    <w:rsid w:val="009041C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814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8149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8149F"/>
    <w:rPr>
      <w:rFonts w:ascii="Arial" w:eastAsia="Times New Roman" w:hAnsi="Arial" w:cs="Arial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14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149F"/>
    <w:rPr>
      <w:rFonts w:ascii="Arial" w:eastAsia="Times New Roman" w:hAnsi="Arial" w:cs="Arial"/>
      <w:b/>
      <w:bCs/>
      <w:sz w:val="20"/>
      <w:szCs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14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149F"/>
    <w:rPr>
      <w:rFonts w:ascii="Segoe UI" w:eastAsia="Times New Roman" w:hAnsi="Segoe UI" w:cs="Segoe UI"/>
      <w:sz w:val="18"/>
      <w:szCs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9"/>
    <w:rsid w:val="00C17089"/>
    <w:rPr>
      <w:rFonts w:ascii="Arial" w:eastAsia="Constantia" w:hAnsi="Arial" w:cs="Arial"/>
      <w:color w:val="4BACC6"/>
      <w:sz w:val="36"/>
      <w:szCs w:val="36"/>
      <w:lang w:eastAsia="en-AU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71AE"/>
    <w:rPr>
      <w:rFonts w:ascii="Calibri Light" w:eastAsia="Times New Roman" w:hAnsi="Calibri Light" w:cs="Times New Roman"/>
      <w:b/>
      <w:bCs/>
      <w:sz w:val="26"/>
      <w:szCs w:val="26"/>
      <w:lang w:eastAsia="en-AU"/>
    </w:rPr>
  </w:style>
  <w:style w:type="table" w:styleId="TableGrid">
    <w:name w:val="Table Grid"/>
    <w:basedOn w:val="TableNormal"/>
    <w:uiPriority w:val="59"/>
    <w:rsid w:val="0095779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semiHidden/>
    <w:unhideWhenUsed/>
    <w:rsid w:val="00A65C6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65C62"/>
    <w:rPr>
      <w:rFonts w:ascii="Arial" w:eastAsia="Times New Roman" w:hAnsi="Arial" w:cs="Arial"/>
      <w:sz w:val="20"/>
      <w:szCs w:val="20"/>
      <w:lang w:eastAsia="en-AU"/>
    </w:rPr>
  </w:style>
  <w:style w:type="character" w:styleId="FootnoteReference">
    <w:name w:val="footnote reference"/>
    <w:semiHidden/>
    <w:unhideWhenUsed/>
    <w:rsid w:val="00A65C62"/>
    <w:rPr>
      <w:vertAlign w:val="superscript"/>
    </w:rPr>
  </w:style>
  <w:style w:type="character" w:styleId="Hyperlink">
    <w:name w:val="Hyperlink"/>
    <w:uiPriority w:val="99"/>
    <w:unhideWhenUsed/>
    <w:rsid w:val="00A65C62"/>
    <w:rPr>
      <w:color w:val="0563C1"/>
      <w:u w:val="single"/>
    </w:rPr>
  </w:style>
  <w:style w:type="paragraph" w:styleId="Revision">
    <w:name w:val="Revision"/>
    <w:hidden/>
    <w:uiPriority w:val="99"/>
    <w:semiHidden/>
    <w:rsid w:val="003D50B9"/>
    <w:pPr>
      <w:spacing w:after="0" w:line="240" w:lineRule="auto"/>
    </w:pPr>
    <w:rPr>
      <w:rFonts w:ascii="Arial" w:eastAsia="Times New Roman" w:hAnsi="Arial" w:cs="Arial"/>
      <w:sz w:val="21"/>
      <w:szCs w:val="21"/>
      <w:lang w:eastAsia="en-AU"/>
    </w:rPr>
  </w:style>
  <w:style w:type="paragraph" w:customStyle="1" w:styleId="Text">
    <w:name w:val="Text"/>
    <w:basedOn w:val="Normal"/>
    <w:rsid w:val="00CD08E7"/>
    <w:pPr>
      <w:autoSpaceDE w:val="0"/>
      <w:autoSpaceDN w:val="0"/>
      <w:adjustRightInd w:val="0"/>
      <w:jc w:val="both"/>
    </w:pPr>
    <w:rPr>
      <w:rFonts w:ascii="Calibri" w:hAnsi="Calibri"/>
      <w:color w:val="000000"/>
      <w:sz w:val="22"/>
      <w:szCs w:val="22"/>
    </w:rPr>
  </w:style>
  <w:style w:type="character" w:customStyle="1" w:styleId="A3">
    <w:name w:val="A3"/>
    <w:uiPriority w:val="99"/>
    <w:rsid w:val="00CD08E7"/>
    <w:rPr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9"/>
    <w:rsid w:val="00CD08E7"/>
    <w:rPr>
      <w:rFonts w:ascii="Cambria" w:eastAsia="Constantia" w:hAnsi="Cambria" w:cs="Arial"/>
      <w:b/>
      <w:color w:val="4F81BD"/>
      <w:sz w:val="26"/>
      <w:szCs w:val="26"/>
      <w:lang w:eastAsia="en-AU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64D79"/>
    <w:pPr>
      <w:spacing w:after="0" w:line="240" w:lineRule="auto"/>
    </w:pPr>
    <w:rPr>
      <w:rFonts w:ascii="Calibri" w:eastAsiaTheme="minorHAnsi" w:hAnsi="Calibri" w:cstheme="minorBidi"/>
      <w:sz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64D79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21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35DF7B-DCE0-4768-8DAC-67E8B3A496C9}">
  <ds:schemaRefs>
    <ds:schemaRef ds:uri="http://schemas.microsoft.com/office/infopath/2007/PartnerControls"/>
    <ds:schemaRef ds:uri="http://purl.org/dc/dcmitype/"/>
    <ds:schemaRef ds:uri="http://purl.org/dc/elements/1.1/"/>
    <ds:schemaRef ds:uri="http://schemas.microsoft.com/office/2006/documentManagement/type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4BE81E3B-5F17-49CE-8866-DBEA46DD68F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D3692C-8A74-4BEF-A5F0-7A422A332D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FF63D21-38B0-4B4B-B154-BCEB9E0353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17-702 Triple Bottom Line Assessment</vt:lpstr>
    </vt:vector>
  </TitlesOfParts>
  <Company>ACT Government</Company>
  <LinksUpToDate>false</LinksUpToDate>
  <CharactersWithSpaces>1964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17-702 Triple Bottom Line Assessment</dc:title>
  <dc:subject/>
  <dc:creator>ACT Government</dc:creator>
  <cp:keywords/>
  <dc:description/>
  <cp:lastModifiedBy>Maniacherry, Ponnu</cp:lastModifiedBy>
  <cp:revision>66</cp:revision>
  <cp:lastPrinted>2018-05-29T07:24:00Z</cp:lastPrinted>
  <dcterms:created xsi:type="dcterms:W3CDTF">2018-05-14T23:19:00Z</dcterms:created>
  <dcterms:modified xsi:type="dcterms:W3CDTF">2018-07-11T03:07:00Z</dcterms:modified>
</cp:coreProperties>
</file>