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E4324" w14:textId="77777777" w:rsidR="002D1574" w:rsidRPr="000509B7" w:rsidRDefault="002D1574" w:rsidP="002D1574">
      <w:pPr>
        <w:tabs>
          <w:tab w:val="left" w:pos="720"/>
          <w:tab w:val="left" w:pos="1440"/>
          <w:tab w:val="left" w:pos="5190"/>
        </w:tabs>
        <w:spacing w:before="20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Environment, Planning and Sustainable Development</w:t>
      </w:r>
    </w:p>
    <w:p w14:paraId="0CE29A57" w14:textId="77777777" w:rsidR="002D1574" w:rsidRPr="000509B7" w:rsidRDefault="002D1574" w:rsidP="002D1574">
      <w:pPr>
        <w:spacing w:before="20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18/155 </w:t>
      </w:r>
      <w:r>
        <w:rPr>
          <w:rFonts w:asciiTheme="minorHAnsi" w:hAnsiTheme="minorHAnsi"/>
          <w:b/>
          <w:bCs/>
          <w:color w:val="000000" w:themeColor="text1"/>
        </w:rPr>
        <w:t>-</w:t>
      </w:r>
      <w:r w:rsidRPr="000509B7">
        <w:rPr>
          <w:rFonts w:asciiTheme="minorHAnsi" w:hAnsiTheme="minorHAnsi"/>
          <w:b/>
          <w:bCs/>
          <w:color w:val="000000" w:themeColor="text1"/>
        </w:rPr>
        <w:t xml:space="preserve"> Independent Audit of the Gungahlin Strategic Assessment – Government Response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8"/>
      </w:tblGrid>
      <w:tr w:rsidR="002D1574" w:rsidRPr="00966EB9" w14:paraId="17FA28F0" w14:textId="77777777" w:rsidTr="003B6A8A">
        <w:trPr>
          <w:jc w:val="center"/>
        </w:trPr>
        <w:tc>
          <w:tcPr>
            <w:tcW w:w="9038" w:type="dxa"/>
            <w:tcBorders>
              <w:bottom w:val="single" w:sz="4" w:space="0" w:color="000000"/>
            </w:tcBorders>
          </w:tcPr>
          <w:p w14:paraId="6C47C269" w14:textId="77777777" w:rsidR="002D1574" w:rsidRPr="000509B7" w:rsidRDefault="002D1574"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2D1574" w:rsidRPr="00966EB9" w14:paraId="0CA7A50D" w14:textId="77777777" w:rsidTr="003B6A8A">
        <w:trPr>
          <w:jc w:val="center"/>
        </w:trPr>
        <w:tc>
          <w:tcPr>
            <w:tcW w:w="9038" w:type="dxa"/>
          </w:tcPr>
          <w:p w14:paraId="73013D27" w14:textId="77777777" w:rsidR="002D1574" w:rsidRPr="000509B7" w:rsidRDefault="002D1574" w:rsidP="003B6A8A">
            <w:pPr>
              <w:numPr>
                <w:ilvl w:val="0"/>
                <w:numId w:val="2"/>
              </w:numPr>
              <w:spacing w:before="60" w:after="60" w:line="240" w:lineRule="auto"/>
              <w:ind w:left="360"/>
              <w:rPr>
                <w:rFonts w:asciiTheme="minorHAnsi" w:hAnsiTheme="minorHAnsi"/>
              </w:rPr>
            </w:pPr>
            <w:r w:rsidRPr="00966EB9">
              <w:rPr>
                <w:rFonts w:asciiTheme="minorHAnsi" w:hAnsiTheme="minorHAnsi"/>
              </w:rPr>
              <w:t xml:space="preserve">The proposal provides a government response to the findings of the Independent Audit of the Gungahlin Strategic Assessment, undertaken by the Commissioner for Sustainability and the Environment in accordance with the </w:t>
            </w:r>
            <w:r w:rsidRPr="000509B7">
              <w:rPr>
                <w:rFonts w:asciiTheme="minorHAnsi" w:hAnsiTheme="minorHAnsi"/>
                <w:i/>
              </w:rPr>
              <w:t>Commissioner for Sustainability and the Environment Act 1993</w:t>
            </w:r>
            <w:r w:rsidRPr="000509B7">
              <w:rPr>
                <w:rFonts w:asciiTheme="minorHAnsi" w:hAnsiTheme="minorHAnsi"/>
              </w:rPr>
              <w:t xml:space="preserve">. </w:t>
            </w:r>
          </w:p>
          <w:p w14:paraId="1193E354" w14:textId="77777777" w:rsidR="002D1574" w:rsidRPr="000509B7" w:rsidRDefault="002D1574"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government response will result positive social, economic and environmental outcomes as it will ensure commitments under the strategic assessment are being met. </w:t>
            </w:r>
          </w:p>
          <w:p w14:paraId="7184BF31" w14:textId="77777777" w:rsidR="002D1574" w:rsidRPr="000509B7" w:rsidRDefault="002D157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There are no known implementation risks associated with the government response.</w:t>
            </w:r>
            <w:r w:rsidRPr="000509B7">
              <w:rPr>
                <w:rFonts w:asciiTheme="minorHAnsi" w:hAnsiTheme="minorHAnsi"/>
                <w:color w:val="000000" w:themeColor="text1"/>
              </w:rPr>
              <w:t xml:space="preserve"> </w:t>
            </w:r>
          </w:p>
        </w:tc>
      </w:tr>
    </w:tbl>
    <w:p w14:paraId="1673AD15" w14:textId="77777777" w:rsidR="002D1574" w:rsidRPr="000509B7" w:rsidRDefault="002D1574" w:rsidP="002D1574">
      <w:pPr>
        <w:spacing w:after="120" w:line="240" w:lineRule="auto"/>
        <w:rPr>
          <w:rFonts w:asciiTheme="minorHAnsi" w:hAnsiTheme="minorHAnsi"/>
          <w:i/>
          <w:color w:val="000000" w:themeColor="text1"/>
        </w:rPr>
      </w:pPr>
      <w:r w:rsidRPr="00966EB9">
        <w:rPr>
          <w:rFonts w:asciiTheme="minorHAnsi" w:hAnsiTheme="minorHAnsi"/>
          <w:i/>
          <w:color w:val="000000" w:themeColor="text1"/>
        </w:rPr>
        <w:t>Key to impacts: Red – negative, Blue – neutral and Green</w:t>
      </w:r>
      <w:r w:rsidRPr="000509B7">
        <w:rPr>
          <w:rFonts w:asciiTheme="minorHAnsi" w:hAnsiTheme="minorHAnsi"/>
          <w:i/>
          <w:color w:val="000000" w:themeColor="text1"/>
        </w:rPr>
        <w:t xml:space="preserve"> – positive.</w:t>
      </w:r>
    </w:p>
    <w:p w14:paraId="6EC3AB6F" w14:textId="77777777" w:rsidR="002D1574" w:rsidRPr="000509B7" w:rsidRDefault="002D1574" w:rsidP="002D1574">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19"/>
        <w:gridCol w:w="7519"/>
      </w:tblGrid>
      <w:tr w:rsidR="002D1574" w:rsidRPr="00966EB9" w14:paraId="4DE0CBF4" w14:textId="77777777" w:rsidTr="003B6A8A">
        <w:trPr>
          <w:jc w:val="center"/>
        </w:trPr>
        <w:tc>
          <w:tcPr>
            <w:tcW w:w="151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00B0F0"/>
          </w:tcPr>
          <w:p w14:paraId="6394B2FD" w14:textId="77777777" w:rsidR="002D1574" w:rsidRPr="000509B7" w:rsidRDefault="002D1574" w:rsidP="003B6A8A">
            <w:pPr>
              <w:spacing w:before="60" w:after="60" w:line="240" w:lineRule="auto"/>
              <w:rPr>
                <w:rFonts w:asciiTheme="minorHAnsi" w:hAnsiTheme="minorHAnsi" w:cs="Calibri"/>
                <w:b/>
                <w:color w:val="000000" w:themeColor="text1"/>
              </w:rPr>
            </w:pPr>
            <w:r w:rsidRPr="000509B7">
              <w:rPr>
                <w:rFonts w:asciiTheme="minorHAnsi" w:hAnsiTheme="minorHAnsi" w:cs="Calibri"/>
                <w:b/>
                <w:color w:val="000000" w:themeColor="text1"/>
                <w:lang w:val="en-NZ"/>
              </w:rPr>
              <w:t xml:space="preserve">Access to social networks &amp; community activities </w:t>
            </w:r>
          </w:p>
        </w:tc>
        <w:tc>
          <w:tcPr>
            <w:tcW w:w="7519" w:type="dxa"/>
            <w:tcBorders>
              <w:top w:val="single" w:sz="4" w:space="0" w:color="000000"/>
              <w:left w:val="single" w:sz="4" w:space="0" w:color="000000" w:themeColor="text1"/>
              <w:bottom w:val="single" w:sz="4" w:space="0" w:color="auto"/>
              <w:right w:val="single" w:sz="4" w:space="0" w:color="000000"/>
            </w:tcBorders>
          </w:tcPr>
          <w:p w14:paraId="5AA382E1" w14:textId="77777777" w:rsidR="002D1574" w:rsidRPr="000509B7" w:rsidRDefault="002D157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The proposed government response to the audit does not have any implications for access to social networks and community activities.</w:t>
            </w:r>
          </w:p>
        </w:tc>
      </w:tr>
      <w:tr w:rsidR="002D1574" w:rsidRPr="00966EB9" w14:paraId="46166681" w14:textId="77777777" w:rsidTr="003B6A8A">
        <w:trPr>
          <w:jc w:val="center"/>
        </w:trPr>
        <w:tc>
          <w:tcPr>
            <w:tcW w:w="1519" w:type="dxa"/>
            <w:tcBorders>
              <w:top w:val="single" w:sz="4" w:space="0" w:color="auto"/>
              <w:left w:val="single" w:sz="4" w:space="0" w:color="auto"/>
              <w:bottom w:val="single" w:sz="4" w:space="0" w:color="auto"/>
              <w:right w:val="single" w:sz="4" w:space="0" w:color="auto"/>
            </w:tcBorders>
            <w:shd w:val="clear" w:color="auto" w:fill="00B0F0"/>
          </w:tcPr>
          <w:p w14:paraId="43FD1DCA" w14:textId="77777777" w:rsidR="002D1574" w:rsidRPr="00966EB9" w:rsidRDefault="002D1574"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Human rights</w:t>
            </w:r>
          </w:p>
        </w:tc>
        <w:tc>
          <w:tcPr>
            <w:tcW w:w="7519" w:type="dxa"/>
            <w:tcBorders>
              <w:top w:val="single" w:sz="4" w:space="0" w:color="auto"/>
              <w:left w:val="single" w:sz="4" w:space="0" w:color="auto"/>
              <w:bottom w:val="single" w:sz="4" w:space="0" w:color="auto"/>
              <w:right w:val="single" w:sz="4" w:space="0" w:color="auto"/>
            </w:tcBorders>
          </w:tcPr>
          <w:p w14:paraId="606CB987" w14:textId="77777777" w:rsidR="002D1574" w:rsidRPr="000509B7" w:rsidRDefault="002D1574" w:rsidP="003B6A8A">
            <w:pPr>
              <w:numPr>
                <w:ilvl w:val="0"/>
                <w:numId w:val="2"/>
              </w:numPr>
              <w:spacing w:before="60" w:after="60" w:line="240" w:lineRule="auto"/>
              <w:ind w:left="360"/>
              <w:rPr>
                <w:rFonts w:asciiTheme="minorHAnsi" w:hAnsiTheme="minorHAnsi" w:cs="Calibri"/>
                <w:color w:val="000000" w:themeColor="text1"/>
              </w:rPr>
            </w:pPr>
            <w:r w:rsidRPr="000509B7">
              <w:rPr>
                <w:rFonts w:asciiTheme="minorHAnsi" w:hAnsiTheme="minorHAnsi"/>
              </w:rPr>
              <w:t>The proposed government response to the audit does not recommend any additional activities that would impact human rights.</w:t>
            </w:r>
            <w:r w:rsidRPr="000509B7">
              <w:rPr>
                <w:rFonts w:asciiTheme="minorHAnsi" w:hAnsiTheme="minorHAnsi"/>
                <w:color w:val="000000" w:themeColor="text1"/>
              </w:rPr>
              <w:t xml:space="preserve"> </w:t>
            </w:r>
          </w:p>
        </w:tc>
      </w:tr>
      <w:tr w:rsidR="002D1574" w:rsidRPr="00966EB9" w14:paraId="077AEA7A" w14:textId="77777777" w:rsidTr="003B6A8A">
        <w:trPr>
          <w:jc w:val="center"/>
        </w:trPr>
        <w:tc>
          <w:tcPr>
            <w:tcW w:w="15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0B0F0"/>
          </w:tcPr>
          <w:p w14:paraId="6467435E" w14:textId="77777777" w:rsidR="002D1574" w:rsidRPr="000509B7" w:rsidRDefault="002D1574"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Indigenous and Multicultural</w:t>
            </w:r>
          </w:p>
        </w:tc>
        <w:tc>
          <w:tcPr>
            <w:tcW w:w="7519" w:type="dxa"/>
            <w:tcBorders>
              <w:top w:val="single" w:sz="4" w:space="0" w:color="auto"/>
              <w:left w:val="single" w:sz="4" w:space="0" w:color="000000" w:themeColor="text1"/>
              <w:bottom w:val="single" w:sz="4" w:space="0" w:color="000000"/>
              <w:right w:val="single" w:sz="4" w:space="0" w:color="000000"/>
            </w:tcBorders>
          </w:tcPr>
          <w:p w14:paraId="68906B8D" w14:textId="77777777" w:rsidR="002D1574" w:rsidRPr="000509B7" w:rsidRDefault="002D1574"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The Gungahlin strategic assessment relates to national protected matters. Indigenous policy matters were not considered in the audit as there were no national indigenous heritage matters in the Gungahlin strategic assessment area.</w:t>
            </w:r>
          </w:p>
        </w:tc>
      </w:tr>
    </w:tbl>
    <w:p w14:paraId="1181ED2A" w14:textId="77777777" w:rsidR="002D1574" w:rsidRPr="00966EB9" w:rsidRDefault="002D1574" w:rsidP="002D1574">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18"/>
        <w:gridCol w:w="7520"/>
      </w:tblGrid>
      <w:tr w:rsidR="002D1574" w:rsidRPr="00966EB9" w14:paraId="1EF50393" w14:textId="77777777" w:rsidTr="003B6A8A">
        <w:trPr>
          <w:jc w:val="center"/>
        </w:trPr>
        <w:tc>
          <w:tcPr>
            <w:tcW w:w="151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00B0F0"/>
          </w:tcPr>
          <w:p w14:paraId="4074297E" w14:textId="77777777" w:rsidR="002D1574" w:rsidRPr="000509B7" w:rsidRDefault="002D1574"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ACT Government Budget</w:t>
            </w:r>
          </w:p>
        </w:tc>
        <w:tc>
          <w:tcPr>
            <w:tcW w:w="7520" w:type="dxa"/>
            <w:tcBorders>
              <w:top w:val="single" w:sz="4" w:space="0" w:color="000000"/>
              <w:left w:val="single" w:sz="4" w:space="0" w:color="000000" w:themeColor="text1"/>
              <w:bottom w:val="single" w:sz="4" w:space="0" w:color="auto"/>
              <w:right w:val="single" w:sz="4" w:space="0" w:color="000000"/>
            </w:tcBorders>
          </w:tcPr>
          <w:p w14:paraId="43689A52" w14:textId="77777777" w:rsidR="002D1574" w:rsidRPr="005F446E" w:rsidRDefault="002D1574" w:rsidP="003B6A8A">
            <w:pPr>
              <w:numPr>
                <w:ilvl w:val="0"/>
                <w:numId w:val="2"/>
              </w:numPr>
              <w:spacing w:before="60" w:after="60" w:line="240" w:lineRule="auto"/>
              <w:ind w:left="360"/>
              <w:rPr>
                <w:rFonts w:asciiTheme="minorHAnsi" w:hAnsiTheme="minorHAnsi"/>
              </w:rPr>
            </w:pPr>
            <w:r w:rsidRPr="00764D79">
              <w:rPr>
                <w:rFonts w:asciiTheme="minorHAnsi" w:hAnsiTheme="minorHAnsi"/>
              </w:rPr>
              <w:t>This submission has no impact on the ACT Government budget.</w:t>
            </w:r>
          </w:p>
        </w:tc>
      </w:tr>
      <w:tr w:rsidR="002D1574" w:rsidRPr="00966EB9" w14:paraId="6153FE36" w14:textId="77777777" w:rsidTr="003B6A8A">
        <w:trPr>
          <w:jc w:val="center"/>
        </w:trPr>
        <w:tc>
          <w:tcPr>
            <w:tcW w:w="1518" w:type="dxa"/>
            <w:tcBorders>
              <w:top w:val="single" w:sz="4" w:space="0" w:color="auto"/>
              <w:left w:val="single" w:sz="4" w:space="0" w:color="auto"/>
              <w:bottom w:val="single" w:sz="4" w:space="0" w:color="auto"/>
              <w:right w:val="single" w:sz="4" w:space="0" w:color="auto"/>
            </w:tcBorders>
            <w:shd w:val="clear" w:color="auto" w:fill="92D050"/>
          </w:tcPr>
          <w:p w14:paraId="3896D254" w14:textId="77777777" w:rsidR="002D1574" w:rsidRPr="000509B7" w:rsidRDefault="002D1574"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Productivity and innovation</w:t>
            </w:r>
          </w:p>
        </w:tc>
        <w:tc>
          <w:tcPr>
            <w:tcW w:w="7520" w:type="dxa"/>
            <w:tcBorders>
              <w:top w:val="single" w:sz="4" w:space="0" w:color="auto"/>
              <w:left w:val="single" w:sz="4" w:space="0" w:color="auto"/>
              <w:bottom w:val="single" w:sz="4" w:space="0" w:color="auto"/>
              <w:right w:val="single" w:sz="4" w:space="0" w:color="auto"/>
            </w:tcBorders>
          </w:tcPr>
          <w:p w14:paraId="0D0FB5A3" w14:textId="77777777" w:rsidR="002D1574" w:rsidRPr="000509B7" w:rsidRDefault="002D1574"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audit and government response provide an opportunity for the ACT Government to improve delivery of strategic assessments as this is the first independent audit of a strategic assessment nationally. </w:t>
            </w:r>
          </w:p>
          <w:p w14:paraId="2EB7EEE1" w14:textId="77777777" w:rsidR="002D1574" w:rsidRPr="000509B7" w:rsidRDefault="002D1574"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audit and government response highlight opportunities for improved performance and compliance, including highlighting opportunities to improve documentation and reporting.</w:t>
            </w:r>
          </w:p>
        </w:tc>
      </w:tr>
      <w:tr w:rsidR="002D1574" w:rsidRPr="00966EB9" w14:paraId="44F1E17A" w14:textId="77777777" w:rsidTr="003B6A8A">
        <w:trPr>
          <w:jc w:val="center"/>
        </w:trPr>
        <w:tc>
          <w:tcPr>
            <w:tcW w:w="1515" w:type="dxa"/>
            <w:tcBorders>
              <w:top w:val="single" w:sz="4" w:space="0" w:color="auto"/>
              <w:left w:val="single" w:sz="4" w:space="0" w:color="auto"/>
              <w:bottom w:val="single" w:sz="4" w:space="0" w:color="auto"/>
              <w:right w:val="single" w:sz="4" w:space="0" w:color="auto"/>
            </w:tcBorders>
            <w:shd w:val="clear" w:color="auto" w:fill="92D050"/>
          </w:tcPr>
          <w:p w14:paraId="6E4C3A9A" w14:textId="77777777" w:rsidR="002D1574" w:rsidRPr="000509B7" w:rsidRDefault="002D1574"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Investment and Economic Impacts</w:t>
            </w:r>
          </w:p>
        </w:tc>
        <w:tc>
          <w:tcPr>
            <w:tcW w:w="7523" w:type="dxa"/>
            <w:tcBorders>
              <w:top w:val="single" w:sz="4" w:space="0" w:color="auto"/>
              <w:left w:val="single" w:sz="4" w:space="0" w:color="auto"/>
              <w:bottom w:val="single" w:sz="4" w:space="0" w:color="auto"/>
              <w:right w:val="single" w:sz="4" w:space="0" w:color="auto"/>
            </w:tcBorders>
          </w:tcPr>
          <w:p w14:paraId="7D710FBE" w14:textId="77777777" w:rsidR="002D1574" w:rsidRPr="000509B7" w:rsidRDefault="002D1574"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implementation of Gungahlin strategic assessment commitments enables the ongoing delivery of the land release program. The audit and government response provide an opportunity to ensure commitments are implemented in a timely manner to facilitate urban development in Gungahlin. </w:t>
            </w:r>
          </w:p>
          <w:p w14:paraId="7575D824" w14:textId="77777777" w:rsidR="002D1574" w:rsidRPr="000509B7" w:rsidRDefault="002D1574" w:rsidP="003B6A8A">
            <w:pPr>
              <w:spacing w:before="60" w:after="60" w:line="240" w:lineRule="auto"/>
              <w:ind w:left="360"/>
              <w:rPr>
                <w:rFonts w:asciiTheme="minorHAnsi" w:hAnsiTheme="minorHAnsi"/>
              </w:rPr>
            </w:pPr>
          </w:p>
        </w:tc>
      </w:tr>
    </w:tbl>
    <w:p w14:paraId="0E63DDAA" w14:textId="77777777" w:rsidR="002D1574" w:rsidRPr="00966EB9" w:rsidRDefault="002D1574" w:rsidP="002D1574">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515"/>
      </w:tblGrid>
      <w:tr w:rsidR="002D1574" w:rsidRPr="00966EB9" w14:paraId="3D4D5B59" w14:textId="77777777" w:rsidTr="003B6A8A">
        <w:trPr>
          <w:jc w:val="center"/>
        </w:trPr>
        <w:tc>
          <w:tcPr>
            <w:tcW w:w="1523" w:type="dxa"/>
            <w:shd w:val="clear" w:color="auto" w:fill="92D050"/>
          </w:tcPr>
          <w:p w14:paraId="283B7C28" w14:textId="77777777" w:rsidR="002D1574" w:rsidRPr="000509B7" w:rsidRDefault="002D1574"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Biodiversity</w:t>
            </w:r>
          </w:p>
        </w:tc>
        <w:tc>
          <w:tcPr>
            <w:tcW w:w="7515" w:type="dxa"/>
          </w:tcPr>
          <w:p w14:paraId="0D16C341" w14:textId="77777777" w:rsidR="002D1574" w:rsidRPr="000509B7" w:rsidRDefault="002D1574"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government response to the audit highlights future activities that will help to improved biodiversity outcomes for MNES.</w:t>
            </w:r>
          </w:p>
        </w:tc>
      </w:tr>
      <w:tr w:rsidR="002D1574" w:rsidRPr="00966EB9" w14:paraId="37932029" w14:textId="77777777" w:rsidTr="003B6A8A">
        <w:trPr>
          <w:jc w:val="center"/>
        </w:trPr>
        <w:tc>
          <w:tcPr>
            <w:tcW w:w="1523" w:type="dxa"/>
            <w:shd w:val="clear" w:color="auto" w:fill="00B0F0"/>
          </w:tcPr>
          <w:p w14:paraId="5BB62ACA" w14:textId="77777777" w:rsidR="002D1574" w:rsidRPr="00966EB9" w:rsidRDefault="002D1574"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Heritage</w:t>
            </w:r>
          </w:p>
        </w:tc>
        <w:tc>
          <w:tcPr>
            <w:tcW w:w="7515" w:type="dxa"/>
          </w:tcPr>
          <w:p w14:paraId="76946FD4" w14:textId="77777777" w:rsidR="002D1574" w:rsidRPr="000509B7" w:rsidRDefault="002D1574"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Government response to the audit has no impacts on heritage. </w:t>
            </w:r>
          </w:p>
        </w:tc>
      </w:tr>
      <w:tr w:rsidR="002D1574" w:rsidRPr="00966EB9" w14:paraId="39001414" w14:textId="77777777" w:rsidTr="003B6A8A">
        <w:trPr>
          <w:jc w:val="center"/>
        </w:trPr>
        <w:tc>
          <w:tcPr>
            <w:tcW w:w="1523" w:type="dxa"/>
            <w:shd w:val="clear" w:color="auto" w:fill="92D050"/>
          </w:tcPr>
          <w:p w14:paraId="2245A062" w14:textId="77777777" w:rsidR="002D1574" w:rsidRPr="00966EB9" w:rsidRDefault="002D1574"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Environmental quality</w:t>
            </w:r>
          </w:p>
        </w:tc>
        <w:tc>
          <w:tcPr>
            <w:tcW w:w="7515" w:type="dxa"/>
          </w:tcPr>
          <w:p w14:paraId="6426A11F" w14:textId="77777777" w:rsidR="002D1574" w:rsidRPr="000509B7" w:rsidRDefault="002D1574" w:rsidP="003B6A8A">
            <w:pPr>
              <w:numPr>
                <w:ilvl w:val="0"/>
                <w:numId w:val="2"/>
              </w:numPr>
              <w:spacing w:before="60" w:after="60" w:line="240" w:lineRule="auto"/>
              <w:ind w:left="360"/>
              <w:rPr>
                <w:rFonts w:asciiTheme="minorHAnsi" w:hAnsiTheme="minorHAnsi"/>
              </w:rPr>
            </w:pPr>
            <w:r w:rsidRPr="000509B7">
              <w:rPr>
                <w:rFonts w:asciiTheme="minorHAnsi" w:hAnsiTheme="minorHAnsi"/>
              </w:rPr>
              <w:t>Opportunity to improve the delivery of strategic assessment commitments which will result in improved outcomes for MNES.</w:t>
            </w:r>
          </w:p>
        </w:tc>
      </w:tr>
    </w:tbl>
    <w:p w14:paraId="530F19BB" w14:textId="77777777" w:rsidR="002D1574" w:rsidRPr="00966EB9" w:rsidRDefault="002D1574" w:rsidP="002D1574">
      <w:pPr>
        <w:spacing w:after="0" w:line="240" w:lineRule="auto"/>
        <w:rPr>
          <w:rFonts w:asciiTheme="minorHAnsi" w:hAnsiTheme="minorHAnsi"/>
          <w:color w:val="000000" w:themeColor="text1"/>
        </w:rPr>
      </w:pPr>
    </w:p>
    <w:p w14:paraId="5F05E365" w14:textId="1B63F2C8" w:rsidR="000509B7" w:rsidRPr="002D1574" w:rsidRDefault="000509B7" w:rsidP="002D1574"/>
    <w:sectPr w:rsidR="000509B7" w:rsidRPr="002D1574"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01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2586E"/>
    <w:rsid w:val="001945FF"/>
    <w:rsid w:val="00282429"/>
    <w:rsid w:val="002B5F53"/>
    <w:rsid w:val="002C5063"/>
    <w:rsid w:val="002D1574"/>
    <w:rsid w:val="002E146C"/>
    <w:rsid w:val="002F15D9"/>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151F6"/>
    <w:rsid w:val="00534E14"/>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A41FC1"/>
    <w:rsid w:val="00A65C62"/>
    <w:rsid w:val="00A71DF3"/>
    <w:rsid w:val="00A80730"/>
    <w:rsid w:val="00AC35A2"/>
    <w:rsid w:val="00B00DC1"/>
    <w:rsid w:val="00B41519"/>
    <w:rsid w:val="00B52E5E"/>
    <w:rsid w:val="00B727F6"/>
    <w:rsid w:val="00B75835"/>
    <w:rsid w:val="00B86D1B"/>
    <w:rsid w:val="00B9178A"/>
    <w:rsid w:val="00BA2658"/>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677A2"/>
    <w:rsid w:val="00D848AA"/>
    <w:rsid w:val="00DB5B40"/>
    <w:rsid w:val="00DB7E9C"/>
    <w:rsid w:val="00E170A3"/>
    <w:rsid w:val="00E252F0"/>
    <w:rsid w:val="00EB2853"/>
    <w:rsid w:val="00EB64A6"/>
    <w:rsid w:val="00F32B7B"/>
    <w:rsid w:val="00F548F5"/>
    <w:rsid w:val="00F64C12"/>
    <w:rsid w:val="00F65981"/>
    <w:rsid w:val="00F772BB"/>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2758-B6C5-4A96-BF2C-7914FE846F23}">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DDAE41B-2B2A-4F38-B602-3851C3D14EEF}">
  <ds:schemaRefs>
    <ds:schemaRef ds:uri="http://schemas.microsoft.com/sharepoint/v3/contenttype/forms"/>
  </ds:schemaRefs>
</ds:datastoreItem>
</file>

<file path=customXml/itemProps3.xml><?xml version="1.0" encoding="utf-8"?>
<ds:datastoreItem xmlns:ds="http://schemas.openxmlformats.org/officeDocument/2006/customXml" ds:itemID="{D981FBE9-FC31-4879-B470-BC8DE2B69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CFB976-256F-4269-A8DE-965F3B6B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18-155 Triple Bottom Line Assessment</vt:lpstr>
    </vt:vector>
  </TitlesOfParts>
  <Company>ACT Government</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18-155 Triple Bottom Line Assessment</dc:title>
  <dc:subject/>
  <dc:creator>ACT Government</dc:creator>
  <cp:keywords/>
  <dc:description/>
  <cp:lastModifiedBy>Maniacherry, Ponnu</cp:lastModifiedBy>
  <cp:revision>63</cp:revision>
  <cp:lastPrinted>2018-05-29T07:24:00Z</cp:lastPrinted>
  <dcterms:created xsi:type="dcterms:W3CDTF">2018-05-14T23:19:00Z</dcterms:created>
  <dcterms:modified xsi:type="dcterms:W3CDTF">2018-07-11T03:12:00Z</dcterms:modified>
</cp:coreProperties>
</file>