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EE650" w14:textId="77777777" w:rsidR="00EE2256" w:rsidRPr="00F556EB" w:rsidRDefault="00EE2256" w:rsidP="00EE2256">
      <w:pPr>
        <w:spacing w:after="120"/>
        <w:jc w:val="both"/>
        <w:rPr>
          <w:b/>
          <w:bCs/>
          <w:color w:val="000000" w:themeColor="text1"/>
          <w:sz w:val="21"/>
          <w:szCs w:val="21"/>
        </w:rPr>
      </w:pPr>
      <w:bookmarkStart w:id="0" w:name="_GoBack"/>
      <w:bookmarkEnd w:id="0"/>
      <w:r w:rsidRPr="00F556EB">
        <w:rPr>
          <w:b/>
          <w:bCs/>
          <w:color w:val="000000" w:themeColor="text1"/>
          <w:sz w:val="21"/>
          <w:szCs w:val="21"/>
        </w:rPr>
        <w:t>18/260 - Government Response to the 2016-17 Aboriginal and Torres Strait Islander Elected Body Hearings</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EE2256" w:rsidRPr="00F556EB" w14:paraId="3E0EE652" w14:textId="77777777" w:rsidTr="00BC512C">
        <w:trPr>
          <w:jc w:val="center"/>
        </w:trPr>
        <w:tc>
          <w:tcPr>
            <w:tcW w:w="9016" w:type="dxa"/>
          </w:tcPr>
          <w:p w14:paraId="3E0EE651" w14:textId="77777777" w:rsidR="00EE2256" w:rsidRPr="00F556EB" w:rsidRDefault="00EE2256" w:rsidP="00ED5AEB">
            <w:pPr>
              <w:spacing w:before="120" w:after="120" w:line="240" w:lineRule="auto"/>
              <w:jc w:val="both"/>
              <w:rPr>
                <w:rFonts w:ascii="Calibri" w:hAnsi="Calibri"/>
                <w:b/>
                <w:bCs/>
                <w:color w:val="000000" w:themeColor="text1"/>
                <w:sz w:val="21"/>
                <w:szCs w:val="21"/>
              </w:rPr>
            </w:pPr>
            <w:r w:rsidRPr="00F556EB">
              <w:rPr>
                <w:rFonts w:ascii="Calibri" w:hAnsi="Calibri"/>
                <w:b/>
                <w:bCs/>
                <w:color w:val="000000" w:themeColor="text1"/>
                <w:sz w:val="21"/>
                <w:szCs w:val="21"/>
              </w:rPr>
              <w:t>Summary of Impacts</w:t>
            </w:r>
          </w:p>
        </w:tc>
      </w:tr>
      <w:tr w:rsidR="00EE2256" w:rsidRPr="00F556EB" w14:paraId="3E0EE654" w14:textId="77777777" w:rsidTr="00BC512C">
        <w:trPr>
          <w:jc w:val="center"/>
        </w:trPr>
        <w:tc>
          <w:tcPr>
            <w:tcW w:w="9016" w:type="dxa"/>
          </w:tcPr>
          <w:p w14:paraId="3E0EE653" w14:textId="77777777" w:rsidR="00EE2256" w:rsidRPr="00F556EB" w:rsidRDefault="00EE2256" w:rsidP="00ED5AEB">
            <w:pPr>
              <w:numPr>
                <w:ilvl w:val="0"/>
                <w:numId w:val="1"/>
              </w:numPr>
              <w:spacing w:before="120" w:after="120" w:line="240" w:lineRule="auto"/>
              <w:ind w:left="360"/>
              <w:rPr>
                <w:color w:val="000000" w:themeColor="text1"/>
                <w:sz w:val="21"/>
                <w:szCs w:val="21"/>
              </w:rPr>
            </w:pPr>
            <w:r w:rsidRPr="00F556EB">
              <w:rPr>
                <w:color w:val="000000" w:themeColor="text1"/>
                <w:sz w:val="21"/>
                <w:szCs w:val="21"/>
              </w:rPr>
              <w:t xml:space="preserve">Consistent with legislative timeframes outlined in the </w:t>
            </w:r>
            <w:r w:rsidRPr="00F556EB">
              <w:rPr>
                <w:i/>
                <w:color w:val="000000" w:themeColor="text1"/>
                <w:sz w:val="21"/>
                <w:szCs w:val="21"/>
              </w:rPr>
              <w:t>Aboriginal and Torres Strait Islander Elected Body Act 2008</w:t>
            </w:r>
            <w:r w:rsidRPr="00F556EB">
              <w:rPr>
                <w:color w:val="000000" w:themeColor="text1"/>
                <w:sz w:val="21"/>
                <w:szCs w:val="21"/>
              </w:rPr>
              <w:t>, the Government is required to respond to the Recommendations from the Aboriginal and Torres Strait Islander Elected Body Hearing Report</w:t>
            </w:r>
            <w:r w:rsidR="00ED5AEB">
              <w:rPr>
                <w:color w:val="000000" w:themeColor="text1"/>
                <w:sz w:val="21"/>
                <w:szCs w:val="21"/>
              </w:rPr>
              <w:t>.</w:t>
            </w:r>
          </w:p>
        </w:tc>
      </w:tr>
    </w:tbl>
    <w:p w14:paraId="3E0EE655" w14:textId="77777777" w:rsidR="00EE2256" w:rsidRPr="00F556EB" w:rsidRDefault="00EE2256" w:rsidP="00EE2256">
      <w:pPr>
        <w:spacing w:after="120"/>
        <w:rPr>
          <w:rFonts w:ascii="Calibri" w:hAnsi="Calibri"/>
          <w:i/>
          <w:color w:val="000000" w:themeColor="text1"/>
          <w:sz w:val="21"/>
          <w:szCs w:val="21"/>
        </w:rPr>
      </w:pPr>
      <w:r w:rsidRPr="00F556EB">
        <w:rPr>
          <w:rFonts w:ascii="Calibri" w:hAnsi="Calibri"/>
          <w:i/>
          <w:color w:val="000000" w:themeColor="text1"/>
          <w:sz w:val="21"/>
          <w:szCs w:val="21"/>
        </w:rPr>
        <w:t>Key to impacts: Red – negative, Blue</w:t>
      </w:r>
      <w:r w:rsidR="00A71AB7">
        <w:rPr>
          <w:rFonts w:ascii="Calibri" w:hAnsi="Calibri"/>
          <w:i/>
          <w:color w:val="000000" w:themeColor="text1"/>
          <w:sz w:val="21"/>
          <w:szCs w:val="21"/>
        </w:rPr>
        <w:t xml:space="preserve"> -</w:t>
      </w:r>
      <w:r w:rsidRPr="00F556EB">
        <w:rPr>
          <w:rFonts w:ascii="Calibri" w:hAnsi="Calibri"/>
          <w:i/>
          <w:color w:val="000000" w:themeColor="text1"/>
          <w:sz w:val="21"/>
          <w:szCs w:val="21"/>
        </w:rPr>
        <w:t xml:space="preserve"> neutral and Green </w:t>
      </w:r>
      <w:r w:rsidR="00A71AB7">
        <w:rPr>
          <w:rFonts w:ascii="Calibri" w:hAnsi="Calibri"/>
          <w:i/>
          <w:color w:val="000000" w:themeColor="text1"/>
          <w:sz w:val="21"/>
          <w:szCs w:val="21"/>
        </w:rPr>
        <w:t xml:space="preserve">- </w:t>
      </w:r>
      <w:r w:rsidRPr="00F556EB">
        <w:rPr>
          <w:rFonts w:ascii="Calibri" w:hAnsi="Calibri"/>
          <w:i/>
          <w:color w:val="000000" w:themeColor="text1"/>
          <w:sz w:val="21"/>
          <w:szCs w:val="21"/>
        </w:rPr>
        <w:t>Positive.</w:t>
      </w:r>
    </w:p>
    <w:p w14:paraId="3E0EE656" w14:textId="77777777" w:rsidR="00EE2256" w:rsidRPr="00F556EB" w:rsidRDefault="00EE2256" w:rsidP="00EE2256">
      <w:pPr>
        <w:spacing w:after="0"/>
        <w:jc w:val="both"/>
        <w:rPr>
          <w:rFonts w:ascii="Calibri" w:hAnsi="Calibri"/>
          <w:b/>
          <w:bCs/>
          <w:color w:val="000000" w:themeColor="text1"/>
          <w:sz w:val="21"/>
          <w:szCs w:val="21"/>
        </w:rPr>
      </w:pPr>
      <w:r w:rsidRPr="00F556EB">
        <w:rPr>
          <w:rFonts w:ascii="Calibri" w:hAnsi="Calibri"/>
          <w:b/>
          <w:bCs/>
          <w:color w:val="000000" w:themeColor="text1"/>
          <w:sz w:val="21"/>
          <w:szCs w:val="21"/>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9"/>
        <w:gridCol w:w="7497"/>
      </w:tblGrid>
      <w:tr w:rsidR="00EE2256" w:rsidRPr="00F556EB" w14:paraId="3E0EE65D" w14:textId="77777777" w:rsidTr="00BC512C">
        <w:trPr>
          <w:jc w:val="center"/>
        </w:trPr>
        <w:tc>
          <w:tcPr>
            <w:tcW w:w="1520" w:type="dxa"/>
            <w:shd w:val="clear" w:color="auto" w:fill="92D050"/>
          </w:tcPr>
          <w:p w14:paraId="3E0EE657" w14:textId="77777777" w:rsidR="00EE2256" w:rsidRPr="00F556EB" w:rsidRDefault="00EE2256" w:rsidP="00ED5AEB">
            <w:pPr>
              <w:spacing w:before="120" w:after="120" w:line="240" w:lineRule="auto"/>
              <w:rPr>
                <w:rFonts w:ascii="Calibri" w:hAnsi="Calibri"/>
                <w:b/>
                <w:bCs/>
                <w:color w:val="000000" w:themeColor="text1"/>
                <w:sz w:val="21"/>
                <w:szCs w:val="21"/>
              </w:rPr>
            </w:pPr>
            <w:r w:rsidRPr="00F556EB">
              <w:rPr>
                <w:rFonts w:ascii="Calibri" w:hAnsi="Calibri"/>
                <w:b/>
                <w:bCs/>
                <w:color w:val="000000" w:themeColor="text1"/>
                <w:sz w:val="21"/>
                <w:szCs w:val="21"/>
              </w:rPr>
              <w:t>Access to services</w:t>
            </w:r>
          </w:p>
        </w:tc>
        <w:tc>
          <w:tcPr>
            <w:tcW w:w="7518" w:type="dxa"/>
          </w:tcPr>
          <w:p w14:paraId="3E0EE658" w14:textId="77777777" w:rsidR="00EE2256" w:rsidRPr="00F556EB" w:rsidRDefault="00EE2256" w:rsidP="00ED5AEB">
            <w:pPr>
              <w:pStyle w:val="ListParagraph"/>
              <w:numPr>
                <w:ilvl w:val="0"/>
                <w:numId w:val="1"/>
              </w:numPr>
              <w:spacing w:before="120" w:after="120" w:line="240" w:lineRule="auto"/>
              <w:ind w:left="353" w:hanging="353"/>
              <w:contextualSpacing w:val="0"/>
              <w:rPr>
                <w:color w:val="000000" w:themeColor="text1"/>
                <w:sz w:val="21"/>
                <w:szCs w:val="21"/>
              </w:rPr>
            </w:pPr>
            <w:r w:rsidRPr="00F556EB">
              <w:rPr>
                <w:color w:val="000000" w:themeColor="text1"/>
                <w:sz w:val="21"/>
                <w:szCs w:val="21"/>
              </w:rPr>
              <w:t>There is a positive impact in relation to access to services given the main focus areas of the proposed recommendations includes:</w:t>
            </w:r>
          </w:p>
          <w:p w14:paraId="3E0EE659"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Re-opening Boomunalla as a cultural and sporting facility</w:t>
            </w:r>
            <w:r w:rsidR="00ED5AEB">
              <w:rPr>
                <w:color w:val="000000" w:themeColor="text1"/>
                <w:sz w:val="21"/>
                <w:szCs w:val="21"/>
              </w:rPr>
              <w:t>;</w:t>
            </w:r>
          </w:p>
          <w:p w14:paraId="3E0EE65A"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Better facilities for Gugan Gulwan and Winnunga Nimmityjah to improve access and delivery of services</w:t>
            </w:r>
            <w:r w:rsidR="00ED5AEB">
              <w:rPr>
                <w:color w:val="000000" w:themeColor="text1"/>
                <w:sz w:val="21"/>
                <w:szCs w:val="21"/>
              </w:rPr>
              <w:t>;</w:t>
            </w:r>
          </w:p>
          <w:p w14:paraId="3E0EE65B"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Implementation of the Ngunnawal Bush Healing Farm</w:t>
            </w:r>
            <w:r w:rsidR="00ED5AEB">
              <w:rPr>
                <w:color w:val="000000" w:themeColor="text1"/>
                <w:sz w:val="21"/>
                <w:szCs w:val="21"/>
              </w:rPr>
              <w:t>; and</w:t>
            </w:r>
          </w:p>
          <w:p w14:paraId="3E0EE65C"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Continuance of the Aboriginal and Torres Strait Islander Community Bus project to provide transport for individuals to access services as required</w:t>
            </w:r>
            <w:r w:rsidR="00ED5AEB">
              <w:rPr>
                <w:color w:val="000000" w:themeColor="text1"/>
                <w:sz w:val="21"/>
                <w:szCs w:val="21"/>
              </w:rPr>
              <w:t>.</w:t>
            </w:r>
          </w:p>
        </w:tc>
      </w:tr>
      <w:tr w:rsidR="00EE2256" w:rsidRPr="00F556EB" w14:paraId="3E0EE660" w14:textId="77777777" w:rsidTr="00BC512C">
        <w:trPr>
          <w:jc w:val="center"/>
        </w:trPr>
        <w:tc>
          <w:tcPr>
            <w:tcW w:w="1526" w:type="dxa"/>
            <w:shd w:val="clear" w:color="auto" w:fill="92D050"/>
          </w:tcPr>
          <w:p w14:paraId="3E0EE65E" w14:textId="77777777" w:rsidR="00EE2256" w:rsidRPr="00F556EB" w:rsidRDefault="00EE2256" w:rsidP="00ED5AEB">
            <w:pPr>
              <w:spacing w:before="120" w:after="120" w:line="240" w:lineRule="auto"/>
              <w:rPr>
                <w:rFonts w:ascii="Calibri" w:hAnsi="Calibri"/>
                <w:color w:val="000000" w:themeColor="text1"/>
                <w:sz w:val="21"/>
                <w:szCs w:val="21"/>
              </w:rPr>
            </w:pPr>
            <w:r w:rsidRPr="00F556EB">
              <w:rPr>
                <w:rFonts w:ascii="Calibri" w:hAnsi="Calibri"/>
                <w:b/>
                <w:bCs/>
                <w:color w:val="000000" w:themeColor="text1"/>
                <w:sz w:val="21"/>
                <w:szCs w:val="21"/>
              </w:rPr>
              <w:t>Indigenous and Multicultural</w:t>
            </w:r>
          </w:p>
        </w:tc>
        <w:tc>
          <w:tcPr>
            <w:tcW w:w="7716" w:type="dxa"/>
          </w:tcPr>
          <w:p w14:paraId="3E0EE65F" w14:textId="77777777" w:rsidR="00EE2256" w:rsidRPr="00F556EB" w:rsidRDefault="00EE2256" w:rsidP="00ED5AEB">
            <w:pPr>
              <w:numPr>
                <w:ilvl w:val="0"/>
                <w:numId w:val="1"/>
              </w:numPr>
              <w:spacing w:before="120" w:after="120" w:line="240" w:lineRule="auto"/>
              <w:ind w:left="360"/>
              <w:rPr>
                <w:color w:val="000000" w:themeColor="text1"/>
                <w:sz w:val="21"/>
                <w:szCs w:val="21"/>
              </w:rPr>
            </w:pPr>
            <w:r w:rsidRPr="00F556EB">
              <w:rPr>
                <w:color w:val="000000" w:themeColor="text1"/>
                <w:sz w:val="21"/>
                <w:szCs w:val="21"/>
              </w:rPr>
              <w:t xml:space="preserve">The implementation of the agreed recommendations contained in the </w:t>
            </w:r>
            <w:r w:rsidRPr="00F556EB">
              <w:rPr>
                <w:i/>
                <w:color w:val="000000" w:themeColor="text1"/>
                <w:sz w:val="21"/>
                <w:szCs w:val="21"/>
              </w:rPr>
              <w:t xml:space="preserve">ACT Government Response to the Aboriginal and Torres Strait Islander Elected Body </w:t>
            </w:r>
            <w:r w:rsidRPr="00F556EB">
              <w:rPr>
                <w:i/>
                <w:color w:val="000000" w:themeColor="text1"/>
                <w:sz w:val="21"/>
                <w:szCs w:val="21"/>
              </w:rPr>
              <w:br/>
              <w:t>2016-17 Hearings Report</w:t>
            </w:r>
            <w:r w:rsidRPr="00F556EB">
              <w:rPr>
                <w:color w:val="000000" w:themeColor="text1"/>
                <w:sz w:val="21"/>
                <w:szCs w:val="21"/>
              </w:rPr>
              <w:t xml:space="preserve"> has a direct positive impact on the quality of life of Aboriginal and Torres Strait Islander people in the ACT region.</w:t>
            </w:r>
          </w:p>
        </w:tc>
      </w:tr>
    </w:tbl>
    <w:p w14:paraId="3E0EE661" w14:textId="77777777" w:rsidR="00EE2256" w:rsidRPr="00F556EB" w:rsidRDefault="00EE2256" w:rsidP="00EE2256">
      <w:pPr>
        <w:spacing w:before="120" w:after="0"/>
        <w:jc w:val="both"/>
        <w:rPr>
          <w:rFonts w:ascii="Calibri" w:hAnsi="Calibri"/>
          <w:b/>
          <w:bCs/>
          <w:color w:val="000000" w:themeColor="text1"/>
          <w:sz w:val="21"/>
          <w:szCs w:val="21"/>
        </w:rPr>
      </w:pPr>
      <w:r w:rsidRPr="00F556EB">
        <w:rPr>
          <w:rFonts w:ascii="Calibri" w:hAnsi="Calibri"/>
          <w:b/>
          <w:bCs/>
          <w:color w:val="000000" w:themeColor="text1"/>
          <w:sz w:val="21"/>
          <w:szCs w:val="2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18"/>
        <w:gridCol w:w="7498"/>
      </w:tblGrid>
      <w:tr w:rsidR="00EE2256" w:rsidRPr="00F556EB" w14:paraId="3E0EE667" w14:textId="77777777" w:rsidTr="00ED5AEB">
        <w:trPr>
          <w:jc w:val="center"/>
        </w:trPr>
        <w:tc>
          <w:tcPr>
            <w:tcW w:w="1518" w:type="dxa"/>
            <w:shd w:val="clear" w:color="auto" w:fill="0070C0"/>
          </w:tcPr>
          <w:p w14:paraId="3E0EE662" w14:textId="77777777" w:rsidR="00EE2256" w:rsidRPr="00F556EB" w:rsidRDefault="00EE2256" w:rsidP="00ED5AEB">
            <w:pPr>
              <w:spacing w:before="120" w:after="120" w:line="240" w:lineRule="auto"/>
              <w:jc w:val="both"/>
              <w:rPr>
                <w:rFonts w:ascii="Calibri" w:hAnsi="Calibri"/>
                <w:color w:val="000000" w:themeColor="text1"/>
                <w:sz w:val="21"/>
                <w:szCs w:val="21"/>
              </w:rPr>
            </w:pPr>
            <w:r w:rsidRPr="00F556EB">
              <w:rPr>
                <w:rFonts w:ascii="Calibri" w:hAnsi="Calibri"/>
                <w:b/>
                <w:bCs/>
                <w:color w:val="000000" w:themeColor="text1"/>
                <w:sz w:val="21"/>
                <w:szCs w:val="21"/>
              </w:rPr>
              <w:t>ACT Government Budget</w:t>
            </w:r>
          </w:p>
        </w:tc>
        <w:tc>
          <w:tcPr>
            <w:tcW w:w="7498" w:type="dxa"/>
          </w:tcPr>
          <w:p w14:paraId="3E0EE663" w14:textId="77777777" w:rsidR="00EE2256" w:rsidRPr="00F556EB" w:rsidRDefault="00EE2256" w:rsidP="00ED5AEB">
            <w:pPr>
              <w:pStyle w:val="ListParagraph"/>
              <w:numPr>
                <w:ilvl w:val="0"/>
                <w:numId w:val="1"/>
              </w:numPr>
              <w:spacing w:before="120" w:after="120" w:line="240" w:lineRule="auto"/>
              <w:ind w:left="360"/>
              <w:contextualSpacing w:val="0"/>
              <w:rPr>
                <w:color w:val="000000" w:themeColor="text1"/>
                <w:sz w:val="21"/>
                <w:szCs w:val="21"/>
              </w:rPr>
            </w:pPr>
            <w:r w:rsidRPr="00F556EB">
              <w:rPr>
                <w:color w:val="000000" w:themeColor="text1"/>
                <w:sz w:val="21"/>
                <w:szCs w:val="21"/>
              </w:rPr>
              <w:t xml:space="preserve">The ACT Government Budget 2018-19 has committed  some new funding that directly responds to a number of the recommendations raised in </w:t>
            </w:r>
            <w:r w:rsidRPr="00F556EB">
              <w:rPr>
                <w:i/>
                <w:color w:val="000000" w:themeColor="text1"/>
                <w:sz w:val="21"/>
                <w:szCs w:val="21"/>
              </w:rPr>
              <w:t>Aboriginal and Torres Strait Islander Elected Body 2016-17 Hearings Report</w:t>
            </w:r>
            <w:r w:rsidRPr="00F556EB">
              <w:rPr>
                <w:color w:val="000000" w:themeColor="text1"/>
                <w:sz w:val="21"/>
                <w:szCs w:val="21"/>
              </w:rPr>
              <w:t xml:space="preserve"> including:</w:t>
            </w:r>
          </w:p>
          <w:p w14:paraId="3E0EE664"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Gugan Gulwan (Feasibility Study for new accommodation) - $150,000</w:t>
            </w:r>
            <w:r w:rsidR="00ED5AEB">
              <w:rPr>
                <w:color w:val="000000" w:themeColor="text1"/>
                <w:sz w:val="21"/>
                <w:szCs w:val="21"/>
              </w:rPr>
              <w:t>;</w:t>
            </w:r>
          </w:p>
          <w:p w14:paraId="3E0EE665"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Restoring Boomanulla Oval - $770,000</w:t>
            </w:r>
            <w:r w:rsidR="00ED5AEB">
              <w:rPr>
                <w:color w:val="000000" w:themeColor="text1"/>
                <w:sz w:val="21"/>
                <w:szCs w:val="21"/>
              </w:rPr>
              <w:t>; and</w:t>
            </w:r>
          </w:p>
          <w:p w14:paraId="3E0EE666" w14:textId="77777777" w:rsidR="00EE2256" w:rsidRPr="00F556EB" w:rsidRDefault="00EE2256" w:rsidP="00ED5AEB">
            <w:pPr>
              <w:numPr>
                <w:ilvl w:val="0"/>
                <w:numId w:val="1"/>
              </w:numPr>
              <w:spacing w:before="120" w:after="120" w:line="240" w:lineRule="auto"/>
              <w:rPr>
                <w:color w:val="000000" w:themeColor="text1"/>
                <w:sz w:val="21"/>
                <w:szCs w:val="21"/>
              </w:rPr>
            </w:pPr>
            <w:r w:rsidRPr="00F556EB">
              <w:rPr>
                <w:color w:val="000000" w:themeColor="text1"/>
                <w:sz w:val="21"/>
                <w:szCs w:val="21"/>
              </w:rPr>
              <w:t>Winnunga Nimmityjah (Infrastructure) - $11.3</w:t>
            </w:r>
            <w:r w:rsidR="006115BB">
              <w:rPr>
                <w:color w:val="000000" w:themeColor="text1"/>
                <w:sz w:val="21"/>
                <w:szCs w:val="21"/>
              </w:rPr>
              <w:t xml:space="preserve"> million</w:t>
            </w:r>
            <w:r w:rsidR="00ED5AEB">
              <w:rPr>
                <w:color w:val="000000" w:themeColor="text1"/>
                <w:sz w:val="21"/>
                <w:szCs w:val="21"/>
              </w:rPr>
              <w:t>.</w:t>
            </w:r>
          </w:p>
        </w:tc>
      </w:tr>
      <w:tr w:rsidR="00EE2256" w:rsidRPr="00F556EB" w14:paraId="3E0EE66A" w14:textId="77777777" w:rsidTr="00BC512C">
        <w:trPr>
          <w:jc w:val="center"/>
        </w:trPr>
        <w:tc>
          <w:tcPr>
            <w:tcW w:w="1518" w:type="dxa"/>
            <w:shd w:val="clear" w:color="auto" w:fill="92D050"/>
          </w:tcPr>
          <w:p w14:paraId="3E0EE668" w14:textId="77777777" w:rsidR="00EE2256" w:rsidRPr="00F556EB" w:rsidRDefault="00EE2256" w:rsidP="00ED5AEB">
            <w:pPr>
              <w:shd w:val="clear" w:color="auto" w:fill="92D050"/>
              <w:spacing w:before="120" w:after="120" w:line="240" w:lineRule="auto"/>
              <w:jc w:val="both"/>
              <w:rPr>
                <w:rFonts w:ascii="Calibri" w:hAnsi="Calibri"/>
                <w:color w:val="000000" w:themeColor="text1"/>
                <w:sz w:val="21"/>
                <w:szCs w:val="21"/>
              </w:rPr>
            </w:pPr>
            <w:r w:rsidRPr="00F556EB">
              <w:rPr>
                <w:rFonts w:ascii="Calibri" w:hAnsi="Calibri"/>
                <w:b/>
                <w:bCs/>
                <w:color w:val="000000" w:themeColor="text1"/>
                <w:sz w:val="21"/>
                <w:szCs w:val="21"/>
              </w:rPr>
              <w:t>Productivity and Innovation</w:t>
            </w:r>
          </w:p>
        </w:tc>
        <w:tc>
          <w:tcPr>
            <w:tcW w:w="7498" w:type="dxa"/>
          </w:tcPr>
          <w:p w14:paraId="3E0EE669" w14:textId="77777777" w:rsidR="00EE2256" w:rsidRPr="00F556EB" w:rsidRDefault="00EE2256" w:rsidP="00ED5AEB">
            <w:pPr>
              <w:numPr>
                <w:ilvl w:val="0"/>
                <w:numId w:val="1"/>
              </w:numPr>
              <w:spacing w:before="120" w:after="120" w:line="240" w:lineRule="auto"/>
              <w:ind w:left="360"/>
              <w:rPr>
                <w:color w:val="000000" w:themeColor="text1"/>
                <w:sz w:val="21"/>
                <w:szCs w:val="21"/>
              </w:rPr>
            </w:pPr>
            <w:r w:rsidRPr="00F556EB">
              <w:rPr>
                <w:i/>
                <w:color w:val="000000" w:themeColor="text1"/>
                <w:sz w:val="21"/>
                <w:szCs w:val="21"/>
              </w:rPr>
              <w:t xml:space="preserve">The Aboriginal and Torres Strait Islander Elected Body 2016-17 Hearings Report </w:t>
            </w:r>
            <w:r w:rsidRPr="00F556EB">
              <w:rPr>
                <w:color w:val="000000" w:themeColor="text1"/>
                <w:sz w:val="21"/>
                <w:szCs w:val="21"/>
              </w:rPr>
              <w:t>raises cross Directorate input  to support the Aboriginal and Torres Strait Islander Agreement Outcomes Framework Report. Currently OATSIA provides the co-ordination role. The Hearings Report identifies the need for all directorates to be active in the implementation of the Outcomes requirements to demonstrate effectiveness and achievement in line with the stated outcomes.</w:t>
            </w:r>
            <w:r w:rsidRPr="00F556EB">
              <w:rPr>
                <w:i/>
                <w:color w:val="000000" w:themeColor="text1"/>
                <w:sz w:val="21"/>
                <w:szCs w:val="21"/>
              </w:rPr>
              <w:t xml:space="preserve">  </w:t>
            </w:r>
          </w:p>
        </w:tc>
      </w:tr>
      <w:tr w:rsidR="00EE2256" w:rsidRPr="00F556EB" w14:paraId="3E0EE66E" w14:textId="77777777" w:rsidTr="00BC512C">
        <w:trPr>
          <w:jc w:val="center"/>
        </w:trPr>
        <w:tc>
          <w:tcPr>
            <w:tcW w:w="1518" w:type="dxa"/>
            <w:shd w:val="clear" w:color="auto" w:fill="92D050"/>
          </w:tcPr>
          <w:p w14:paraId="3E0EE66B" w14:textId="77777777" w:rsidR="00EE2256" w:rsidRPr="00F556EB" w:rsidRDefault="00EE2256" w:rsidP="00ED5AEB">
            <w:pPr>
              <w:shd w:val="clear" w:color="auto" w:fill="92D050"/>
              <w:spacing w:before="120" w:after="120" w:line="240" w:lineRule="auto"/>
              <w:jc w:val="both"/>
              <w:rPr>
                <w:rFonts w:ascii="Calibri" w:hAnsi="Calibri"/>
                <w:b/>
                <w:bCs/>
                <w:color w:val="000000" w:themeColor="text1"/>
                <w:sz w:val="21"/>
                <w:szCs w:val="21"/>
              </w:rPr>
            </w:pPr>
            <w:r w:rsidRPr="00F556EB">
              <w:rPr>
                <w:rFonts w:ascii="Calibri" w:hAnsi="Calibri"/>
                <w:b/>
                <w:bCs/>
                <w:color w:val="000000" w:themeColor="text1"/>
                <w:sz w:val="21"/>
                <w:szCs w:val="21"/>
              </w:rPr>
              <w:t>Employment</w:t>
            </w:r>
          </w:p>
        </w:tc>
        <w:tc>
          <w:tcPr>
            <w:tcW w:w="7498" w:type="dxa"/>
          </w:tcPr>
          <w:p w14:paraId="3E0EE66C" w14:textId="77777777" w:rsidR="00EE2256" w:rsidRPr="00F556EB" w:rsidRDefault="00EE2256" w:rsidP="00ED5AEB">
            <w:pPr>
              <w:pStyle w:val="ListParagraph"/>
              <w:numPr>
                <w:ilvl w:val="0"/>
                <w:numId w:val="1"/>
              </w:numPr>
              <w:spacing w:before="120" w:after="120" w:line="240" w:lineRule="auto"/>
              <w:ind w:left="360"/>
              <w:contextualSpacing w:val="0"/>
              <w:rPr>
                <w:color w:val="000000" w:themeColor="text1"/>
                <w:sz w:val="21"/>
                <w:szCs w:val="21"/>
              </w:rPr>
            </w:pPr>
            <w:r w:rsidRPr="00F556EB">
              <w:rPr>
                <w:color w:val="000000" w:themeColor="text1"/>
                <w:sz w:val="21"/>
                <w:szCs w:val="21"/>
              </w:rPr>
              <w:t xml:space="preserve">The implementation of some of the agreed recommendations contained in the </w:t>
            </w:r>
            <w:r w:rsidRPr="00F556EB">
              <w:rPr>
                <w:i/>
                <w:color w:val="000000" w:themeColor="text1"/>
                <w:sz w:val="21"/>
                <w:szCs w:val="21"/>
              </w:rPr>
              <w:t>ACT Government Response to the Aboriginal and Torres Strait Islander Elected Body 2016-17 Hearings Report</w:t>
            </w:r>
            <w:r w:rsidRPr="00F556EB">
              <w:rPr>
                <w:color w:val="000000" w:themeColor="text1"/>
                <w:sz w:val="21"/>
                <w:szCs w:val="21"/>
              </w:rPr>
              <w:t xml:space="preserve"> will have a positive impact on economic and employment outcomes for Aboriginal and Torres Strait Islander Canberrans.</w:t>
            </w:r>
          </w:p>
          <w:p w14:paraId="3E0EE66D" w14:textId="77777777" w:rsidR="00EE2256" w:rsidRPr="00F556EB" w:rsidRDefault="00EE2256" w:rsidP="00ED5AEB">
            <w:pPr>
              <w:pStyle w:val="ListParagraph"/>
              <w:numPr>
                <w:ilvl w:val="0"/>
                <w:numId w:val="1"/>
              </w:numPr>
              <w:spacing w:before="120" w:after="120" w:line="240" w:lineRule="auto"/>
              <w:ind w:left="353" w:hanging="353"/>
              <w:contextualSpacing w:val="0"/>
              <w:rPr>
                <w:i/>
                <w:color w:val="000000" w:themeColor="text1"/>
                <w:sz w:val="21"/>
                <w:szCs w:val="21"/>
              </w:rPr>
            </w:pPr>
            <w:r w:rsidRPr="00F556EB">
              <w:rPr>
                <w:color w:val="000000" w:themeColor="text1"/>
                <w:sz w:val="21"/>
                <w:szCs w:val="21"/>
              </w:rPr>
              <w:t>Recommendations include a focus on job readiness, placements within ACT government, training and development and skills enhancement and specific focus on support for enhanced Aboriginal and Torres Strait Islander Natural Resource Management positions.</w:t>
            </w:r>
          </w:p>
        </w:tc>
      </w:tr>
    </w:tbl>
    <w:p w14:paraId="3E0EE66F" w14:textId="77777777" w:rsidR="00EE2256" w:rsidRPr="00F556EB" w:rsidRDefault="00EE2256" w:rsidP="00EE2256">
      <w:pPr>
        <w:spacing w:before="120" w:after="0"/>
        <w:jc w:val="both"/>
        <w:rPr>
          <w:rFonts w:ascii="Calibri" w:hAnsi="Calibri"/>
          <w:b/>
          <w:bCs/>
          <w:color w:val="000000" w:themeColor="text1"/>
          <w:sz w:val="21"/>
          <w:szCs w:val="21"/>
        </w:rPr>
      </w:pPr>
      <w:r w:rsidRPr="00F556EB">
        <w:rPr>
          <w:rFonts w:ascii="Calibri" w:hAnsi="Calibri"/>
          <w:b/>
          <w:bCs/>
          <w:color w:val="000000" w:themeColor="text1"/>
          <w:sz w:val="21"/>
          <w:szCs w:val="21"/>
        </w:rPr>
        <w:t>Environmental</w:t>
      </w:r>
    </w:p>
    <w:p w14:paraId="3E0EE670" w14:textId="77777777" w:rsidR="00EE2256" w:rsidRPr="00F556EB" w:rsidRDefault="00EE2256" w:rsidP="00EE2256">
      <w:pPr>
        <w:spacing w:before="120" w:after="0"/>
        <w:jc w:val="both"/>
        <w:rPr>
          <w:color w:val="000000" w:themeColor="text1"/>
          <w:sz w:val="21"/>
          <w:szCs w:val="21"/>
        </w:rPr>
      </w:pPr>
      <w:r w:rsidRPr="00F556EB">
        <w:rPr>
          <w:rFonts w:ascii="Calibri" w:hAnsi="Calibri"/>
          <w:bCs/>
          <w:color w:val="000000" w:themeColor="text1"/>
          <w:sz w:val="21"/>
          <w:szCs w:val="21"/>
        </w:rPr>
        <w:t>Nil Impact</w:t>
      </w:r>
    </w:p>
    <w:p w14:paraId="3E0EE671" w14:textId="77777777" w:rsidR="009E72D8" w:rsidRDefault="009E72D8"/>
    <w:sectPr w:rsidR="009E72D8" w:rsidSect="00ED5AE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264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256"/>
    <w:rsid w:val="006115BB"/>
    <w:rsid w:val="009E72D8"/>
    <w:rsid w:val="00A71AB7"/>
    <w:rsid w:val="00ED5AEB"/>
    <w:rsid w:val="00EE2256"/>
    <w:rsid w:val="00FD1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EE650"/>
  <w15:chartTrackingRefBased/>
  <w15:docId w15:val="{DF71240A-2B87-4B8A-A4E4-82BD334E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F95E8-9207-42C7-AC26-6D2F48DAFBEA}">
  <ds:schemaRefs>
    <ds:schemaRef ds:uri="http://purl.org/dc/term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6436E93-F5F5-4435-99F9-C0D1B5936357}">
  <ds:schemaRefs>
    <ds:schemaRef ds:uri="http://schemas.microsoft.com/sharepoint/v3/contenttype/forms"/>
  </ds:schemaRefs>
</ds:datastoreItem>
</file>

<file path=customXml/itemProps3.xml><?xml version="1.0" encoding="utf-8"?>
<ds:datastoreItem xmlns:ds="http://schemas.openxmlformats.org/officeDocument/2006/customXml" ds:itemID="{B3492069-879B-427F-ACB1-990043037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Tenzin, Yangkyi</cp:lastModifiedBy>
  <cp:revision>2</cp:revision>
  <dcterms:created xsi:type="dcterms:W3CDTF">2018-08-29T05:57:00Z</dcterms:created>
  <dcterms:modified xsi:type="dcterms:W3CDTF">2018-08-29T05:57:00Z</dcterms:modified>
</cp:coreProperties>
</file>