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6D738" w14:textId="77777777" w:rsidR="005B14F9" w:rsidRPr="000509B7" w:rsidRDefault="005B14F9" w:rsidP="005B14F9">
      <w:pPr>
        <w:spacing w:before="200" w:line="240" w:lineRule="auto"/>
        <w:rPr>
          <w:rFonts w:asciiTheme="minorHAnsi" w:hAnsiTheme="minorHAnsi"/>
          <w:b/>
          <w:bCs/>
          <w:color w:val="000000" w:themeColor="text1"/>
        </w:rPr>
      </w:pPr>
      <w:bookmarkStart w:id="0" w:name="_GoBack"/>
      <w:bookmarkEnd w:id="0"/>
      <w:r w:rsidRPr="000509B7">
        <w:rPr>
          <w:rFonts w:asciiTheme="minorHAnsi" w:hAnsiTheme="minorHAnsi"/>
          <w:b/>
          <w:bCs/>
          <w:color w:val="000000" w:themeColor="text1"/>
        </w:rPr>
        <w:t>Directorate:</w:t>
      </w:r>
      <w:r w:rsidRPr="000509B7">
        <w:rPr>
          <w:rFonts w:asciiTheme="minorHAnsi" w:hAnsiTheme="minorHAnsi"/>
          <w:b/>
          <w:bCs/>
          <w:color w:val="000000" w:themeColor="text1"/>
        </w:rPr>
        <w:tab/>
        <w:t>Community Services</w:t>
      </w:r>
    </w:p>
    <w:p w14:paraId="270B56F0" w14:textId="77777777" w:rsidR="005B14F9" w:rsidRPr="000509B7" w:rsidRDefault="005B14F9" w:rsidP="005B14F9">
      <w:pPr>
        <w:spacing w:before="200" w:line="240" w:lineRule="auto"/>
        <w:rPr>
          <w:rFonts w:asciiTheme="minorHAnsi" w:hAnsiTheme="minorHAnsi"/>
          <w:b/>
          <w:bCs/>
          <w:color w:val="000000" w:themeColor="text1"/>
        </w:rPr>
      </w:pPr>
      <w:r w:rsidRPr="000509B7">
        <w:rPr>
          <w:rFonts w:asciiTheme="minorHAnsi" w:hAnsiTheme="minorHAnsi"/>
          <w:b/>
          <w:bCs/>
          <w:color w:val="000000" w:themeColor="text1"/>
        </w:rPr>
        <w:t xml:space="preserve">18/156 </w:t>
      </w:r>
      <w:r>
        <w:rPr>
          <w:rFonts w:asciiTheme="minorHAnsi" w:hAnsiTheme="minorHAnsi"/>
          <w:b/>
          <w:bCs/>
          <w:color w:val="000000" w:themeColor="text1"/>
        </w:rPr>
        <w:t>-</w:t>
      </w:r>
      <w:r w:rsidRPr="000509B7">
        <w:rPr>
          <w:rFonts w:asciiTheme="minorHAnsi" w:hAnsiTheme="minorHAnsi"/>
          <w:b/>
          <w:bCs/>
          <w:color w:val="000000" w:themeColor="text1"/>
        </w:rPr>
        <w:t xml:space="preserve"> ACT Housing Strategy – Public Housing Policy and Asset Management Plan 2019-20 to 2024-25 </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9038"/>
      </w:tblGrid>
      <w:tr w:rsidR="005B14F9" w:rsidRPr="00966EB9" w14:paraId="6765DD0E" w14:textId="77777777" w:rsidTr="003B6A8A">
        <w:trPr>
          <w:jc w:val="center"/>
        </w:trPr>
        <w:tc>
          <w:tcPr>
            <w:tcW w:w="9038" w:type="dxa"/>
          </w:tcPr>
          <w:p w14:paraId="7912F59F" w14:textId="77777777" w:rsidR="005B14F9" w:rsidRPr="000509B7" w:rsidRDefault="005B14F9" w:rsidP="003B6A8A">
            <w:pPr>
              <w:spacing w:before="60" w:after="60" w:line="240" w:lineRule="auto"/>
              <w:rPr>
                <w:rFonts w:asciiTheme="minorHAnsi" w:hAnsiTheme="minorHAnsi"/>
                <w:b/>
                <w:bCs/>
                <w:color w:val="000000" w:themeColor="text1"/>
              </w:rPr>
            </w:pPr>
            <w:r w:rsidRPr="000509B7">
              <w:rPr>
                <w:rFonts w:asciiTheme="minorHAnsi" w:hAnsiTheme="minorHAnsi"/>
                <w:b/>
                <w:bCs/>
                <w:color w:val="000000" w:themeColor="text1"/>
              </w:rPr>
              <w:t>Summary of Impacts</w:t>
            </w:r>
          </w:p>
        </w:tc>
      </w:tr>
      <w:tr w:rsidR="005B14F9" w:rsidRPr="00966EB9" w14:paraId="4832EB2B" w14:textId="77777777" w:rsidTr="003B6A8A">
        <w:trPr>
          <w:jc w:val="center"/>
        </w:trPr>
        <w:tc>
          <w:tcPr>
            <w:tcW w:w="9038" w:type="dxa"/>
          </w:tcPr>
          <w:p w14:paraId="49DE4B83" w14:textId="5A156914" w:rsidR="005B14F9" w:rsidRPr="000509B7" w:rsidRDefault="005B14F9" w:rsidP="003B6A8A">
            <w:pPr>
              <w:spacing w:before="60" w:after="60" w:line="240" w:lineRule="auto"/>
              <w:rPr>
                <w:rFonts w:asciiTheme="minorHAnsi" w:hAnsiTheme="minorHAnsi"/>
                <w:color w:val="000000" w:themeColor="text1"/>
              </w:rPr>
            </w:pPr>
            <w:r w:rsidRPr="00966EB9">
              <w:rPr>
                <w:rFonts w:asciiTheme="minorHAnsi" w:hAnsiTheme="minorHAnsi"/>
                <w:color w:val="000000" w:themeColor="text1"/>
              </w:rPr>
              <w:t>Stable and affordable housing enables economic and social participation</w:t>
            </w:r>
            <w:r w:rsidR="00337983">
              <w:rPr>
                <w:rFonts w:asciiTheme="minorHAnsi" w:hAnsiTheme="minorHAnsi"/>
                <w:color w:val="000000" w:themeColor="text1"/>
              </w:rPr>
              <w:t>,</w:t>
            </w:r>
            <w:r w:rsidRPr="00966EB9">
              <w:rPr>
                <w:rFonts w:asciiTheme="minorHAnsi" w:hAnsiTheme="minorHAnsi"/>
                <w:color w:val="000000" w:themeColor="text1"/>
              </w:rPr>
              <w:t xml:space="preserve"> which benefits both individuals and the Canberra community. Ongoing public housing renewal contributes to urban renewal, revitalising suburban communities </w:t>
            </w:r>
            <w:r w:rsidRPr="000509B7">
              <w:rPr>
                <w:rFonts w:asciiTheme="minorHAnsi" w:hAnsiTheme="minorHAnsi"/>
                <w:color w:val="000000" w:themeColor="text1"/>
              </w:rPr>
              <w:t xml:space="preserve">through redevelopment and/or sale of ageing stock and reducing public housing density in older, well established suburbs. It has positive social, economic and environmental outcomes for the public housing tenants and the broader community. </w:t>
            </w:r>
          </w:p>
          <w:p w14:paraId="7003A9DE" w14:textId="77777777" w:rsidR="005B14F9" w:rsidRPr="000509B7" w:rsidRDefault="005B14F9" w:rsidP="003B6A8A">
            <w:pPr>
              <w:spacing w:before="60" w:after="60" w:line="240" w:lineRule="auto"/>
              <w:rPr>
                <w:rFonts w:asciiTheme="minorHAnsi" w:hAnsiTheme="minorHAnsi"/>
                <w:color w:val="000000" w:themeColor="text1"/>
              </w:rPr>
            </w:pPr>
            <w:r w:rsidRPr="000509B7">
              <w:rPr>
                <w:rFonts w:asciiTheme="minorHAnsi" w:hAnsiTheme="minorHAnsi"/>
                <w:color w:val="000000" w:themeColor="text1"/>
              </w:rPr>
              <w:t xml:space="preserve">Construction of replacement dwellings will establish holdings in new suburbs and population growth areas. The ‘salt and pepper’ dispersal of public housing across Canberra will ensure the long term social inclusion of  public housing tenants as part of the Territory’s diverse and vibrant communities.  </w:t>
            </w:r>
          </w:p>
          <w:p w14:paraId="57989C36" w14:textId="77777777" w:rsidR="005B14F9" w:rsidRPr="000509B7" w:rsidRDefault="005B14F9" w:rsidP="003B6A8A">
            <w:pPr>
              <w:spacing w:before="60" w:after="60" w:line="240" w:lineRule="auto"/>
              <w:rPr>
                <w:rFonts w:asciiTheme="minorHAnsi" w:hAnsiTheme="minorHAnsi"/>
                <w:color w:val="000000" w:themeColor="text1"/>
              </w:rPr>
            </w:pPr>
            <w:r w:rsidRPr="000509B7">
              <w:rPr>
                <w:rFonts w:asciiTheme="minorHAnsi" w:hAnsiTheme="minorHAnsi"/>
                <w:color w:val="000000" w:themeColor="text1"/>
              </w:rPr>
              <w:t xml:space="preserve">Public housing renewal and growth improves the amenity, suitability and value of the public housing portfolio and will enable better alignment of the property profile to the needs of current public housing tenants.  Public housing renewal stimulates the construction industry and the identification of an annual renewal target will provide certainty and assurance to the sector and minimise risks from downturns in the market. </w:t>
            </w:r>
          </w:p>
          <w:p w14:paraId="14ADB97B" w14:textId="375BA82D" w:rsidR="005B14F9" w:rsidRPr="000509B7" w:rsidRDefault="005B14F9" w:rsidP="003B6A8A">
            <w:pPr>
              <w:spacing w:before="60" w:after="60" w:line="240" w:lineRule="auto"/>
              <w:rPr>
                <w:rFonts w:asciiTheme="minorHAnsi" w:hAnsiTheme="minorHAnsi"/>
                <w:color w:val="000000" w:themeColor="text1"/>
              </w:rPr>
            </w:pPr>
            <w:r w:rsidRPr="000509B7">
              <w:rPr>
                <w:rFonts w:asciiTheme="minorHAnsi" w:hAnsiTheme="minorHAnsi"/>
                <w:color w:val="000000" w:themeColor="text1"/>
              </w:rPr>
              <w:t>Older public housing dwellings are costly to maintain and their low energy efficiency ratings mean they have a high environmental impact and lead to increased cost of living for tenants on low income.  Their renewal improves their amenity and liveability and reduces utilities cost for tenants.</w:t>
            </w:r>
          </w:p>
          <w:p w14:paraId="67B172CE" w14:textId="54119F7D" w:rsidR="005B14F9" w:rsidRPr="00966EB9" w:rsidRDefault="005B14F9" w:rsidP="003B6A8A">
            <w:pPr>
              <w:spacing w:before="60" w:after="60" w:line="240" w:lineRule="auto"/>
              <w:rPr>
                <w:rFonts w:asciiTheme="minorHAnsi" w:hAnsiTheme="minorHAnsi"/>
                <w:color w:val="000000" w:themeColor="text1"/>
              </w:rPr>
            </w:pPr>
            <w:r w:rsidRPr="000509B7">
              <w:rPr>
                <w:rFonts w:asciiTheme="minorHAnsi" w:hAnsiTheme="minorHAnsi"/>
                <w:color w:val="000000" w:themeColor="text1"/>
              </w:rPr>
              <w:t>This Submission seeks agreement to progress the public housing asset management plan (and five year capital works program) including agreement to key policy parameters around portfolio growth, renewal and realignment. The public housing asset management plan will be</w:t>
            </w:r>
            <w:r w:rsidRPr="00966EB9">
              <w:rPr>
                <w:rFonts w:asciiTheme="minorHAnsi" w:hAnsiTheme="minorHAnsi"/>
                <w:color w:val="000000" w:themeColor="text1"/>
              </w:rPr>
              <w:t xml:space="preserve"> part of the broader ACT Housing Strategy and deliver on priorities around social inclusion, urban renewal, infrastructure and economic development.  </w:t>
            </w:r>
          </w:p>
          <w:p w14:paraId="1D8E41D9" w14:textId="43205780" w:rsidR="005B14F9" w:rsidRPr="00966EB9" w:rsidRDefault="005B14F9" w:rsidP="003B6A8A">
            <w:pPr>
              <w:spacing w:before="60" w:after="60" w:line="240" w:lineRule="auto"/>
              <w:rPr>
                <w:rFonts w:asciiTheme="minorHAnsi" w:hAnsiTheme="minorHAnsi"/>
                <w:color w:val="000000" w:themeColor="text1"/>
              </w:rPr>
            </w:pPr>
            <w:r w:rsidRPr="00966EB9">
              <w:rPr>
                <w:rFonts w:asciiTheme="minorHAnsi" w:hAnsiTheme="minorHAnsi"/>
                <w:color w:val="000000" w:themeColor="text1"/>
              </w:rPr>
              <w:t>The public housing asset management plan will target the continued provision of public housing to the most disadvantaged Canberrans and proposes the development and implementation of a new business model</w:t>
            </w:r>
            <w:r w:rsidR="00F841EA">
              <w:rPr>
                <w:rFonts w:asciiTheme="minorHAnsi" w:hAnsiTheme="minorHAnsi"/>
                <w:color w:val="000000" w:themeColor="text1"/>
              </w:rPr>
              <w:t>,</w:t>
            </w:r>
            <w:r w:rsidRPr="00966EB9">
              <w:rPr>
                <w:rFonts w:asciiTheme="minorHAnsi" w:hAnsiTheme="minorHAnsi"/>
                <w:color w:val="000000" w:themeColor="text1"/>
              </w:rPr>
              <w:t xml:space="preserve"> which aims to establish initiatives </w:t>
            </w:r>
            <w:r w:rsidR="00F841EA">
              <w:rPr>
                <w:rFonts w:asciiTheme="minorHAnsi" w:hAnsiTheme="minorHAnsi"/>
                <w:color w:val="000000" w:themeColor="text1"/>
              </w:rPr>
              <w:t xml:space="preserve">to </w:t>
            </w:r>
            <w:r w:rsidRPr="00966EB9">
              <w:rPr>
                <w:rFonts w:asciiTheme="minorHAnsi" w:hAnsiTheme="minorHAnsi"/>
                <w:color w:val="000000" w:themeColor="text1"/>
              </w:rPr>
              <w:t xml:space="preserve">improve the viability of the public housing portfolio.  </w:t>
            </w:r>
          </w:p>
          <w:p w14:paraId="7580E2B8" w14:textId="77777777" w:rsidR="005B14F9" w:rsidRPr="00966EB9" w:rsidRDefault="005B14F9" w:rsidP="003B6A8A">
            <w:pPr>
              <w:spacing w:before="60" w:after="60" w:line="240" w:lineRule="auto"/>
              <w:rPr>
                <w:rFonts w:asciiTheme="minorHAnsi" w:hAnsiTheme="minorHAnsi"/>
                <w:color w:val="000000" w:themeColor="text1"/>
              </w:rPr>
            </w:pPr>
            <w:r w:rsidRPr="00966EB9">
              <w:rPr>
                <w:rFonts w:asciiTheme="minorHAnsi" w:hAnsiTheme="minorHAnsi"/>
                <w:color w:val="000000" w:themeColor="text1"/>
              </w:rPr>
              <w:t>The finalisation, implementation, ongoing review and evaluation of the public housing asset management plan will be subject to further consideration at the end of the year.</w:t>
            </w:r>
          </w:p>
          <w:p w14:paraId="6C869238" w14:textId="77777777" w:rsidR="005B14F9" w:rsidRPr="00966EB9" w:rsidRDefault="005B14F9" w:rsidP="003B6A8A">
            <w:pPr>
              <w:spacing w:before="60" w:after="60" w:line="240" w:lineRule="auto"/>
              <w:rPr>
                <w:rFonts w:asciiTheme="minorHAnsi" w:hAnsiTheme="minorHAnsi"/>
                <w:color w:val="000000" w:themeColor="text1"/>
              </w:rPr>
            </w:pPr>
            <w:r w:rsidRPr="00966EB9">
              <w:rPr>
                <w:rFonts w:asciiTheme="minorHAnsi" w:hAnsiTheme="minorHAnsi"/>
                <w:color w:val="000000" w:themeColor="text1"/>
              </w:rPr>
              <w:t>Positive impacts of the proposed future public housing renewal program will include:</w:t>
            </w:r>
          </w:p>
          <w:p w14:paraId="01A46569" w14:textId="406FC69A" w:rsidR="005B14F9" w:rsidRPr="00966EB9" w:rsidRDefault="00337983" w:rsidP="0011038C">
            <w:pPr>
              <w:numPr>
                <w:ilvl w:val="0"/>
                <w:numId w:val="8"/>
              </w:numPr>
              <w:spacing w:before="60" w:after="60" w:line="240" w:lineRule="auto"/>
              <w:ind w:left="357" w:hanging="357"/>
              <w:rPr>
                <w:rFonts w:asciiTheme="minorHAnsi" w:hAnsiTheme="minorHAnsi"/>
                <w:color w:val="000000" w:themeColor="text1"/>
              </w:rPr>
            </w:pPr>
            <w:r w:rsidRPr="00966EB9">
              <w:rPr>
                <w:rFonts w:asciiTheme="minorHAnsi" w:hAnsiTheme="minorHAnsi"/>
                <w:color w:val="000000" w:themeColor="text1"/>
              </w:rPr>
              <w:t xml:space="preserve">ensuring </w:t>
            </w:r>
            <w:r w:rsidR="005B14F9" w:rsidRPr="00966EB9">
              <w:rPr>
                <w:rFonts w:asciiTheme="minorHAnsi" w:hAnsiTheme="minorHAnsi"/>
                <w:color w:val="000000" w:themeColor="text1"/>
              </w:rPr>
              <w:t>public housing tenants are ‘salt and peppered’ throughout the city;</w:t>
            </w:r>
          </w:p>
          <w:p w14:paraId="1AD31263" w14:textId="1677B8B6" w:rsidR="005B14F9" w:rsidRPr="00966EB9" w:rsidRDefault="00337983" w:rsidP="0011038C">
            <w:pPr>
              <w:numPr>
                <w:ilvl w:val="0"/>
                <w:numId w:val="8"/>
              </w:numPr>
              <w:spacing w:before="60" w:after="60" w:line="240" w:lineRule="auto"/>
              <w:ind w:left="357" w:hanging="357"/>
              <w:rPr>
                <w:rFonts w:asciiTheme="minorHAnsi" w:hAnsiTheme="minorHAnsi"/>
                <w:color w:val="000000" w:themeColor="text1"/>
              </w:rPr>
            </w:pPr>
            <w:r w:rsidRPr="00966EB9">
              <w:rPr>
                <w:rFonts w:asciiTheme="minorHAnsi" w:hAnsiTheme="minorHAnsi"/>
                <w:color w:val="000000" w:themeColor="text1"/>
              </w:rPr>
              <w:t xml:space="preserve">ensuring </w:t>
            </w:r>
            <w:r w:rsidR="005B14F9" w:rsidRPr="00966EB9">
              <w:rPr>
                <w:rFonts w:asciiTheme="minorHAnsi" w:hAnsiTheme="minorHAnsi"/>
                <w:color w:val="000000" w:themeColor="text1"/>
              </w:rPr>
              <w:t>public housing stock is better aligned to the needs and circumstance of tenants, further supporting the viability of public housing into the future;</w:t>
            </w:r>
          </w:p>
          <w:p w14:paraId="2E751E02" w14:textId="3DFBA082" w:rsidR="005B14F9" w:rsidRPr="00966EB9" w:rsidRDefault="00337983" w:rsidP="0011038C">
            <w:pPr>
              <w:numPr>
                <w:ilvl w:val="0"/>
                <w:numId w:val="8"/>
              </w:numPr>
              <w:spacing w:before="60" w:after="60" w:line="240" w:lineRule="auto"/>
              <w:ind w:left="357" w:hanging="357"/>
              <w:rPr>
                <w:rFonts w:asciiTheme="minorHAnsi" w:hAnsiTheme="minorHAnsi"/>
                <w:color w:val="000000" w:themeColor="text1"/>
              </w:rPr>
            </w:pPr>
            <w:r w:rsidRPr="00966EB9">
              <w:rPr>
                <w:rFonts w:asciiTheme="minorHAnsi" w:hAnsiTheme="minorHAnsi"/>
                <w:color w:val="000000" w:themeColor="text1"/>
              </w:rPr>
              <w:t xml:space="preserve">economic </w:t>
            </w:r>
            <w:r w:rsidR="005B14F9" w:rsidRPr="00966EB9">
              <w:rPr>
                <w:rFonts w:asciiTheme="minorHAnsi" w:hAnsiTheme="minorHAnsi"/>
                <w:color w:val="000000" w:themeColor="text1"/>
              </w:rPr>
              <w:t>benefits for the ACT through stimulating the construction industry and assurance of a program of sustained renewal activity;</w:t>
            </w:r>
          </w:p>
          <w:p w14:paraId="5E0D00FD" w14:textId="21A52840" w:rsidR="005B14F9" w:rsidRPr="00966EB9" w:rsidRDefault="00337983" w:rsidP="0011038C">
            <w:pPr>
              <w:numPr>
                <w:ilvl w:val="0"/>
                <w:numId w:val="8"/>
              </w:numPr>
              <w:spacing w:before="60" w:after="60" w:line="240" w:lineRule="auto"/>
              <w:ind w:left="357" w:hanging="357"/>
              <w:rPr>
                <w:rFonts w:asciiTheme="minorHAnsi" w:hAnsiTheme="minorHAnsi"/>
                <w:color w:val="000000" w:themeColor="text1"/>
              </w:rPr>
            </w:pPr>
            <w:r w:rsidRPr="00966EB9">
              <w:rPr>
                <w:rFonts w:asciiTheme="minorHAnsi" w:hAnsiTheme="minorHAnsi"/>
                <w:color w:val="000000" w:themeColor="text1"/>
              </w:rPr>
              <w:t xml:space="preserve">economic </w:t>
            </w:r>
            <w:r w:rsidR="005B14F9" w:rsidRPr="00966EB9">
              <w:rPr>
                <w:rFonts w:asciiTheme="minorHAnsi" w:hAnsiTheme="minorHAnsi"/>
                <w:color w:val="000000" w:themeColor="text1"/>
              </w:rPr>
              <w:t>benefits for tenants via more energy efficient properties which will reduce cost of living expenses for tenants; and</w:t>
            </w:r>
          </w:p>
          <w:p w14:paraId="33EBCC54" w14:textId="2AB76A3B" w:rsidR="005B14F9" w:rsidRPr="00966EB9" w:rsidRDefault="00337983" w:rsidP="0011038C">
            <w:pPr>
              <w:numPr>
                <w:ilvl w:val="0"/>
                <w:numId w:val="8"/>
              </w:numPr>
              <w:spacing w:before="60" w:after="60" w:line="240" w:lineRule="auto"/>
              <w:ind w:left="357" w:hanging="357"/>
              <w:rPr>
                <w:rFonts w:asciiTheme="minorHAnsi" w:hAnsiTheme="minorHAnsi"/>
                <w:color w:val="000000" w:themeColor="text1"/>
              </w:rPr>
            </w:pPr>
            <w:r w:rsidRPr="00966EB9">
              <w:rPr>
                <w:rFonts w:asciiTheme="minorHAnsi" w:hAnsiTheme="minorHAnsi"/>
                <w:color w:val="000000" w:themeColor="text1"/>
              </w:rPr>
              <w:t xml:space="preserve">environmental </w:t>
            </w:r>
            <w:r w:rsidR="005B14F9" w:rsidRPr="00966EB9">
              <w:rPr>
                <w:rFonts w:asciiTheme="minorHAnsi" w:hAnsiTheme="minorHAnsi"/>
                <w:color w:val="000000" w:themeColor="text1"/>
              </w:rPr>
              <w:t>benefits via reduced energy use and reduced private vehicle travel and in construction of new, energy efficient replacement dwellings.</w:t>
            </w:r>
          </w:p>
          <w:p w14:paraId="780A8F93" w14:textId="77777777" w:rsidR="005B14F9" w:rsidRPr="00966EB9" w:rsidRDefault="005B14F9" w:rsidP="003B6A8A">
            <w:pPr>
              <w:spacing w:before="60" w:after="60" w:line="240" w:lineRule="auto"/>
              <w:rPr>
                <w:rFonts w:asciiTheme="minorHAnsi" w:hAnsiTheme="minorHAnsi"/>
                <w:color w:val="000000" w:themeColor="text1"/>
              </w:rPr>
            </w:pPr>
          </w:p>
        </w:tc>
      </w:tr>
    </w:tbl>
    <w:p w14:paraId="6474B8B2" w14:textId="77777777" w:rsidR="005B14F9" w:rsidRPr="000509B7" w:rsidRDefault="005B14F9" w:rsidP="005B14F9">
      <w:pPr>
        <w:spacing w:after="120" w:line="240" w:lineRule="auto"/>
        <w:rPr>
          <w:rFonts w:asciiTheme="minorHAnsi" w:hAnsiTheme="minorHAnsi"/>
          <w:i/>
          <w:color w:val="000000" w:themeColor="text1"/>
        </w:rPr>
      </w:pPr>
      <w:r w:rsidRPr="00966EB9">
        <w:rPr>
          <w:rFonts w:asciiTheme="minorHAnsi" w:hAnsiTheme="minorHAnsi"/>
          <w:i/>
          <w:color w:val="000000" w:themeColor="text1"/>
        </w:rPr>
        <w:t>Key to impacts: Red – negative, Blue – neutral and Green</w:t>
      </w:r>
      <w:r w:rsidRPr="000509B7">
        <w:rPr>
          <w:rFonts w:asciiTheme="minorHAnsi" w:hAnsiTheme="minorHAnsi"/>
          <w:i/>
          <w:color w:val="000000" w:themeColor="text1"/>
        </w:rPr>
        <w:t xml:space="preserve"> – positive.</w:t>
      </w:r>
    </w:p>
    <w:p w14:paraId="6CDE69F7" w14:textId="77777777" w:rsidR="005B14F9" w:rsidRPr="000509B7" w:rsidRDefault="005B14F9" w:rsidP="005B14F9">
      <w:pPr>
        <w:spacing w:after="0" w:line="240" w:lineRule="auto"/>
        <w:rPr>
          <w:rFonts w:asciiTheme="minorHAnsi" w:hAnsiTheme="minorHAnsi"/>
          <w:b/>
          <w:bCs/>
          <w:color w:val="000000" w:themeColor="text1"/>
        </w:rPr>
      </w:pPr>
      <w:r w:rsidRPr="000509B7">
        <w:rPr>
          <w:rFonts w:asciiTheme="minorHAnsi" w:hAnsiTheme="minorHAnsi"/>
          <w:b/>
          <w:bCs/>
          <w:color w:val="000000" w:themeColor="text1"/>
        </w:rPr>
        <w:br w:type="page"/>
      </w:r>
    </w:p>
    <w:p w14:paraId="2B9418C0" w14:textId="77777777" w:rsidR="005B14F9" w:rsidRPr="000509B7" w:rsidRDefault="005B14F9" w:rsidP="005B14F9">
      <w:pPr>
        <w:spacing w:before="120" w:after="120" w:line="240" w:lineRule="auto"/>
        <w:rPr>
          <w:rFonts w:asciiTheme="minorHAnsi" w:hAnsiTheme="minorHAnsi"/>
          <w:b/>
          <w:bCs/>
          <w:color w:val="000000" w:themeColor="text1"/>
        </w:rPr>
      </w:pPr>
      <w:r w:rsidRPr="000509B7">
        <w:rPr>
          <w:rFonts w:asciiTheme="minorHAnsi" w:hAnsiTheme="minorHAnsi"/>
          <w:b/>
          <w:bCs/>
          <w:color w:val="000000" w:themeColor="text1"/>
        </w:rPr>
        <w:lastRenderedPageBreak/>
        <w:t>Social</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03"/>
        <w:gridCol w:w="7535"/>
      </w:tblGrid>
      <w:tr w:rsidR="005B14F9" w:rsidRPr="00966EB9" w14:paraId="39BE3B10" w14:textId="77777777" w:rsidTr="003B6A8A">
        <w:trPr>
          <w:jc w:val="center"/>
        </w:trPr>
        <w:tc>
          <w:tcPr>
            <w:tcW w:w="1526" w:type="dxa"/>
            <w:shd w:val="clear" w:color="auto" w:fill="92D050"/>
          </w:tcPr>
          <w:p w14:paraId="6B864681" w14:textId="77777777" w:rsidR="005B14F9" w:rsidRPr="000509B7" w:rsidRDefault="005B14F9" w:rsidP="003B6A8A">
            <w:pPr>
              <w:spacing w:before="60" w:after="60" w:line="240" w:lineRule="auto"/>
              <w:rPr>
                <w:rFonts w:asciiTheme="minorHAnsi" w:hAnsiTheme="minorHAnsi"/>
                <w:b/>
                <w:bCs/>
                <w:color w:val="000000" w:themeColor="text1"/>
              </w:rPr>
            </w:pPr>
            <w:r w:rsidRPr="000509B7">
              <w:rPr>
                <w:rFonts w:asciiTheme="minorHAnsi" w:hAnsiTheme="minorHAnsi"/>
                <w:b/>
                <w:bCs/>
                <w:color w:val="000000" w:themeColor="text1"/>
              </w:rPr>
              <w:t>Justice and Rights</w:t>
            </w:r>
          </w:p>
        </w:tc>
        <w:tc>
          <w:tcPr>
            <w:tcW w:w="7716" w:type="dxa"/>
          </w:tcPr>
          <w:p w14:paraId="194BAB04" w14:textId="77777777" w:rsidR="005B14F9" w:rsidRPr="000509B7" w:rsidRDefault="005B14F9"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Social housing provides the stable platform required for access to health and well-being services; education and training; public transport; information and communication technology facilities; and access to community space and facilities.</w:t>
            </w:r>
          </w:p>
          <w:p w14:paraId="06EC7E84" w14:textId="77777777" w:rsidR="005B14F9" w:rsidRPr="000509B7" w:rsidRDefault="005B14F9" w:rsidP="003B6A8A">
            <w:pPr>
              <w:pStyle w:val="ListParagraph"/>
              <w:numPr>
                <w:ilvl w:val="0"/>
                <w:numId w:val="3"/>
              </w:numPr>
              <w:spacing w:before="60" w:after="60" w:line="240" w:lineRule="auto"/>
              <w:contextualSpacing w:val="0"/>
              <w:rPr>
                <w:color w:val="000000" w:themeColor="text1"/>
                <w:sz w:val="21"/>
                <w:szCs w:val="21"/>
              </w:rPr>
            </w:pPr>
            <w:r w:rsidRPr="000509B7">
              <w:rPr>
                <w:rFonts w:cs="Arial"/>
                <w:color w:val="000000" w:themeColor="text1"/>
                <w:sz w:val="21"/>
                <w:szCs w:val="21"/>
              </w:rPr>
              <w:t>Redevelopment of Multi-Unit Properties (MUPs) will reduce concentrations of disadvantage.  Combined with redevelopment of stand-alone blocks plus some growth will rejuvenate the public housing portfolio so that it better matches the diverse and complex needs of the current public housing profile, leading to improved outcomes for tenants.</w:t>
            </w:r>
          </w:p>
        </w:tc>
      </w:tr>
    </w:tbl>
    <w:p w14:paraId="51EC95A0" w14:textId="77777777" w:rsidR="005B14F9" w:rsidRPr="00966EB9" w:rsidRDefault="005B14F9" w:rsidP="005B14F9">
      <w:pPr>
        <w:spacing w:before="120" w:after="120" w:line="240" w:lineRule="auto"/>
        <w:rPr>
          <w:rFonts w:asciiTheme="minorHAnsi" w:hAnsiTheme="minorHAnsi"/>
          <w:b/>
          <w:bCs/>
          <w:color w:val="000000" w:themeColor="text1"/>
        </w:rPr>
      </w:pPr>
      <w:r w:rsidRPr="00966EB9">
        <w:rPr>
          <w:rFonts w:asciiTheme="minorHAnsi" w:hAnsiTheme="minorHAnsi"/>
          <w:b/>
          <w:bCs/>
          <w:color w:val="000000" w:themeColor="text1"/>
        </w:rPr>
        <w:t>Economic</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20"/>
        <w:gridCol w:w="7497"/>
      </w:tblGrid>
      <w:tr w:rsidR="005B14F9" w:rsidRPr="00966EB9" w14:paraId="52537936" w14:textId="77777777" w:rsidTr="003B6A8A">
        <w:trPr>
          <w:jc w:val="center"/>
        </w:trPr>
        <w:tc>
          <w:tcPr>
            <w:tcW w:w="1520" w:type="dxa"/>
            <w:shd w:val="clear" w:color="auto" w:fill="92D050"/>
          </w:tcPr>
          <w:p w14:paraId="7C34F988" w14:textId="77777777" w:rsidR="005B14F9" w:rsidRPr="000509B7" w:rsidRDefault="005B14F9" w:rsidP="003B6A8A">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ACT Government Budget</w:t>
            </w:r>
          </w:p>
        </w:tc>
        <w:tc>
          <w:tcPr>
            <w:tcW w:w="7496" w:type="dxa"/>
          </w:tcPr>
          <w:p w14:paraId="1755D184" w14:textId="77777777" w:rsidR="005B14F9" w:rsidRPr="00966EB9" w:rsidRDefault="005B14F9"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 xml:space="preserve">The submission proposes a variety of funding methods for the renewal and growth elements.  This includes funding from the sale of public housing properties and obtaining funding through the Budget process.  </w:t>
            </w:r>
          </w:p>
        </w:tc>
      </w:tr>
      <w:tr w:rsidR="005B14F9" w:rsidRPr="00966EB9" w14:paraId="38D4632B" w14:textId="77777777" w:rsidTr="003B6A8A">
        <w:trPr>
          <w:jc w:val="center"/>
        </w:trPr>
        <w:tc>
          <w:tcPr>
            <w:tcW w:w="1519" w:type="dxa"/>
            <w:shd w:val="clear" w:color="auto" w:fill="92D050"/>
          </w:tcPr>
          <w:p w14:paraId="675DF8A9" w14:textId="77777777" w:rsidR="005B14F9" w:rsidRPr="00966EB9" w:rsidRDefault="005B14F9" w:rsidP="003B6A8A">
            <w:pPr>
              <w:spacing w:before="60" w:after="60" w:line="240" w:lineRule="auto"/>
              <w:rPr>
                <w:rFonts w:asciiTheme="minorHAnsi" w:hAnsiTheme="minorHAnsi"/>
                <w:b/>
                <w:bCs/>
                <w:color w:val="000000" w:themeColor="text1"/>
              </w:rPr>
            </w:pPr>
            <w:r w:rsidRPr="00966EB9">
              <w:rPr>
                <w:rFonts w:asciiTheme="minorHAnsi" w:hAnsiTheme="minorHAnsi"/>
                <w:b/>
                <w:bCs/>
                <w:color w:val="000000" w:themeColor="text1"/>
              </w:rPr>
              <w:t>Productivity</w:t>
            </w:r>
          </w:p>
        </w:tc>
        <w:tc>
          <w:tcPr>
            <w:tcW w:w="7497" w:type="dxa"/>
          </w:tcPr>
          <w:p w14:paraId="1B1968C1" w14:textId="4AC9A237" w:rsidR="005B14F9" w:rsidRPr="000509B7" w:rsidRDefault="005B14F9" w:rsidP="003B6A8A">
            <w:pPr>
              <w:pStyle w:val="ListParagraph"/>
              <w:numPr>
                <w:ilvl w:val="0"/>
                <w:numId w:val="3"/>
              </w:numPr>
              <w:spacing w:before="60" w:after="60" w:line="240" w:lineRule="auto"/>
              <w:contextualSpacing w:val="0"/>
              <w:rPr>
                <w:color w:val="000000" w:themeColor="text1"/>
                <w:sz w:val="21"/>
                <w:szCs w:val="21"/>
              </w:rPr>
            </w:pPr>
            <w:r w:rsidRPr="000509B7">
              <w:rPr>
                <w:color w:val="000000" w:themeColor="text1"/>
                <w:sz w:val="21"/>
                <w:szCs w:val="21"/>
              </w:rPr>
              <w:t xml:space="preserve">The redevelopment of public housing MUPS and </w:t>
            </w:r>
            <w:r w:rsidR="00F841EA" w:rsidRPr="000509B7">
              <w:rPr>
                <w:color w:val="000000" w:themeColor="text1"/>
                <w:sz w:val="21"/>
                <w:szCs w:val="21"/>
              </w:rPr>
              <w:t>standalone</w:t>
            </w:r>
            <w:r w:rsidRPr="000509B7">
              <w:rPr>
                <w:color w:val="000000" w:themeColor="text1"/>
                <w:sz w:val="21"/>
                <w:szCs w:val="21"/>
              </w:rPr>
              <w:t xml:space="preserve"> blocks and construction of new dwellings will continue to stimulate the construction industry.</w:t>
            </w:r>
          </w:p>
        </w:tc>
      </w:tr>
      <w:tr w:rsidR="005B14F9" w:rsidRPr="00966EB9" w14:paraId="5AB8FF34" w14:textId="77777777" w:rsidTr="003B6A8A">
        <w:trPr>
          <w:jc w:val="center"/>
        </w:trPr>
        <w:tc>
          <w:tcPr>
            <w:tcW w:w="1519" w:type="dxa"/>
            <w:shd w:val="clear" w:color="auto" w:fill="92D050"/>
          </w:tcPr>
          <w:p w14:paraId="46ED4528" w14:textId="77777777" w:rsidR="005B14F9" w:rsidRPr="00966EB9" w:rsidRDefault="005B14F9" w:rsidP="003B6A8A">
            <w:pPr>
              <w:spacing w:before="60" w:after="60" w:line="240" w:lineRule="auto"/>
              <w:rPr>
                <w:rFonts w:asciiTheme="minorHAnsi" w:hAnsiTheme="minorHAnsi"/>
                <w:b/>
                <w:bCs/>
                <w:color w:val="000000" w:themeColor="text1"/>
              </w:rPr>
            </w:pPr>
            <w:r w:rsidRPr="00966EB9">
              <w:rPr>
                <w:rFonts w:asciiTheme="minorHAnsi" w:hAnsiTheme="minorHAnsi"/>
                <w:b/>
                <w:bCs/>
                <w:color w:val="000000" w:themeColor="text1"/>
              </w:rPr>
              <w:t>Investment</w:t>
            </w:r>
          </w:p>
        </w:tc>
        <w:tc>
          <w:tcPr>
            <w:tcW w:w="7497" w:type="dxa"/>
          </w:tcPr>
          <w:p w14:paraId="1782F5E3" w14:textId="77777777" w:rsidR="005B14F9" w:rsidRPr="000509B7" w:rsidRDefault="005B14F9" w:rsidP="003B6A8A">
            <w:pPr>
              <w:pStyle w:val="ListParagraph"/>
              <w:numPr>
                <w:ilvl w:val="0"/>
                <w:numId w:val="3"/>
              </w:numPr>
              <w:spacing w:before="60" w:after="60" w:line="240" w:lineRule="auto"/>
              <w:contextualSpacing w:val="0"/>
              <w:rPr>
                <w:color w:val="000000" w:themeColor="text1"/>
                <w:sz w:val="21"/>
                <w:szCs w:val="21"/>
              </w:rPr>
            </w:pPr>
            <w:r w:rsidRPr="000509B7">
              <w:rPr>
                <w:color w:val="000000" w:themeColor="text1"/>
                <w:sz w:val="21"/>
                <w:szCs w:val="21"/>
              </w:rPr>
              <w:t>A rolling program of redevelopment will allow opportunities for institutional investment and for partnerships with community and commercial based housing providers.</w:t>
            </w:r>
          </w:p>
          <w:p w14:paraId="161FBD97" w14:textId="77777777" w:rsidR="005B14F9" w:rsidRPr="000509B7" w:rsidRDefault="005B14F9" w:rsidP="003B6A8A">
            <w:pPr>
              <w:pStyle w:val="ListParagraph"/>
              <w:numPr>
                <w:ilvl w:val="0"/>
                <w:numId w:val="3"/>
              </w:numPr>
              <w:spacing w:before="60" w:after="60" w:line="240" w:lineRule="auto"/>
              <w:contextualSpacing w:val="0"/>
              <w:rPr>
                <w:color w:val="000000" w:themeColor="text1"/>
                <w:sz w:val="21"/>
                <w:szCs w:val="21"/>
              </w:rPr>
            </w:pPr>
            <w:r w:rsidRPr="000509B7">
              <w:rPr>
                <w:color w:val="000000" w:themeColor="text1"/>
                <w:sz w:val="21"/>
                <w:szCs w:val="21"/>
              </w:rPr>
              <w:t>Public housing renewal, and associated urban renewal, especially along transport corridors and near commercial centres, will encourage diversified investment in the ACT.</w:t>
            </w:r>
          </w:p>
        </w:tc>
      </w:tr>
      <w:tr w:rsidR="005B14F9" w:rsidRPr="00966EB9" w14:paraId="3D376B54" w14:textId="77777777" w:rsidTr="003B6A8A">
        <w:trPr>
          <w:jc w:val="center"/>
        </w:trPr>
        <w:tc>
          <w:tcPr>
            <w:tcW w:w="1519" w:type="dxa"/>
            <w:shd w:val="clear" w:color="auto" w:fill="92D050"/>
          </w:tcPr>
          <w:p w14:paraId="06235452" w14:textId="77777777" w:rsidR="005B14F9" w:rsidRPr="00966EB9" w:rsidRDefault="005B14F9" w:rsidP="003B6A8A">
            <w:pPr>
              <w:spacing w:before="60" w:after="60" w:line="240" w:lineRule="auto"/>
              <w:rPr>
                <w:rFonts w:asciiTheme="minorHAnsi" w:hAnsiTheme="minorHAnsi"/>
                <w:color w:val="000000" w:themeColor="text1"/>
              </w:rPr>
            </w:pPr>
            <w:r w:rsidRPr="00966EB9">
              <w:rPr>
                <w:rFonts w:asciiTheme="minorHAnsi" w:hAnsiTheme="minorHAnsi"/>
                <w:b/>
                <w:bCs/>
                <w:color w:val="000000" w:themeColor="text1"/>
              </w:rPr>
              <w:t>Competition</w:t>
            </w:r>
          </w:p>
        </w:tc>
        <w:tc>
          <w:tcPr>
            <w:tcW w:w="7497" w:type="dxa"/>
          </w:tcPr>
          <w:p w14:paraId="14668CE2" w14:textId="77777777" w:rsidR="005B14F9" w:rsidRPr="000509B7" w:rsidRDefault="005B14F9"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color w:val="000000" w:themeColor="text1"/>
              </w:rPr>
              <w:t xml:space="preserve">The development of land will be considered within the context of financial modelling work to be undertaken.  </w:t>
            </w:r>
          </w:p>
        </w:tc>
      </w:tr>
    </w:tbl>
    <w:p w14:paraId="121D5C52" w14:textId="77777777" w:rsidR="005B14F9" w:rsidRPr="00966EB9" w:rsidRDefault="005B14F9" w:rsidP="005B14F9">
      <w:pPr>
        <w:spacing w:before="120" w:after="120" w:line="240" w:lineRule="auto"/>
        <w:rPr>
          <w:rFonts w:asciiTheme="minorHAnsi" w:hAnsiTheme="minorHAnsi"/>
          <w:b/>
          <w:bCs/>
          <w:color w:val="000000" w:themeColor="text1"/>
        </w:rPr>
      </w:pPr>
      <w:r w:rsidRPr="00966EB9">
        <w:rPr>
          <w:rFonts w:asciiTheme="minorHAnsi" w:hAnsiTheme="minorHAnsi"/>
          <w:b/>
          <w:bCs/>
          <w:color w:val="000000" w:themeColor="text1"/>
        </w:rPr>
        <w:t>Environmental</w:t>
      </w:r>
    </w:p>
    <w:tbl>
      <w:tblPr>
        <w:tblW w:w="0" w:type="auto"/>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1505"/>
        <w:gridCol w:w="7533"/>
      </w:tblGrid>
      <w:tr w:rsidR="005B14F9" w:rsidRPr="00966EB9" w14:paraId="7D521374" w14:textId="77777777" w:rsidTr="003B6A8A">
        <w:trPr>
          <w:jc w:val="center"/>
        </w:trPr>
        <w:tc>
          <w:tcPr>
            <w:tcW w:w="1526" w:type="dxa"/>
            <w:shd w:val="clear" w:color="auto" w:fill="92D050"/>
          </w:tcPr>
          <w:p w14:paraId="0B6B715C" w14:textId="77777777" w:rsidR="005B14F9" w:rsidRPr="000509B7" w:rsidRDefault="005B14F9" w:rsidP="003B6A8A">
            <w:pPr>
              <w:spacing w:before="60" w:after="60" w:line="240" w:lineRule="auto"/>
              <w:rPr>
                <w:rFonts w:asciiTheme="minorHAnsi" w:hAnsiTheme="minorHAnsi"/>
                <w:color w:val="000000" w:themeColor="text1"/>
              </w:rPr>
            </w:pPr>
            <w:r w:rsidRPr="000509B7">
              <w:rPr>
                <w:rFonts w:asciiTheme="minorHAnsi" w:hAnsiTheme="minorHAnsi"/>
                <w:b/>
                <w:bCs/>
                <w:color w:val="000000" w:themeColor="text1"/>
              </w:rPr>
              <w:t>Energy</w:t>
            </w:r>
          </w:p>
        </w:tc>
        <w:tc>
          <w:tcPr>
            <w:tcW w:w="7716" w:type="dxa"/>
          </w:tcPr>
          <w:p w14:paraId="33E89969" w14:textId="77777777" w:rsidR="005B14F9" w:rsidRPr="0063212C" w:rsidRDefault="005B14F9" w:rsidP="003B6A8A">
            <w:pPr>
              <w:numPr>
                <w:ilvl w:val="0"/>
                <w:numId w:val="2"/>
              </w:numPr>
              <w:spacing w:before="60" w:after="60" w:line="240" w:lineRule="auto"/>
              <w:ind w:left="360"/>
              <w:rPr>
                <w:rFonts w:asciiTheme="minorHAnsi" w:hAnsiTheme="minorHAnsi"/>
                <w:color w:val="000000" w:themeColor="text1"/>
              </w:rPr>
            </w:pPr>
            <w:r w:rsidRPr="000509B7">
              <w:rPr>
                <w:rFonts w:asciiTheme="minorHAnsi" w:hAnsiTheme="minorHAnsi"/>
              </w:rPr>
              <w:t>Renewal of ageing public housing properties that are energy inefficient will improve energy efficiency leading to a reduction in fuel poverty and utility costs for people on low incomes.  Increased housing within walking distance of major transport routes, commercial centres and community facilities (eg schools, sporting fields) will reduce reliance on motor vehicles and increase patronage of public transport.</w:t>
            </w:r>
          </w:p>
        </w:tc>
      </w:tr>
    </w:tbl>
    <w:p w14:paraId="50C13FD4" w14:textId="77777777" w:rsidR="005B14F9" w:rsidRPr="00966EB9" w:rsidRDefault="005B14F9" w:rsidP="005B14F9">
      <w:pPr>
        <w:spacing w:after="0" w:line="240" w:lineRule="auto"/>
        <w:rPr>
          <w:rFonts w:asciiTheme="minorHAnsi" w:hAnsiTheme="minorHAnsi"/>
          <w:color w:val="000000" w:themeColor="text1"/>
        </w:rPr>
      </w:pPr>
    </w:p>
    <w:p w14:paraId="20BA7711" w14:textId="77777777" w:rsidR="005B14F9" w:rsidRDefault="005B14F9" w:rsidP="005B14F9">
      <w:pPr>
        <w:spacing w:after="160" w:line="259" w:lineRule="auto"/>
        <w:rPr>
          <w:rFonts w:asciiTheme="minorHAnsi" w:hAnsiTheme="minorHAnsi"/>
          <w:b/>
          <w:bCs/>
          <w:color w:val="000000" w:themeColor="text1"/>
        </w:rPr>
        <w:sectPr w:rsidR="005B14F9" w:rsidSect="005B14F9">
          <w:headerReference w:type="default" r:id="rId11"/>
          <w:footerReference w:type="default" r:id="rId12"/>
          <w:headerReference w:type="first" r:id="rId13"/>
          <w:footerReference w:type="first" r:id="rId14"/>
          <w:footnotePr>
            <w:numRestart w:val="eachSect"/>
          </w:footnotePr>
          <w:type w:val="continuous"/>
          <w:pgSz w:w="11906" w:h="16838"/>
          <w:pgMar w:top="1242" w:right="1440" w:bottom="709" w:left="1418" w:header="567" w:footer="346" w:gutter="0"/>
          <w:cols w:space="708"/>
          <w:titlePg/>
          <w:docGrid w:linePitch="360"/>
        </w:sectPr>
      </w:pPr>
    </w:p>
    <w:p w14:paraId="5F05E365" w14:textId="1B63F2C8" w:rsidR="000509B7" w:rsidRPr="005B14F9" w:rsidRDefault="000509B7" w:rsidP="005B14F9"/>
    <w:sectPr w:rsidR="000509B7" w:rsidRPr="005B14F9" w:rsidSect="00A80730">
      <w:footnotePr>
        <w:numRestart w:val="eachSect"/>
      </w:footnotePr>
      <w:type w:val="continuous"/>
      <w:pgSz w:w="11906" w:h="16838"/>
      <w:pgMar w:top="1242" w:right="1440" w:bottom="709" w:left="1418" w:header="567" w:footer="34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61E5B" w14:textId="77777777" w:rsidR="00E170A3" w:rsidRDefault="00E170A3" w:rsidP="009041C7">
      <w:pPr>
        <w:spacing w:after="0" w:line="240" w:lineRule="auto"/>
      </w:pPr>
      <w:r>
        <w:separator/>
      </w:r>
    </w:p>
  </w:endnote>
  <w:endnote w:type="continuationSeparator" w:id="0">
    <w:p w14:paraId="559A4ACD" w14:textId="77777777" w:rsidR="00E170A3" w:rsidRDefault="00E170A3" w:rsidP="0090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8BFAE" w14:textId="77777777" w:rsidR="005B14F9" w:rsidRDefault="005B14F9" w:rsidP="005C4A84">
    <w:pPr>
      <w:pStyle w:val="Head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E2471" w14:textId="77777777" w:rsidR="005B14F9" w:rsidRDefault="005B14F9" w:rsidP="0063212C">
    <w:pPr>
      <w:pStyle w:val="Header"/>
      <w:spacing w:after="0" w:line="240"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41102" w14:textId="77777777" w:rsidR="00E170A3" w:rsidRDefault="00E170A3" w:rsidP="009041C7">
      <w:pPr>
        <w:spacing w:after="0" w:line="240" w:lineRule="auto"/>
      </w:pPr>
      <w:r>
        <w:separator/>
      </w:r>
    </w:p>
  </w:footnote>
  <w:footnote w:type="continuationSeparator" w:id="0">
    <w:p w14:paraId="4A30B665" w14:textId="77777777" w:rsidR="00E170A3" w:rsidRDefault="00E170A3" w:rsidP="009041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7692DB" w14:textId="77777777" w:rsidR="005B14F9" w:rsidRDefault="005B14F9" w:rsidP="005C4A84">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75E39" w14:textId="77777777" w:rsidR="005B14F9" w:rsidRDefault="005B14F9" w:rsidP="005C4A84">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F4730"/>
    <w:multiLevelType w:val="hybridMultilevel"/>
    <w:tmpl w:val="93ACBB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314CDA"/>
    <w:multiLevelType w:val="hybridMultilevel"/>
    <w:tmpl w:val="2F7E8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AF464F"/>
    <w:multiLevelType w:val="hybridMultilevel"/>
    <w:tmpl w:val="EBD61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3D6461B"/>
    <w:multiLevelType w:val="hybridMultilevel"/>
    <w:tmpl w:val="31DE68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E171AF"/>
    <w:multiLevelType w:val="hybridMultilevel"/>
    <w:tmpl w:val="E910BC44"/>
    <w:lvl w:ilvl="0" w:tplc="30F0BCC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43266E5"/>
    <w:multiLevelType w:val="hybridMultilevel"/>
    <w:tmpl w:val="7334FD3A"/>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A05918"/>
    <w:multiLevelType w:val="hybridMultilevel"/>
    <w:tmpl w:val="48F08E22"/>
    <w:lvl w:ilvl="0" w:tplc="4D7E39C4">
      <w:start w:val="1"/>
      <w:numFmt w:val="bullet"/>
      <w:pStyle w:val="Bulletpoint"/>
      <w:lvlText w:val=""/>
      <w:lvlJc w:val="left"/>
      <w:pPr>
        <w:tabs>
          <w:tab w:val="num" w:pos="927"/>
        </w:tabs>
        <w:ind w:left="927" w:hanging="567"/>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7" w15:restartNumberingAfterBreak="0">
    <w:nsid w:val="676A0B89"/>
    <w:multiLevelType w:val="hybridMultilevel"/>
    <w:tmpl w:val="835865FE"/>
    <w:lvl w:ilvl="0" w:tplc="0C090001">
      <w:start w:val="1"/>
      <w:numFmt w:val="bullet"/>
      <w:lvlText w:val=""/>
      <w:lvlJc w:val="left"/>
      <w:pPr>
        <w:ind w:left="360" w:hanging="360"/>
      </w:pPr>
      <w:rPr>
        <w:rFonts w:ascii="Symbol" w:hAnsi="Symbol" w:hint="default"/>
      </w:rPr>
    </w:lvl>
    <w:lvl w:ilvl="1" w:tplc="E73802EA">
      <w:start w:val="1"/>
      <w:numFmt w:val="bullet"/>
      <w:lvlText w:val="-"/>
      <w:lvlJc w:val="left"/>
      <w:pPr>
        <w:ind w:left="1080" w:hanging="360"/>
      </w:pPr>
      <w:rPr>
        <w:rFonts w:ascii="Times New Roman" w:eastAsia="Times New Roman" w:hAnsi="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0"/>
  </w:num>
  <w:num w:numId="6">
    <w:abstractNumId w:val="5"/>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9420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D9"/>
    <w:rsid w:val="00024B3B"/>
    <w:rsid w:val="000509B7"/>
    <w:rsid w:val="0006131B"/>
    <w:rsid w:val="00091628"/>
    <w:rsid w:val="000C2F9A"/>
    <w:rsid w:val="000C3FD2"/>
    <w:rsid w:val="000E6A5B"/>
    <w:rsid w:val="0011038C"/>
    <w:rsid w:val="0012116E"/>
    <w:rsid w:val="001945FF"/>
    <w:rsid w:val="00282429"/>
    <w:rsid w:val="002B5F53"/>
    <w:rsid w:val="002C5063"/>
    <w:rsid w:val="002E146C"/>
    <w:rsid w:val="002F15D9"/>
    <w:rsid w:val="00337983"/>
    <w:rsid w:val="0038149F"/>
    <w:rsid w:val="00383CBB"/>
    <w:rsid w:val="0039154F"/>
    <w:rsid w:val="003D50B9"/>
    <w:rsid w:val="003E4F03"/>
    <w:rsid w:val="00425BD9"/>
    <w:rsid w:val="00426BD2"/>
    <w:rsid w:val="00433827"/>
    <w:rsid w:val="00446767"/>
    <w:rsid w:val="004557F1"/>
    <w:rsid w:val="00455889"/>
    <w:rsid w:val="0046471C"/>
    <w:rsid w:val="004D51BB"/>
    <w:rsid w:val="004E4513"/>
    <w:rsid w:val="004F72CA"/>
    <w:rsid w:val="005151F6"/>
    <w:rsid w:val="00534E14"/>
    <w:rsid w:val="0055530B"/>
    <w:rsid w:val="005613E4"/>
    <w:rsid w:val="00575F46"/>
    <w:rsid w:val="00580319"/>
    <w:rsid w:val="00580B7F"/>
    <w:rsid w:val="00584E17"/>
    <w:rsid w:val="005B14F9"/>
    <w:rsid w:val="005B1E0D"/>
    <w:rsid w:val="005C4A84"/>
    <w:rsid w:val="005F446E"/>
    <w:rsid w:val="006033C5"/>
    <w:rsid w:val="0063051E"/>
    <w:rsid w:val="0063212C"/>
    <w:rsid w:val="0065455C"/>
    <w:rsid w:val="00654652"/>
    <w:rsid w:val="00663B63"/>
    <w:rsid w:val="006657D8"/>
    <w:rsid w:val="006B7146"/>
    <w:rsid w:val="007104EA"/>
    <w:rsid w:val="007400D4"/>
    <w:rsid w:val="0074403C"/>
    <w:rsid w:val="00764D79"/>
    <w:rsid w:val="007B44D5"/>
    <w:rsid w:val="007C07EE"/>
    <w:rsid w:val="007E0AD7"/>
    <w:rsid w:val="007E5464"/>
    <w:rsid w:val="008232E2"/>
    <w:rsid w:val="00850B04"/>
    <w:rsid w:val="008A50E6"/>
    <w:rsid w:val="008B2545"/>
    <w:rsid w:val="008B3320"/>
    <w:rsid w:val="008B6CEE"/>
    <w:rsid w:val="008C071B"/>
    <w:rsid w:val="008C4BC9"/>
    <w:rsid w:val="008D2C42"/>
    <w:rsid w:val="009041C7"/>
    <w:rsid w:val="00913FA9"/>
    <w:rsid w:val="0095779D"/>
    <w:rsid w:val="00961470"/>
    <w:rsid w:val="00966EB9"/>
    <w:rsid w:val="009A03A0"/>
    <w:rsid w:val="009A2EF2"/>
    <w:rsid w:val="009B0DDD"/>
    <w:rsid w:val="009B1C1D"/>
    <w:rsid w:val="009B4E96"/>
    <w:rsid w:val="009C24CB"/>
    <w:rsid w:val="00A41FC1"/>
    <w:rsid w:val="00A65C62"/>
    <w:rsid w:val="00A71DF3"/>
    <w:rsid w:val="00A80730"/>
    <w:rsid w:val="00AC35A2"/>
    <w:rsid w:val="00B00DC1"/>
    <w:rsid w:val="00B41519"/>
    <w:rsid w:val="00B52E5E"/>
    <w:rsid w:val="00B727F6"/>
    <w:rsid w:val="00B75835"/>
    <w:rsid w:val="00B86D1B"/>
    <w:rsid w:val="00B9178A"/>
    <w:rsid w:val="00BB641E"/>
    <w:rsid w:val="00BC4A9E"/>
    <w:rsid w:val="00BF2A09"/>
    <w:rsid w:val="00C17089"/>
    <w:rsid w:val="00C2489F"/>
    <w:rsid w:val="00C271AE"/>
    <w:rsid w:val="00C53382"/>
    <w:rsid w:val="00C734EF"/>
    <w:rsid w:val="00C912AA"/>
    <w:rsid w:val="00CA2605"/>
    <w:rsid w:val="00CB3E29"/>
    <w:rsid w:val="00CC41FF"/>
    <w:rsid w:val="00CD08E7"/>
    <w:rsid w:val="00CE50C8"/>
    <w:rsid w:val="00CF5FA5"/>
    <w:rsid w:val="00CF6227"/>
    <w:rsid w:val="00D02042"/>
    <w:rsid w:val="00D115C3"/>
    <w:rsid w:val="00D34FF1"/>
    <w:rsid w:val="00D677A2"/>
    <w:rsid w:val="00D848AA"/>
    <w:rsid w:val="00DB5B40"/>
    <w:rsid w:val="00DB7E9C"/>
    <w:rsid w:val="00E170A3"/>
    <w:rsid w:val="00E252F0"/>
    <w:rsid w:val="00EB2853"/>
    <w:rsid w:val="00EB64A6"/>
    <w:rsid w:val="00F32B7B"/>
    <w:rsid w:val="00F548F5"/>
    <w:rsid w:val="00F64C12"/>
    <w:rsid w:val="00F65981"/>
    <w:rsid w:val="00F772BB"/>
    <w:rsid w:val="00F841EA"/>
    <w:rsid w:val="00FA3109"/>
    <w:rsid w:val="00FB1845"/>
    <w:rsid w:val="00FE48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00BFB5DA"/>
  <w15:chartTrackingRefBased/>
  <w15:docId w15:val="{515E4DA0-2B16-46F1-9D48-974C212B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1C7"/>
    <w:pPr>
      <w:spacing w:after="200" w:line="276" w:lineRule="auto"/>
    </w:pPr>
    <w:rPr>
      <w:rFonts w:ascii="Arial" w:eastAsia="Times New Roman" w:hAnsi="Arial" w:cs="Arial"/>
      <w:sz w:val="21"/>
      <w:szCs w:val="21"/>
      <w:lang w:eastAsia="en-AU"/>
    </w:rPr>
  </w:style>
  <w:style w:type="paragraph" w:styleId="Heading1">
    <w:name w:val="heading 1"/>
    <w:basedOn w:val="Normal"/>
    <w:next w:val="Normal"/>
    <w:link w:val="Heading1Char"/>
    <w:autoRedefine/>
    <w:uiPriority w:val="99"/>
    <w:qFormat/>
    <w:rsid w:val="00C17089"/>
    <w:pPr>
      <w:keepNext/>
      <w:keepLines/>
      <w:spacing w:after="400" w:line="240" w:lineRule="atLeast"/>
      <w:outlineLvl w:val="0"/>
    </w:pPr>
    <w:rPr>
      <w:rFonts w:eastAsia="Constantia"/>
      <w:color w:val="4BACC6"/>
      <w:sz w:val="36"/>
      <w:szCs w:val="36"/>
    </w:rPr>
  </w:style>
  <w:style w:type="paragraph" w:styleId="Heading2">
    <w:name w:val="heading 2"/>
    <w:basedOn w:val="Heading1"/>
    <w:next w:val="Normal"/>
    <w:link w:val="Heading2Char"/>
    <w:uiPriority w:val="99"/>
    <w:qFormat/>
    <w:rsid w:val="00CD08E7"/>
    <w:pPr>
      <w:spacing w:before="400" w:after="200"/>
      <w:jc w:val="both"/>
      <w:outlineLvl w:val="1"/>
    </w:pPr>
    <w:rPr>
      <w:rFonts w:ascii="Cambria" w:hAnsi="Cambria"/>
      <w:b/>
      <w:color w:val="4F81BD"/>
      <w:sz w:val="26"/>
      <w:szCs w:val="26"/>
    </w:rPr>
  </w:style>
  <w:style w:type="paragraph" w:styleId="Heading3">
    <w:name w:val="heading 3"/>
    <w:basedOn w:val="Normal"/>
    <w:next w:val="Normal"/>
    <w:link w:val="Heading3Char"/>
    <w:uiPriority w:val="9"/>
    <w:semiHidden/>
    <w:unhideWhenUsed/>
    <w:qFormat/>
    <w:rsid w:val="00C271AE"/>
    <w:pPr>
      <w:keepNext/>
      <w:spacing w:before="240" w:after="60"/>
      <w:outlineLvl w:val="2"/>
    </w:pPr>
    <w:rPr>
      <w:rFonts w:ascii="Calibri Light"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41C7"/>
    <w:pPr>
      <w:tabs>
        <w:tab w:val="center" w:pos="4513"/>
        <w:tab w:val="right" w:pos="9026"/>
      </w:tabs>
    </w:pPr>
  </w:style>
  <w:style w:type="character" w:customStyle="1" w:styleId="HeaderChar">
    <w:name w:val="Header Char"/>
    <w:basedOn w:val="DefaultParagraphFont"/>
    <w:link w:val="Header"/>
    <w:uiPriority w:val="99"/>
    <w:rsid w:val="009041C7"/>
    <w:rPr>
      <w:rFonts w:ascii="Arial" w:eastAsia="Times New Roman" w:hAnsi="Arial" w:cs="Arial"/>
      <w:sz w:val="21"/>
      <w:szCs w:val="21"/>
      <w:lang w:eastAsia="en-AU"/>
    </w:rPr>
  </w:style>
  <w:style w:type="paragraph" w:customStyle="1" w:styleId="Bulletpoint">
    <w:name w:val="Bullet point"/>
    <w:basedOn w:val="Normal"/>
    <w:uiPriority w:val="99"/>
    <w:rsid w:val="009041C7"/>
    <w:pPr>
      <w:numPr>
        <w:numId w:val="1"/>
      </w:numPr>
      <w:spacing w:after="100"/>
      <w:jc w:val="both"/>
    </w:pPr>
    <w:rPr>
      <w:rFonts w:ascii="Calibri" w:hAnsi="Calibri"/>
      <w:sz w:val="22"/>
      <w:szCs w:val="22"/>
    </w:rPr>
  </w:style>
  <w:style w:type="paragraph" w:customStyle="1" w:styleId="StyleBulletpoint105pt">
    <w:name w:val="Style Bullet point + 10.5 pt"/>
    <w:basedOn w:val="Bulletpoint"/>
    <w:link w:val="StyleBulletpoint105ptChar"/>
    <w:uiPriority w:val="99"/>
    <w:rsid w:val="009041C7"/>
    <w:rPr>
      <w:sz w:val="21"/>
      <w:szCs w:val="21"/>
    </w:rPr>
  </w:style>
  <w:style w:type="character" w:customStyle="1" w:styleId="StyleBulletpoint105ptChar">
    <w:name w:val="Style Bullet point + 10.5 pt Char"/>
    <w:link w:val="StyleBulletpoint105pt"/>
    <w:uiPriority w:val="99"/>
    <w:locked/>
    <w:rsid w:val="009041C7"/>
    <w:rPr>
      <w:rFonts w:ascii="Calibri" w:eastAsia="Times New Roman" w:hAnsi="Calibri" w:cs="Arial"/>
      <w:sz w:val="21"/>
      <w:szCs w:val="21"/>
      <w:lang w:eastAsia="en-AU"/>
    </w:rPr>
  </w:style>
  <w:style w:type="paragraph" w:styleId="Footer">
    <w:name w:val="footer"/>
    <w:basedOn w:val="Normal"/>
    <w:link w:val="FooterChar"/>
    <w:uiPriority w:val="99"/>
    <w:unhideWhenUsed/>
    <w:rsid w:val="00904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1C7"/>
    <w:rPr>
      <w:rFonts w:ascii="Arial" w:eastAsia="Times New Roman" w:hAnsi="Arial" w:cs="Arial"/>
      <w:sz w:val="21"/>
      <w:szCs w:val="21"/>
      <w:lang w:eastAsia="en-AU"/>
    </w:rPr>
  </w:style>
  <w:style w:type="paragraph" w:styleId="ListParagraph">
    <w:name w:val="List Paragraph"/>
    <w:basedOn w:val="Normal"/>
    <w:uiPriority w:val="99"/>
    <w:qFormat/>
    <w:rsid w:val="009041C7"/>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38149F"/>
    <w:rPr>
      <w:sz w:val="16"/>
      <w:szCs w:val="16"/>
    </w:rPr>
  </w:style>
  <w:style w:type="paragraph" w:styleId="CommentText">
    <w:name w:val="annotation text"/>
    <w:basedOn w:val="Normal"/>
    <w:link w:val="CommentTextChar"/>
    <w:uiPriority w:val="99"/>
    <w:semiHidden/>
    <w:unhideWhenUsed/>
    <w:rsid w:val="0038149F"/>
    <w:pPr>
      <w:spacing w:line="240" w:lineRule="auto"/>
    </w:pPr>
    <w:rPr>
      <w:sz w:val="20"/>
      <w:szCs w:val="20"/>
    </w:rPr>
  </w:style>
  <w:style w:type="character" w:customStyle="1" w:styleId="CommentTextChar">
    <w:name w:val="Comment Text Char"/>
    <w:basedOn w:val="DefaultParagraphFont"/>
    <w:link w:val="CommentText"/>
    <w:uiPriority w:val="99"/>
    <w:semiHidden/>
    <w:rsid w:val="0038149F"/>
    <w:rPr>
      <w:rFonts w:ascii="Arial" w:eastAsia="Times New Roman"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38149F"/>
    <w:rPr>
      <w:b/>
      <w:bCs/>
    </w:rPr>
  </w:style>
  <w:style w:type="character" w:customStyle="1" w:styleId="CommentSubjectChar">
    <w:name w:val="Comment Subject Char"/>
    <w:basedOn w:val="CommentTextChar"/>
    <w:link w:val="CommentSubject"/>
    <w:uiPriority w:val="99"/>
    <w:semiHidden/>
    <w:rsid w:val="0038149F"/>
    <w:rPr>
      <w:rFonts w:ascii="Arial" w:eastAsia="Times New Roman" w:hAnsi="Arial" w:cs="Arial"/>
      <w:b/>
      <w:bCs/>
      <w:sz w:val="20"/>
      <w:szCs w:val="20"/>
      <w:lang w:eastAsia="en-AU"/>
    </w:rPr>
  </w:style>
  <w:style w:type="paragraph" w:styleId="BalloonText">
    <w:name w:val="Balloon Text"/>
    <w:basedOn w:val="Normal"/>
    <w:link w:val="BalloonTextChar"/>
    <w:uiPriority w:val="99"/>
    <w:semiHidden/>
    <w:unhideWhenUsed/>
    <w:rsid w:val="00381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49F"/>
    <w:rPr>
      <w:rFonts w:ascii="Segoe UI" w:eastAsia="Times New Roman" w:hAnsi="Segoe UI" w:cs="Segoe UI"/>
      <w:sz w:val="18"/>
      <w:szCs w:val="18"/>
      <w:lang w:eastAsia="en-AU"/>
    </w:rPr>
  </w:style>
  <w:style w:type="character" w:customStyle="1" w:styleId="Heading1Char">
    <w:name w:val="Heading 1 Char"/>
    <w:basedOn w:val="DefaultParagraphFont"/>
    <w:link w:val="Heading1"/>
    <w:uiPriority w:val="99"/>
    <w:rsid w:val="00C17089"/>
    <w:rPr>
      <w:rFonts w:ascii="Arial" w:eastAsia="Constantia" w:hAnsi="Arial" w:cs="Arial"/>
      <w:color w:val="4BACC6"/>
      <w:sz w:val="36"/>
      <w:szCs w:val="36"/>
      <w:lang w:eastAsia="en-AU"/>
    </w:rPr>
  </w:style>
  <w:style w:type="character" w:customStyle="1" w:styleId="Heading3Char">
    <w:name w:val="Heading 3 Char"/>
    <w:basedOn w:val="DefaultParagraphFont"/>
    <w:link w:val="Heading3"/>
    <w:uiPriority w:val="9"/>
    <w:semiHidden/>
    <w:rsid w:val="00C271AE"/>
    <w:rPr>
      <w:rFonts w:ascii="Calibri Light" w:eastAsia="Times New Roman" w:hAnsi="Calibri Light" w:cs="Times New Roman"/>
      <w:b/>
      <w:bCs/>
      <w:sz w:val="26"/>
      <w:szCs w:val="26"/>
      <w:lang w:eastAsia="en-AU"/>
    </w:rPr>
  </w:style>
  <w:style w:type="table" w:styleId="TableGrid">
    <w:name w:val="Table Grid"/>
    <w:basedOn w:val="TableNormal"/>
    <w:uiPriority w:val="59"/>
    <w:rsid w:val="0095779D"/>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A65C62"/>
    <w:rPr>
      <w:sz w:val="20"/>
      <w:szCs w:val="20"/>
    </w:rPr>
  </w:style>
  <w:style w:type="character" w:customStyle="1" w:styleId="FootnoteTextChar">
    <w:name w:val="Footnote Text Char"/>
    <w:basedOn w:val="DefaultParagraphFont"/>
    <w:link w:val="FootnoteText"/>
    <w:semiHidden/>
    <w:rsid w:val="00A65C62"/>
    <w:rPr>
      <w:rFonts w:ascii="Arial" w:eastAsia="Times New Roman" w:hAnsi="Arial" w:cs="Arial"/>
      <w:sz w:val="20"/>
      <w:szCs w:val="20"/>
      <w:lang w:eastAsia="en-AU"/>
    </w:rPr>
  </w:style>
  <w:style w:type="character" w:styleId="FootnoteReference">
    <w:name w:val="footnote reference"/>
    <w:semiHidden/>
    <w:unhideWhenUsed/>
    <w:rsid w:val="00A65C62"/>
    <w:rPr>
      <w:vertAlign w:val="superscript"/>
    </w:rPr>
  </w:style>
  <w:style w:type="character" w:styleId="Hyperlink">
    <w:name w:val="Hyperlink"/>
    <w:uiPriority w:val="99"/>
    <w:unhideWhenUsed/>
    <w:rsid w:val="00A65C62"/>
    <w:rPr>
      <w:color w:val="0563C1"/>
      <w:u w:val="single"/>
    </w:rPr>
  </w:style>
  <w:style w:type="paragraph" w:styleId="Revision">
    <w:name w:val="Revision"/>
    <w:hidden/>
    <w:uiPriority w:val="99"/>
    <w:semiHidden/>
    <w:rsid w:val="003D50B9"/>
    <w:pPr>
      <w:spacing w:after="0" w:line="240" w:lineRule="auto"/>
    </w:pPr>
    <w:rPr>
      <w:rFonts w:ascii="Arial" w:eastAsia="Times New Roman" w:hAnsi="Arial" w:cs="Arial"/>
      <w:sz w:val="21"/>
      <w:szCs w:val="21"/>
      <w:lang w:eastAsia="en-AU"/>
    </w:rPr>
  </w:style>
  <w:style w:type="paragraph" w:customStyle="1" w:styleId="Text">
    <w:name w:val="Text"/>
    <w:basedOn w:val="Normal"/>
    <w:rsid w:val="00CD08E7"/>
    <w:pPr>
      <w:autoSpaceDE w:val="0"/>
      <w:autoSpaceDN w:val="0"/>
      <w:adjustRightInd w:val="0"/>
      <w:jc w:val="both"/>
    </w:pPr>
    <w:rPr>
      <w:rFonts w:ascii="Calibri" w:hAnsi="Calibri"/>
      <w:color w:val="000000"/>
      <w:sz w:val="22"/>
      <w:szCs w:val="22"/>
    </w:rPr>
  </w:style>
  <w:style w:type="character" w:customStyle="1" w:styleId="A3">
    <w:name w:val="A3"/>
    <w:uiPriority w:val="99"/>
    <w:rsid w:val="00CD08E7"/>
    <w:rPr>
      <w:color w:val="000000"/>
      <w:sz w:val="20"/>
      <w:szCs w:val="20"/>
    </w:rPr>
  </w:style>
  <w:style w:type="character" w:customStyle="1" w:styleId="Heading2Char">
    <w:name w:val="Heading 2 Char"/>
    <w:basedOn w:val="DefaultParagraphFont"/>
    <w:link w:val="Heading2"/>
    <w:uiPriority w:val="99"/>
    <w:rsid w:val="00CD08E7"/>
    <w:rPr>
      <w:rFonts w:ascii="Cambria" w:eastAsia="Constantia" w:hAnsi="Cambria" w:cs="Arial"/>
      <w:b/>
      <w:color w:val="4F81BD"/>
      <w:sz w:val="26"/>
      <w:szCs w:val="26"/>
      <w:lang w:eastAsia="en-AU"/>
    </w:rPr>
  </w:style>
  <w:style w:type="paragraph" w:styleId="PlainText">
    <w:name w:val="Plain Text"/>
    <w:basedOn w:val="Normal"/>
    <w:link w:val="PlainTextChar"/>
    <w:uiPriority w:val="99"/>
    <w:semiHidden/>
    <w:unhideWhenUsed/>
    <w:rsid w:val="00764D79"/>
    <w:pPr>
      <w:spacing w:after="0" w:line="240" w:lineRule="auto"/>
    </w:pPr>
    <w:rPr>
      <w:rFonts w:ascii="Calibri" w:eastAsiaTheme="minorHAnsi" w:hAnsi="Calibri" w:cstheme="minorBidi"/>
      <w:sz w:val="22"/>
      <w:lang w:eastAsia="en-US"/>
    </w:rPr>
  </w:style>
  <w:style w:type="character" w:customStyle="1" w:styleId="PlainTextChar">
    <w:name w:val="Plain Text Char"/>
    <w:basedOn w:val="DefaultParagraphFont"/>
    <w:link w:val="PlainText"/>
    <w:uiPriority w:val="99"/>
    <w:semiHidden/>
    <w:rsid w:val="00764D7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140546">
      <w:bodyDiv w:val="1"/>
      <w:marLeft w:val="0"/>
      <w:marRight w:val="0"/>
      <w:marTop w:val="0"/>
      <w:marBottom w:val="0"/>
      <w:divBdr>
        <w:top w:val="none" w:sz="0" w:space="0" w:color="auto"/>
        <w:left w:val="none" w:sz="0" w:space="0" w:color="auto"/>
        <w:bottom w:val="none" w:sz="0" w:space="0" w:color="auto"/>
        <w:right w:val="none" w:sz="0" w:space="0" w:color="auto"/>
      </w:divBdr>
    </w:div>
    <w:div w:id="576328521">
      <w:bodyDiv w:val="1"/>
      <w:marLeft w:val="0"/>
      <w:marRight w:val="0"/>
      <w:marTop w:val="0"/>
      <w:marBottom w:val="0"/>
      <w:divBdr>
        <w:top w:val="none" w:sz="0" w:space="0" w:color="auto"/>
        <w:left w:val="none" w:sz="0" w:space="0" w:color="auto"/>
        <w:bottom w:val="none" w:sz="0" w:space="0" w:color="auto"/>
        <w:right w:val="none" w:sz="0" w:space="0" w:color="auto"/>
      </w:divBdr>
    </w:div>
    <w:div w:id="885143721">
      <w:bodyDiv w:val="1"/>
      <w:marLeft w:val="0"/>
      <w:marRight w:val="0"/>
      <w:marTop w:val="0"/>
      <w:marBottom w:val="0"/>
      <w:divBdr>
        <w:top w:val="none" w:sz="0" w:space="0" w:color="auto"/>
        <w:left w:val="none" w:sz="0" w:space="0" w:color="auto"/>
        <w:bottom w:val="none" w:sz="0" w:space="0" w:color="auto"/>
        <w:right w:val="none" w:sz="0" w:space="0" w:color="auto"/>
      </w:divBdr>
    </w:div>
    <w:div w:id="1040015721">
      <w:bodyDiv w:val="1"/>
      <w:marLeft w:val="0"/>
      <w:marRight w:val="0"/>
      <w:marTop w:val="0"/>
      <w:marBottom w:val="0"/>
      <w:divBdr>
        <w:top w:val="none" w:sz="0" w:space="0" w:color="auto"/>
        <w:left w:val="none" w:sz="0" w:space="0" w:color="auto"/>
        <w:bottom w:val="none" w:sz="0" w:space="0" w:color="auto"/>
        <w:right w:val="none" w:sz="0" w:space="0" w:color="auto"/>
      </w:divBdr>
    </w:div>
    <w:div w:id="1068454412">
      <w:bodyDiv w:val="1"/>
      <w:marLeft w:val="0"/>
      <w:marRight w:val="0"/>
      <w:marTop w:val="0"/>
      <w:marBottom w:val="0"/>
      <w:divBdr>
        <w:top w:val="none" w:sz="0" w:space="0" w:color="auto"/>
        <w:left w:val="none" w:sz="0" w:space="0" w:color="auto"/>
        <w:bottom w:val="none" w:sz="0" w:space="0" w:color="auto"/>
        <w:right w:val="none" w:sz="0" w:space="0" w:color="auto"/>
      </w:divBdr>
    </w:div>
    <w:div w:id="1089697168">
      <w:bodyDiv w:val="1"/>
      <w:marLeft w:val="0"/>
      <w:marRight w:val="0"/>
      <w:marTop w:val="0"/>
      <w:marBottom w:val="0"/>
      <w:divBdr>
        <w:top w:val="none" w:sz="0" w:space="0" w:color="auto"/>
        <w:left w:val="none" w:sz="0" w:space="0" w:color="auto"/>
        <w:bottom w:val="none" w:sz="0" w:space="0" w:color="auto"/>
        <w:right w:val="none" w:sz="0" w:space="0" w:color="auto"/>
      </w:divBdr>
    </w:div>
    <w:div w:id="1115640924">
      <w:bodyDiv w:val="1"/>
      <w:marLeft w:val="0"/>
      <w:marRight w:val="0"/>
      <w:marTop w:val="0"/>
      <w:marBottom w:val="0"/>
      <w:divBdr>
        <w:top w:val="none" w:sz="0" w:space="0" w:color="auto"/>
        <w:left w:val="none" w:sz="0" w:space="0" w:color="auto"/>
        <w:bottom w:val="none" w:sz="0" w:space="0" w:color="auto"/>
        <w:right w:val="none" w:sz="0" w:space="0" w:color="auto"/>
      </w:divBdr>
    </w:div>
    <w:div w:id="1182359416">
      <w:bodyDiv w:val="1"/>
      <w:marLeft w:val="0"/>
      <w:marRight w:val="0"/>
      <w:marTop w:val="0"/>
      <w:marBottom w:val="0"/>
      <w:divBdr>
        <w:top w:val="none" w:sz="0" w:space="0" w:color="auto"/>
        <w:left w:val="none" w:sz="0" w:space="0" w:color="auto"/>
        <w:bottom w:val="none" w:sz="0" w:space="0" w:color="auto"/>
        <w:right w:val="none" w:sz="0" w:space="0" w:color="auto"/>
      </w:divBdr>
    </w:div>
    <w:div w:id="1645966057">
      <w:bodyDiv w:val="1"/>
      <w:marLeft w:val="0"/>
      <w:marRight w:val="0"/>
      <w:marTop w:val="0"/>
      <w:marBottom w:val="0"/>
      <w:divBdr>
        <w:top w:val="none" w:sz="0" w:space="0" w:color="auto"/>
        <w:left w:val="none" w:sz="0" w:space="0" w:color="auto"/>
        <w:bottom w:val="none" w:sz="0" w:space="0" w:color="auto"/>
        <w:right w:val="none" w:sz="0" w:space="0" w:color="auto"/>
      </w:divBdr>
    </w:div>
    <w:div w:id="1853450014">
      <w:bodyDiv w:val="1"/>
      <w:marLeft w:val="0"/>
      <w:marRight w:val="0"/>
      <w:marTop w:val="0"/>
      <w:marBottom w:val="0"/>
      <w:divBdr>
        <w:top w:val="none" w:sz="0" w:space="0" w:color="auto"/>
        <w:left w:val="none" w:sz="0" w:space="0" w:color="auto"/>
        <w:bottom w:val="none" w:sz="0" w:space="0" w:color="auto"/>
        <w:right w:val="none" w:sz="0" w:space="0" w:color="auto"/>
      </w:divBdr>
    </w:div>
    <w:div w:id="199105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95682-91E0-4331-9CE2-895AF407E5DB}">
  <ds:schemaRefs>
    <ds:schemaRef ds:uri="http://schemas.openxmlformats.org/package/2006/metadata/core-properties"/>
    <ds:schemaRef ds:uri="http://schemas.microsoft.com/office/infopath/2007/PartnerControls"/>
    <ds:schemaRef ds:uri="http://purl.org/dc/elements/1.1/"/>
    <ds:schemaRef ds:uri="http://purl.org/dc/dcmitype/"/>
    <ds:schemaRef ds:uri="http://purl.org/dc/terms/"/>
    <ds:schemaRef ds:uri="http://schemas.microsoft.com/office/2006/documentManagement/typ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DC4191B-BF23-42EE-965C-6940C288EBD4}">
  <ds:schemaRefs>
    <ds:schemaRef ds:uri="http://schemas.microsoft.com/sharepoint/v3/contenttype/forms"/>
  </ds:schemaRefs>
</ds:datastoreItem>
</file>

<file path=customXml/itemProps3.xml><?xml version="1.0" encoding="utf-8"?>
<ds:datastoreItem xmlns:ds="http://schemas.openxmlformats.org/officeDocument/2006/customXml" ds:itemID="{5BCF0DF4-E578-44DC-A914-3B81CBD89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D0D21F7-5A02-431A-AB09-ADB531E14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1174</TotalTime>
  <Pages>2</Pages>
  <Words>785</Words>
  <Characters>4477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18-156 Triple Bottom Line Assessment</vt:lpstr>
    </vt:vector>
  </TitlesOfParts>
  <Company>ACT Government</Company>
  <LinksUpToDate>false</LinksUpToDate>
  <CharactersWithSpaces>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18-156 Triple Bottom Line Assessment</dc:title>
  <dc:subject/>
  <dc:creator>ACT Government</dc:creator>
  <cp:keywords/>
  <dc:description/>
  <cp:lastModifiedBy>Maniacherry, Ponnu</cp:lastModifiedBy>
  <cp:revision>65</cp:revision>
  <cp:lastPrinted>2018-05-29T07:24:00Z</cp:lastPrinted>
  <dcterms:created xsi:type="dcterms:W3CDTF">2018-05-14T23:19:00Z</dcterms:created>
  <dcterms:modified xsi:type="dcterms:W3CDTF">2018-07-11T03:12:00Z</dcterms:modified>
</cp:coreProperties>
</file>