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B7350D" w14:textId="77777777" w:rsidR="00F64BB7" w:rsidRPr="00D03C1B" w:rsidRDefault="00F64BB7" w:rsidP="00F64BB7">
      <w:pPr>
        <w:spacing w:after="120"/>
        <w:jc w:val="both"/>
        <w:rPr>
          <w:b/>
          <w:bCs/>
          <w:color w:val="000000" w:themeColor="text1"/>
          <w:sz w:val="21"/>
          <w:szCs w:val="21"/>
        </w:rPr>
      </w:pPr>
      <w:bookmarkStart w:id="0" w:name="_GoBack"/>
      <w:bookmarkEnd w:id="0"/>
      <w:r w:rsidRPr="00D03C1B">
        <w:rPr>
          <w:b/>
          <w:bCs/>
          <w:color w:val="000000" w:themeColor="text1"/>
          <w:sz w:val="21"/>
          <w:szCs w:val="21"/>
        </w:rPr>
        <w:t>18/302 - Government Response to Coroner’s Report – Findings of the Death of Steven Freeman</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9016"/>
      </w:tblGrid>
      <w:tr w:rsidR="00F64BB7" w:rsidRPr="00D03C1B" w14:paraId="4EB7350F" w14:textId="77777777" w:rsidTr="00BC512C">
        <w:trPr>
          <w:jc w:val="center"/>
        </w:trPr>
        <w:tc>
          <w:tcPr>
            <w:tcW w:w="9105" w:type="dxa"/>
          </w:tcPr>
          <w:p w14:paraId="4EB7350E" w14:textId="77777777" w:rsidR="00F64BB7" w:rsidRPr="00D03C1B" w:rsidRDefault="00F64BB7" w:rsidP="00A55044">
            <w:pPr>
              <w:spacing w:before="120" w:after="120" w:line="240" w:lineRule="auto"/>
              <w:jc w:val="both"/>
              <w:rPr>
                <w:b/>
                <w:bCs/>
                <w:color w:val="000000" w:themeColor="text1"/>
                <w:sz w:val="21"/>
                <w:szCs w:val="21"/>
              </w:rPr>
            </w:pPr>
            <w:r w:rsidRPr="00D03C1B">
              <w:rPr>
                <w:b/>
                <w:bCs/>
                <w:color w:val="000000" w:themeColor="text1"/>
                <w:sz w:val="21"/>
                <w:szCs w:val="21"/>
              </w:rPr>
              <w:t>Summary of Impacts</w:t>
            </w:r>
          </w:p>
        </w:tc>
      </w:tr>
      <w:tr w:rsidR="00F64BB7" w:rsidRPr="00D03C1B" w14:paraId="4EB73512" w14:textId="77777777" w:rsidTr="00BC512C">
        <w:trPr>
          <w:jc w:val="center"/>
        </w:trPr>
        <w:tc>
          <w:tcPr>
            <w:tcW w:w="9105" w:type="dxa"/>
          </w:tcPr>
          <w:p w14:paraId="4EB73510" w14:textId="77777777" w:rsidR="00F64BB7" w:rsidRPr="00D03C1B" w:rsidRDefault="00F64BB7" w:rsidP="00A55044">
            <w:pPr>
              <w:numPr>
                <w:ilvl w:val="0"/>
                <w:numId w:val="1"/>
              </w:numPr>
              <w:spacing w:before="120" w:after="120" w:line="240" w:lineRule="auto"/>
              <w:ind w:left="360"/>
              <w:rPr>
                <w:color w:val="000000" w:themeColor="text1"/>
                <w:sz w:val="21"/>
                <w:szCs w:val="21"/>
              </w:rPr>
            </w:pPr>
            <w:r w:rsidRPr="00D03C1B">
              <w:rPr>
                <w:color w:val="000000" w:themeColor="text1"/>
                <w:sz w:val="21"/>
                <w:szCs w:val="21"/>
              </w:rPr>
              <w:t>Health – Better care when you need it</w:t>
            </w:r>
          </w:p>
          <w:p w14:paraId="4EB73511" w14:textId="77777777" w:rsidR="00F64BB7" w:rsidRPr="00D03C1B" w:rsidRDefault="00F64BB7" w:rsidP="00A55044">
            <w:pPr>
              <w:numPr>
                <w:ilvl w:val="0"/>
                <w:numId w:val="1"/>
              </w:numPr>
              <w:spacing w:before="120" w:after="120" w:line="240" w:lineRule="auto"/>
              <w:ind w:left="360"/>
              <w:rPr>
                <w:color w:val="000000" w:themeColor="text1"/>
                <w:sz w:val="21"/>
                <w:szCs w:val="21"/>
              </w:rPr>
            </w:pPr>
            <w:r w:rsidRPr="00D03C1B">
              <w:rPr>
                <w:color w:val="000000" w:themeColor="text1"/>
                <w:sz w:val="21"/>
                <w:szCs w:val="21"/>
              </w:rPr>
              <w:t>Social inclusion – community safety and support when it matters</w:t>
            </w:r>
          </w:p>
        </w:tc>
      </w:tr>
    </w:tbl>
    <w:p w14:paraId="4EB73513" w14:textId="77777777" w:rsidR="00F64BB7" w:rsidRPr="00D03C1B" w:rsidRDefault="00F64BB7" w:rsidP="00F64BB7">
      <w:pPr>
        <w:spacing w:after="120"/>
        <w:rPr>
          <w:i/>
          <w:color w:val="000000" w:themeColor="text1"/>
          <w:sz w:val="21"/>
          <w:szCs w:val="21"/>
        </w:rPr>
      </w:pPr>
      <w:r w:rsidRPr="00D03C1B">
        <w:rPr>
          <w:i/>
          <w:color w:val="000000" w:themeColor="text1"/>
          <w:sz w:val="21"/>
          <w:szCs w:val="21"/>
        </w:rPr>
        <w:t>Key to impacts: Red – negative, Blue - neutral and Green</w:t>
      </w:r>
      <w:r w:rsidR="00C17428">
        <w:rPr>
          <w:i/>
          <w:color w:val="000000" w:themeColor="text1"/>
          <w:sz w:val="21"/>
          <w:szCs w:val="21"/>
        </w:rPr>
        <w:t xml:space="preserve"> -</w:t>
      </w:r>
      <w:r w:rsidRPr="00D03C1B">
        <w:rPr>
          <w:i/>
          <w:color w:val="000000" w:themeColor="text1"/>
          <w:sz w:val="21"/>
          <w:szCs w:val="21"/>
        </w:rPr>
        <w:t xml:space="preserve"> Positive.</w:t>
      </w:r>
    </w:p>
    <w:p w14:paraId="4EB73514" w14:textId="77777777" w:rsidR="00F64BB7" w:rsidRPr="00D03C1B" w:rsidRDefault="00F64BB7" w:rsidP="00F64BB7">
      <w:pPr>
        <w:spacing w:after="0"/>
        <w:jc w:val="both"/>
        <w:rPr>
          <w:b/>
          <w:bCs/>
          <w:color w:val="000000" w:themeColor="text1"/>
          <w:sz w:val="21"/>
          <w:szCs w:val="21"/>
        </w:rPr>
      </w:pPr>
      <w:r w:rsidRPr="00D03C1B">
        <w:rPr>
          <w:b/>
          <w:bCs/>
          <w:color w:val="000000" w:themeColor="text1"/>
          <w:sz w:val="21"/>
          <w:szCs w:val="21"/>
        </w:rPr>
        <w:t>Social</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501"/>
        <w:gridCol w:w="7515"/>
      </w:tblGrid>
      <w:tr w:rsidR="00F64BB7" w:rsidRPr="00D03C1B" w14:paraId="4EB7351A" w14:textId="77777777" w:rsidTr="00BC512C">
        <w:trPr>
          <w:jc w:val="center"/>
        </w:trPr>
        <w:tc>
          <w:tcPr>
            <w:tcW w:w="1526" w:type="dxa"/>
            <w:shd w:val="clear" w:color="auto" w:fill="92D050"/>
          </w:tcPr>
          <w:p w14:paraId="4EB73515" w14:textId="77777777" w:rsidR="00F64BB7" w:rsidRPr="00D03C1B" w:rsidRDefault="00F64BB7" w:rsidP="00A55044">
            <w:pPr>
              <w:spacing w:before="120" w:after="120" w:line="240" w:lineRule="auto"/>
              <w:jc w:val="both"/>
              <w:rPr>
                <w:color w:val="000000" w:themeColor="text1"/>
                <w:sz w:val="21"/>
                <w:szCs w:val="21"/>
              </w:rPr>
            </w:pPr>
            <w:r w:rsidRPr="00D03C1B">
              <w:rPr>
                <w:b/>
                <w:bCs/>
                <w:color w:val="000000" w:themeColor="text1"/>
                <w:sz w:val="21"/>
                <w:szCs w:val="21"/>
              </w:rPr>
              <w:t>Justice and rights</w:t>
            </w:r>
          </w:p>
        </w:tc>
        <w:tc>
          <w:tcPr>
            <w:tcW w:w="7716" w:type="dxa"/>
          </w:tcPr>
          <w:p w14:paraId="4EB73516" w14:textId="77777777" w:rsidR="00F64BB7" w:rsidRPr="00D03C1B" w:rsidRDefault="00F64BB7" w:rsidP="00A55044">
            <w:pPr>
              <w:numPr>
                <w:ilvl w:val="0"/>
                <w:numId w:val="1"/>
              </w:numPr>
              <w:spacing w:before="120" w:after="120" w:line="240" w:lineRule="auto"/>
              <w:ind w:left="232" w:hanging="232"/>
              <w:rPr>
                <w:color w:val="000000" w:themeColor="text1"/>
                <w:sz w:val="21"/>
                <w:szCs w:val="21"/>
              </w:rPr>
            </w:pPr>
            <w:r w:rsidRPr="00D03C1B">
              <w:rPr>
                <w:color w:val="000000" w:themeColor="text1"/>
                <w:sz w:val="21"/>
                <w:szCs w:val="21"/>
              </w:rPr>
              <w:t>The ACT Government will endeavour to ensure the existing policy and procedures regarding prisoner safety and welfare checks are reviewed and enforced to ensure the safety and wellbeing of a detainee.</w:t>
            </w:r>
          </w:p>
          <w:p w14:paraId="4EB73517" w14:textId="77777777" w:rsidR="00F64BB7" w:rsidRPr="00D03C1B" w:rsidRDefault="00F64BB7" w:rsidP="00A55044">
            <w:pPr>
              <w:numPr>
                <w:ilvl w:val="0"/>
                <w:numId w:val="1"/>
              </w:numPr>
              <w:spacing w:before="120" w:after="120" w:line="240" w:lineRule="auto"/>
              <w:ind w:left="232" w:hanging="232"/>
              <w:rPr>
                <w:color w:val="000000" w:themeColor="text1"/>
                <w:sz w:val="21"/>
                <w:szCs w:val="21"/>
              </w:rPr>
            </w:pPr>
            <w:r w:rsidRPr="00D03C1B">
              <w:rPr>
                <w:color w:val="000000" w:themeColor="text1"/>
                <w:sz w:val="21"/>
                <w:szCs w:val="21"/>
              </w:rPr>
              <w:t>The ACT Government will facilitate access for detainees to undertake suitable and appropriate health care treatment while detained in Alexander Maconochie Centre (AMC).</w:t>
            </w:r>
          </w:p>
          <w:p w14:paraId="4EB73518" w14:textId="77777777" w:rsidR="00F64BB7" w:rsidRPr="00D03C1B" w:rsidRDefault="00F64BB7" w:rsidP="00A55044">
            <w:pPr>
              <w:numPr>
                <w:ilvl w:val="0"/>
                <w:numId w:val="1"/>
              </w:numPr>
              <w:spacing w:before="120" w:after="120" w:line="240" w:lineRule="auto"/>
              <w:ind w:left="232" w:hanging="232"/>
              <w:rPr>
                <w:color w:val="000000" w:themeColor="text1"/>
                <w:sz w:val="21"/>
                <w:szCs w:val="21"/>
              </w:rPr>
            </w:pPr>
            <w:r w:rsidRPr="00D03C1B">
              <w:rPr>
                <w:color w:val="000000" w:themeColor="text1"/>
                <w:sz w:val="21"/>
                <w:szCs w:val="21"/>
              </w:rPr>
              <w:t xml:space="preserve">The ACT Government will continue to access medical and health collateral information to inform Justice Health Services (JHS) staff at AMC for clinical decision making. This is inclusive of the availability of the comprehensive Court Alcohol and Drug Assessment Services (CADAS) reports which are now electronically available to JHS staff. </w:t>
            </w:r>
          </w:p>
          <w:p w14:paraId="4EB73519" w14:textId="77777777" w:rsidR="00F64BB7" w:rsidRPr="00D03C1B" w:rsidRDefault="00F64BB7" w:rsidP="00A55044">
            <w:pPr>
              <w:numPr>
                <w:ilvl w:val="0"/>
                <w:numId w:val="1"/>
              </w:numPr>
              <w:spacing w:before="120" w:after="120" w:line="240" w:lineRule="auto"/>
              <w:ind w:left="232" w:hanging="232"/>
              <w:rPr>
                <w:color w:val="000000" w:themeColor="text1"/>
                <w:sz w:val="21"/>
                <w:szCs w:val="21"/>
              </w:rPr>
            </w:pPr>
            <w:r w:rsidRPr="00D03C1B">
              <w:rPr>
                <w:color w:val="000000" w:themeColor="text1"/>
                <w:sz w:val="21"/>
                <w:szCs w:val="21"/>
              </w:rPr>
              <w:t>ACT Health and ACT Corrective Services (ACTCS) will continue to operationally share information pertaining urine drug screening reports and Opioid Replacement Therapy n</w:t>
            </w:r>
            <w:r w:rsidR="00A55044">
              <w:rPr>
                <w:color w:val="000000" w:themeColor="text1"/>
                <w:sz w:val="21"/>
                <w:szCs w:val="21"/>
              </w:rPr>
              <w:t>otification of commencement.</w:t>
            </w:r>
          </w:p>
        </w:tc>
      </w:tr>
    </w:tbl>
    <w:p w14:paraId="4EB7351B" w14:textId="77777777" w:rsidR="00F64BB7" w:rsidRPr="00D03C1B" w:rsidRDefault="00F64BB7" w:rsidP="00F64BB7">
      <w:pPr>
        <w:spacing w:before="120" w:after="0"/>
        <w:jc w:val="both"/>
        <w:rPr>
          <w:b/>
          <w:bCs/>
          <w:color w:val="000000" w:themeColor="text1"/>
          <w:sz w:val="21"/>
          <w:szCs w:val="21"/>
        </w:rPr>
      </w:pPr>
      <w:r w:rsidRPr="00D03C1B">
        <w:rPr>
          <w:b/>
          <w:bCs/>
          <w:color w:val="000000" w:themeColor="text1"/>
          <w:sz w:val="21"/>
          <w:szCs w:val="21"/>
        </w:rPr>
        <w:t>Economic</w:t>
      </w:r>
    </w:p>
    <w:p w14:paraId="4EB7351C" w14:textId="77777777" w:rsidR="00F64BB7" w:rsidRPr="00D03C1B" w:rsidRDefault="00F64BB7" w:rsidP="00F64BB7">
      <w:pPr>
        <w:spacing w:before="120" w:after="0"/>
        <w:jc w:val="both"/>
        <w:rPr>
          <w:bCs/>
          <w:sz w:val="21"/>
          <w:szCs w:val="21"/>
        </w:rPr>
      </w:pPr>
      <w:r w:rsidRPr="00D03C1B">
        <w:rPr>
          <w:bCs/>
          <w:sz w:val="21"/>
          <w:szCs w:val="21"/>
        </w:rPr>
        <w:t>Nil impact</w:t>
      </w:r>
      <w:r>
        <w:rPr>
          <w:bCs/>
          <w:sz w:val="21"/>
          <w:szCs w:val="21"/>
        </w:rPr>
        <w:t>.</w:t>
      </w:r>
    </w:p>
    <w:p w14:paraId="4EB7351D" w14:textId="77777777" w:rsidR="00F64BB7" w:rsidRPr="00D03C1B" w:rsidRDefault="00F64BB7" w:rsidP="00F64BB7">
      <w:pPr>
        <w:spacing w:before="120" w:after="0"/>
        <w:jc w:val="both"/>
        <w:rPr>
          <w:b/>
          <w:bCs/>
          <w:color w:val="000000" w:themeColor="text1"/>
          <w:sz w:val="21"/>
          <w:szCs w:val="21"/>
        </w:rPr>
      </w:pPr>
      <w:r w:rsidRPr="00D03C1B">
        <w:rPr>
          <w:b/>
          <w:bCs/>
          <w:color w:val="000000" w:themeColor="text1"/>
          <w:sz w:val="21"/>
          <w:szCs w:val="21"/>
        </w:rPr>
        <w:t>Environmental</w:t>
      </w:r>
    </w:p>
    <w:p w14:paraId="4EB7351E" w14:textId="77777777" w:rsidR="009E72D8" w:rsidRPr="00A55044" w:rsidRDefault="00F64BB7" w:rsidP="00A55044">
      <w:pPr>
        <w:spacing w:before="120" w:after="0"/>
        <w:jc w:val="both"/>
        <w:rPr>
          <w:bCs/>
          <w:sz w:val="21"/>
          <w:szCs w:val="21"/>
        </w:rPr>
      </w:pPr>
      <w:r w:rsidRPr="00D03C1B">
        <w:rPr>
          <w:bCs/>
          <w:sz w:val="21"/>
          <w:szCs w:val="21"/>
        </w:rPr>
        <w:t>Nil impact</w:t>
      </w:r>
      <w:r>
        <w:rPr>
          <w:bCs/>
          <w:sz w:val="21"/>
          <w:szCs w:val="21"/>
        </w:rPr>
        <w:t>.</w:t>
      </w:r>
    </w:p>
    <w:sectPr w:rsidR="009E72D8" w:rsidRPr="00A550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6461B"/>
    <w:multiLevelType w:val="hybridMultilevel"/>
    <w:tmpl w:val="B26431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hideSpellingErrors/>
  <w:hideGrammaticalErrors/>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BB7"/>
    <w:rsid w:val="00984E94"/>
    <w:rsid w:val="009E72D8"/>
    <w:rsid w:val="00A55044"/>
    <w:rsid w:val="00C17428"/>
    <w:rsid w:val="00F64B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7350D"/>
  <w15:chartTrackingRefBased/>
  <w15:docId w15:val="{8BED8B84-871E-4D5F-9FB9-721CB6464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B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E36FD4-19F5-41A7-BCCE-79C951C1446B}">
  <ds:schemaRefs>
    <ds:schemaRef ds:uri="http://purl.org/dc/dcmitype/"/>
    <ds:schemaRef ds:uri="http://purl.org/dc/elements/1.1/"/>
    <ds:schemaRef ds:uri="http://purl.org/dc/term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03E7F4C9-8676-446D-9F9D-0751396CD06A}">
  <ds:schemaRefs>
    <ds:schemaRef ds:uri="http://schemas.microsoft.com/sharepoint/v3/contenttype/forms"/>
  </ds:schemaRefs>
</ds:datastoreItem>
</file>

<file path=customXml/itemProps3.xml><?xml version="1.0" encoding="utf-8"?>
<ds:datastoreItem xmlns:ds="http://schemas.openxmlformats.org/officeDocument/2006/customXml" ds:itemID="{89E90097-2928-4548-899F-2E592A78F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Dorena</dc:creator>
  <cp:keywords/>
  <dc:description/>
  <cp:lastModifiedBy>Tenzin, Yangkyi</cp:lastModifiedBy>
  <cp:revision>2</cp:revision>
  <dcterms:created xsi:type="dcterms:W3CDTF">2018-08-29T05:57:00Z</dcterms:created>
  <dcterms:modified xsi:type="dcterms:W3CDTF">2018-08-29T05:57:00Z</dcterms:modified>
</cp:coreProperties>
</file>